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Antitrust - Regulatory Intelligence Briefing</w:t>
      </w:r>
    </w:p>
    <w:p>
      <w:pPr>
        <w:jc w:val="center"/>
      </w:pPr>
      <w:r>
        <w:rPr>
          <w:i/>
        </w:rPr>
        <w:t>Generated: 2026-05-20 15:53</w:t>
      </w:r>
    </w:p>
    <w:p>
      <w:r>
        <w:t>Articles Reviewed: 1</w:t>
      </w:r>
    </w:p>
    <w:p/>
    <w:p>
      <w:pPr>
        <w:pStyle w:val="Heading1"/>
      </w:pPr>
      <w:r>
        <w:t>1. CELEX:32026D1076: Council Decision (EU) 2026/1076 of 5 May 2026 on the conclusion, on behalf of the Union, of the Agreement in the form of an Exchange of Letters between the European Union and the People’s Republic of China pursuant to Article XXVIII of the General Agreement on Tariffs and Trade (GATT) 1994 relating to the modification of concessions on all the tariff rate quotas included in the EU Schedule CLXXV as a consequence of the United Kingdom’s withdrawal from the European Union</w:t>
      </w:r>
    </w:p>
    <w:p>
      <w:r>
        <w:rPr>
          <w:b/>
        </w:rPr>
        <w:t xml:space="preserve">URL: </w:t>
      </w:r>
      <w:r>
        <w:t>https://eur-lex.europa.eu/legal-content/AUTO/?uri=CELEX:32026D1076</w:t>
      </w:r>
      <w:r>
        <w:br/>
      </w:r>
      <w:r>
        <w:rPr>
          <w:b/>
        </w:rPr>
        <w:t xml:space="preserve">Published: </w:t>
      </w:r>
      <w:r>
        <w:t>2026-05-17</w:t>
      </w:r>
      <w:r>
        <w:br/>
      </w:r>
      <w:r>
        <w:rPr>
          <w:b/>
        </w:rPr>
        <w:t xml:space="preserve">Relevance Score: </w:t>
      </w:r>
      <w:r>
        <w:t>6/10</w:t>
      </w:r>
      <w:r>
        <w:br/>
      </w:r>
      <w:r>
        <w:rPr>
          <w:b/>
        </w:rPr>
        <w:t xml:space="preserve">Action Needed: </w:t>
      </w:r>
      <w:r>
        <w:t>monitor</w:t>
      </w:r>
    </w:p>
    <w:p>
      <w:pPr>
        <w:pStyle w:val="Heading2"/>
      </w:pPr>
      <w:r>
        <w:t>Summary</w:t>
      </w:r>
    </w:p>
    <w:p>
      <w:r>
        <w:t>Executive briefing: Regulatory changes on EU-China tariff-rate quotas (TRQs)</w:t>
        <w:br/>
        <w:br/>
        <w:t>- What’s changing</w:t>
        <w:br/>
        <w:t>The EU has concluded, on behalf of the Union, an Exchange of Letters with China to modify concessions on all tariff-rate quotas in EU Schedule CLXXV under GATT 1994 Article XXVIII. This modification is a direct result of the United Kingdom’s withdrawal from the EU and aims to adjust the TRQ concessions accordingly. The formal decision is Council Decision (EU) 2026/1076, published May 2026.</w:t>
        <w:br/>
        <w:br/>
        <w:t>- Who is affected</w:t>
        <w:br/>
        <w:t>Any business involved in imports/exports of products covered by EU Schedule CLXXV TRQs with China. Schedule CLXXV typically covers agricultural and related products (and other sectors under tariff-rate quota provisions). Implications flow to sectors relying on quota access for China, affecting pricing, sourcing, and supply planning.</w:t>
        <w:br/>
        <w:br/>
        <w:t>- Actions and timelines for readiness</w:t>
        <w:br/>
        <w:t>- Obtain the updated EU Schedule CLXXV to identify revised TRQ volumes and allocations.</w:t>
        <w:br/>
        <w:t>- Assess impact on cost, pricing, and sourcing strategies for affected products.</w:t>
        <w:br/>
        <w:t>- Update internal compliance, customs, and tariff planning processes; coordinate with suppliers and customs brokers.</w:t>
        <w:br/>
        <w:t>- Monitor the EU Official Journal and the EU regulatory portal for the exact entry into force date and the formal text of the exchange of letters.</w:t>
        <w:br/>
        <w:t>No explicit interim deadline is stated in the summary; the changes take effect upon the entry into force of the decision and publication of the updated concessions.</w:t>
        <w:br/>
        <w:br/>
        <w:t>- Potential business impact</w:t>
        <w:br/>
        <w:t>The reform provides continuity of tariff concessions post-Brexit but with altered TRQ allocations for China. This can alter import economics (costs, quotas available, and timing) for affected products, potentially improving access for some goods while tightening it for others. Companies should model scenarios around quota reallocation, adjust procurement and pricing strategies, and maintain regulatory vigilance to avoid tariff-and-quota mismatches.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