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Financial Reporting &amp; Tax - Regulatory Intelligence Briefing</w:t>
      </w:r>
    </w:p>
    <w:p>
      <w:pPr>
        <w:jc w:val="center"/>
      </w:pPr>
      <w:r>
        <w:rPr>
          <w:i/>
        </w:rPr>
        <w:t>Generated: 2026-05-20 15:58</w:t>
      </w:r>
    </w:p>
    <w:p>
      <w:r>
        <w:t>Articles Reviewed: 1</w:t>
      </w:r>
    </w:p>
    <w:p/>
    <w:p>
      <w:pPr>
        <w:pStyle w:val="Heading1"/>
      </w:pPr>
      <w:r>
        <w:t>1. FCA and Bank of England set out shared vision for tokenisation in UK wholesale markets</w:t>
      </w:r>
    </w:p>
    <w:p>
      <w:r>
        <w:rPr>
          <w:b/>
        </w:rPr>
        <w:t xml:space="preserve">URL: </w:t>
      </w:r>
      <w:r>
        <w:t>https://www.fca.org.uk/news/press-releases/fca-and-bank-england-set-out-shared-vision-tokenisation-uk-wholesale-markets</w:t>
      </w:r>
      <w:r>
        <w:br/>
      </w:r>
      <w:r>
        <w:rPr>
          <w:b/>
        </w:rPr>
        <w:t xml:space="preserve">Published: </w:t>
      </w:r>
      <w:r>
        <w:t>2026-05-18</w:t>
      </w:r>
      <w:r>
        <w:br/>
      </w:r>
      <w:r>
        <w:rPr>
          <w:b/>
        </w:rPr>
        <w:t xml:space="preserve">Relevance Score: </w:t>
      </w:r>
      <w:r>
        <w:t>6/10</w:t>
      </w:r>
      <w:r>
        <w:br/>
      </w:r>
      <w:r>
        <w:rPr>
          <w:b/>
        </w:rPr>
        <w:t xml:space="preserve">Action Needed: </w:t>
      </w:r>
      <w:r>
        <w:t>monitor</w:t>
      </w:r>
    </w:p>
    <w:p>
      <w:pPr>
        <w:pStyle w:val="Heading2"/>
      </w:pPr>
      <w:r>
        <w:t>Summary</w:t>
      </w:r>
    </w:p>
    <w:p>
      <w:r>
        <w:t>Executive brief</w:t>
        <w:br/>
        <w:br/>
        <w:t>Overview</w:t>
        <w:br/>
        <w:t>- The FCA and Bank of England have published a joint, forward-looking vision to support tokenisation and distributed ledger technology (DLT) in UK wholesale markets. The aim is to provide industry confidence as the regulatory framework evolves and to gather industry views to shape future policy and market architecture. No immediate regulatory changes are announced; the document is a call for input to inform future guidance and supervision.</w:t>
        <w:br/>
        <w:br/>
        <w:t>Implications for industry and actions</w:t>
        <w:br/>
        <w:t>- Affected sectors: wholesale financial markets participants and service providers—banks, asset managers, brokers, clearing houses, post-trade/wrap providers, and fintech/technology vendors—along with other market infrastructure players.</w:t>
        <w:br/>
        <w:t>- Required actions: engage with the joint initiative by submitting industry views and participating in forthcoming consultations and discussions. Firms should monitor for specific policy proposals, potential standards for tokenised assets, custody/settlement, risk governance, and operational resilience.</w:t>
        <w:br/>
        <w:t>- Deadlines: The article indicates a call for industry views but does not specify dates; expect future consultations and guidance with defined timelines. Prepare internal readiness plans to respond to evolving policy and potential pilot or trial frameworks.</w:t>
        <w:br/>
        <w:br/>
        <w:t>Potential business impact</w:t>
        <w:br/>
        <w:t>- Opportunities: Tokenisation and DLT could improve settlement speed, transparency, interoperability, and collateral management; potential for new product structures and efficiencies in post-trade processing.</w:t>
        <w:br/>
        <w:t>- Risks and considerations: Requires substantial investment in technology, data standards, risk controls, cyber/security, and regulatory alignment. Early movers may gain efficiencies but must manage evolving standards and supervision.</w:t>
        <w:br/>
        <w:br/>
        <w:t>Bottom line</w:t>
        <w:br/>
        <w:t>- This is a strategic, industry-wide invitation to shape the UK’s tokenisation framework in wholesale markets. Firms should prepare to engage, assess readiness for tokenised workflows, and align governance and risk capabilities to forthcoming regulatory expectations. No immediate compliance changes are imposed, but significant policy progression is anticipated.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