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Skadden Insights — Executive Briefing</w:t>
      </w:r>
    </w:p>
    <w:p>
      <w:pPr>
        <w:jc w:val="center"/>
      </w:pPr>
      <w:r>
        <w:rPr>
          <w:i/>
        </w:rPr>
        <w:t>Generated: 2026-05-01 14:32</w:t>
      </w:r>
    </w:p>
    <w:p>
      <w:r>
        <w:t>Articles Reviewed: 12</w:t>
      </w:r>
    </w:p>
    <w:p/>
    <w:p>
      <w:pPr>
        <w:pStyle w:val="Heading1"/>
      </w:pPr>
      <w:r>
        <w:t>1. Conflict Minerals Disclosures Due June 1, 2026 | Skadden, Arps, Slate, Meagher</w:t>
      </w:r>
    </w:p>
    <w:p>
      <w:r>
        <w:rPr>
          <w:b/>
        </w:rPr>
        <w:t xml:space="preserve">URL: </w:t>
      </w:r>
      <w:r>
        <w:t>https://www.skadden.com/insights/publications/2026/05/conflict-minerals-disclosures-due-june-1-2026</w:t>
      </w:r>
      <w:r>
        <w:br/>
      </w:r>
      <w:r>
        <w:rPr>
          <w:b/>
        </w:rPr>
        <w:t xml:space="preserve">Published: </w:t>
      </w:r>
      <w:r>
        <w:t>2026-04-30</w:t>
      </w:r>
      <w:r>
        <w:br/>
      </w:r>
      <w:r>
        <w:rPr>
          <w:b/>
        </w:rPr>
        <w:t xml:space="preserve">Relevance Score: </w:t>
      </w:r>
      <w:r>
        <w:t>7/10</w:t>
      </w:r>
      <w:r>
        <w:br/>
      </w:r>
      <w:r>
        <w:rPr>
          <w:b/>
        </w:rPr>
        <w:t xml:space="preserve">Action Needed: </w:t>
      </w:r>
      <w:r>
        <w:t>review</w:t>
      </w:r>
    </w:p>
    <w:p>
      <w:pPr>
        <w:pStyle w:val="Heading2"/>
      </w:pPr>
      <w:r>
        <w:t>Summary</w:t>
      </w:r>
    </w:p>
    <w:p>
      <w:r>
        <w:t>Executive briefing summary</w:t>
        <w:br/>
        <w:br/>
        <w:t>- Regulatory changes or proposals: The SEC has not issued new conflict minerals rules since 2017. The key upcoming requirement is the deadline for calendar year 2025 conflict minerals disclosures on Form SD, due June 1, 2026 (extended to the next business day if the date falls on a weekend or holiday). The SEC’s historical no-action relief from 2017 remains in effect for Item 1.01(c) (the conflict minerals report), meaning the Enforcement Division indicated it would not recommend action for not complying with that specific provision. Companies are still required to satisfy Items 1.01(a) and 1.01(b), including conducting a good-faith effort to determine whether conflict minerals are necessary to the product and disclosing the country-of-origin determinations and due diligence efforts on Form SD and on the company website.</w:t>
        <w:br/>
        <w:br/>
        <w:t>- Affected industries or business areas: Any company with products containing conflict minerals (tin, tantalum, tungsten, gold) that are necessary to functionality or production. This typically spans sectors such as electronics, automotive, metals and components manufacturing, and other industries with supply chains that may involve conflict minerals.</w:t>
        <w:br/>
        <w:br/>
        <w:t>- Required actions and deadlines:</w:t>
        <w:br/>
        <w:t xml:space="preserve">  - For 2025 calendar-year data, conduct and document due diligence to determine if conflict minerals are necessary for your products and to identify their country of origin (Items 1.01(a) and (b)).</w:t>
        <w:br/>
        <w:t xml:space="preserve">  - Prepare and file Form SD by June 1, 2026 (or the next business day if the date falls on a weekend/holiday); make the filing available on the company’s website.</w:t>
        <w:br/>
        <w:t xml:space="preserve">  - Determine whether to prepare a conflict minerals report under 1.01(c); note that enforcement discretion exists for not complying with 1.01(c), but the 1.01(a)/(b) obligations remain in effect.</w:t>
        <w:br/>
        <w:t xml:space="preserve">  - Coordinate with outside counsel or a dedicated team to gather supplier data, document due diligence steps, and align disclosures with corporate governance and investor expectations.</w:t>
        <w:br/>
        <w:br/>
        <w:t xml:space="preserve">- Potential business impact: </w:t>
        <w:br/>
        <w:t xml:space="preserve">  - Compliance costs and process requirements to collect supplier information, assess product content, and document origin data.</w:t>
        <w:br/>
        <w:t xml:space="preserve">  - Ongoing supply-chain risk and strategic implications if origin data is incomplete or vendors cannot confirm lines of custody.</w:t>
        <w:br/>
        <w:t xml:space="preserve">  - Reputational considerations and investor scrutiny related to transparency around sourcing, even with enforcement relief for 1.01(c).</w:t>
        <w:br/>
        <w:t xml:space="preserve">  - Because the rules have not been updated since 2017, maintaining robust internal controls and timely data collection will be critical to avoid reputational and regulatory risk and to support smooth filings on the 2025 data due in 2026.</w:t>
      </w:r>
    </w:p>
    <w:p/>
    <w:p>
      <w:pPr>
        <w:pStyle w:val="Heading1"/>
      </w:pPr>
      <w:r>
        <w:t>2. Businesses Beware: New York's FAIR Business Practices Act Now in Effect | Skadden, Arps, Slate, Meagher</w:t>
      </w:r>
    </w:p>
    <w:p>
      <w:r>
        <w:rPr>
          <w:b/>
        </w:rPr>
        <w:t xml:space="preserve">URL: </w:t>
      </w:r>
      <w:r>
        <w:t>https://www.skadden.com/insights/publications/2026/04/businesses-beware-new-yorks-fair-business-practices-act-now-in-effect</w:t>
      </w:r>
      <w:r>
        <w:br/>
      </w:r>
      <w:r>
        <w:rPr>
          <w:b/>
        </w:rPr>
        <w:t xml:space="preserve">Published: </w:t>
      </w:r>
      <w:r>
        <w:t>2026-04-28</w:t>
      </w:r>
      <w:r>
        <w:br/>
      </w:r>
      <w:r>
        <w:rPr>
          <w:b/>
        </w:rPr>
        <w:t xml:space="preserve">Relevance Score: </w:t>
      </w:r>
      <w:r>
        <w:t>6/10</w:t>
      </w:r>
      <w:r>
        <w:br/>
      </w:r>
      <w:r>
        <w:rPr>
          <w:b/>
        </w:rPr>
        <w:t xml:space="preserve">Action Needed: </w:t>
      </w:r>
      <w:r>
        <w:t>monitor</w:t>
      </w:r>
    </w:p>
    <w:p>
      <w:pPr>
        <w:pStyle w:val="Heading2"/>
      </w:pPr>
      <w:r>
        <w:t>Summary</w:t>
      </w:r>
    </w:p>
    <w:p>
      <w:r>
        <w:t>The New York FAIR Act (Fostering Affordability and Integrity Through Reasonable Business Practices Act) took effect February 17, 2026, amending New York General Business Law sections 348 and 349. It expands the state’s consumer-protection enforcement to include “unfair” and “abusive” acts and practices in addition to the existing “deceptive” standard. Unfair practices require substantial injury likely not avoidable by consumers and not outweighed by benefits, while abusive practices include terms that are hard to understand or that take unreasonable advantage of consumer vulnerabilities or reliance on a covered party. The act also signals active scrutiny of emerging technologies, including AI and algorithmic pricing. Enforcement for unfair/abusive conduct is centralized with the New York Attorney General; consumers retain a private right of action only for deceptive practices.</w:t>
        <w:br/>
        <w:br/>
        <w:t>Applies broadly to consumer-facing businesses operating in or targeting New York, with immediate relevance to pricing, auto-renewals, and the use of AI/algorithms. The act’s examples show scrutiny of obscure pricing, hidden fees, steering to expensive plans, misrepresented networks or service listings, and other “junk fees” or drip-pricing. Remedies differ for private actions versus AG enforcement: individuals can recover actual damages or $50 (whichever is greater), with willful misconduct eligible for up to three times actual damages, capped at $1,000. The AG can seek injunctive relief and civil penalties up to $5,000 per violation, or the greater of $15,000 or three times restitution for each willful violation.</w:t>
        <w:br/>
        <w:br/>
        <w:t>Next steps for impacted businesses: proactively review and modify pricing practices, disclosures, auto-renewal terms, and the use of AI/algorithmic pricing or advertising in New York. Develop or update compliance programs to avoid “unfair” or “abusive” conduct, anticipate AG inquiries, and invest in transparency around costs, terms, and consumer understanding. Industries likely to feel immediate impact include financial services, subscription-based businesses, auto retail, student loan servicing, health-care-related pricing, and debt collection.</w:t>
      </w:r>
    </w:p>
    <w:p/>
    <w:p>
      <w:pPr>
        <w:pStyle w:val="Heading1"/>
      </w:pPr>
      <w:r>
        <w:t>3. Reminder: Effective June 30, Companies Barred From Defense Contracts if They Retain Third Parties Lobbying for Certain Chinese Military Companies | Skadden, Arps, Slate, Meagher</w:t>
      </w:r>
    </w:p>
    <w:p>
      <w:r>
        <w:rPr>
          <w:b/>
        </w:rPr>
        <w:t xml:space="preserve">URL: </w:t>
      </w:r>
      <w:r>
        <w:t>https://www.skadden.com/insights/publications/2026/04/reminder-effective-june-30-companies-barred-from-defense</w:t>
      </w:r>
      <w:r>
        <w:br/>
      </w:r>
      <w:r>
        <w:rPr>
          <w:b/>
        </w:rPr>
        <w:t xml:space="preserve">Published: </w:t>
      </w:r>
      <w:r>
        <w:t>2026-04-26</w:t>
      </w:r>
      <w:r>
        <w:br/>
      </w:r>
      <w:r>
        <w:rPr>
          <w:b/>
        </w:rPr>
        <w:t xml:space="preserve">Relevance Score: </w:t>
      </w:r>
      <w:r>
        <w:t>7/10</w:t>
      </w:r>
      <w:r>
        <w:br/>
      </w:r>
      <w:r>
        <w:rPr>
          <w:b/>
        </w:rPr>
        <w:t xml:space="preserve">Action Needed: </w:t>
      </w:r>
      <w:r>
        <w:t>monitor</w:t>
      </w:r>
    </w:p>
    <w:p>
      <w:pPr>
        <w:pStyle w:val="Heading2"/>
      </w:pPr>
      <w:r>
        <w:t>Summary</w:t>
      </w:r>
    </w:p>
    <w:p>
      <w:r>
        <w:t>Executive briefing (summary)</w:t>
        <w:br/>
        <w:br/>
        <w:t>Effective June 30, 2026, the Department of War will be prohibited from contracting with any company that is a party to a contract with a “covered lobbyist” for any entity on the publicly available Chinese military company (CMC) list. The prohibition extends to a company’s parent and subsidiaries and applies regardless of whether the services provided by the covered lobbyist relate directly to defense contracting or lobbying activities. A safe harbor exists if a company conducts reasonable inquiries into the lobbying activities of its contractors and determines they do not qualify as covered lobbyists. The Secretary of War retains authority to grant waivers, with Congressional notification. The CMC List is updated annually and is the basis for identifying restricted entities.</w:t>
        <w:br/>
        <w:br/>
        <w:t>Implications and required actions</w:t>
        <w:br/>
        <w:t>Affected industries include defense contractors and any firms seeking DoW contracts, with potential ripple effects across parent companies and subsidiaries that retain outside consultants. Action steps ahead of the June 30 deadline include implementing contractor due diligence and onboarding processes, requiring representations and warranties from consultants that they are not lobbying on behalf of covered Chinese military companies, and coordinating with parent/subsidiaries to ensure consistency across the corporate group. Firms should screen existing and prospective contractors against the CMC List, document diligence efforts to support safe harbor eligibility, and prepare for potential reorganizations of vendor relationships or contract terminations if a covered lobbyist is involved.</w:t>
        <w:br/>
        <w:br/>
        <w:t>Business impact</w:t>
        <w:br/>
        <w:t>The rule could limit access to DoW contracting for entities with any link to covered lobbying for Chinese military companies, increasing compliance costs and potentially disrupting existing engagements. The safe harbor provides a path to continued eligibility if thorough inquiries confirm no covered lobbying ties. Companies should align procurement, legal, and compliance functions, update vendor contracts and onboarding templates, and monitor CMC List updates to avoid inadvertent exposure. Consider a proactive plan to address anticipated changes in supplier structures and potential waiver processes if applicable.</w:t>
      </w:r>
    </w:p>
    <w:p/>
    <w:p>
      <w:pPr>
        <w:pStyle w:val="Heading1"/>
      </w:pPr>
      <w:r>
        <w:t>4. EU Adopts Revised Technology Licensing Rules | Skadden, Arps, Slate, Meagher</w:t>
      </w:r>
    </w:p>
    <w:p>
      <w:r>
        <w:rPr>
          <w:b/>
        </w:rPr>
        <w:t xml:space="preserve">URL: </w:t>
      </w:r>
      <w:r>
        <w:t>https://www.skadden.com/insights/publications/2026/04/eu-adopts-revised-technology-licensing-rules</w:t>
      </w:r>
      <w:r>
        <w:br/>
      </w:r>
      <w:r>
        <w:rPr>
          <w:b/>
        </w:rPr>
        <w:t xml:space="preserve">Published: </w:t>
      </w:r>
      <w:r>
        <w:t>2026-04-26</w:t>
      </w:r>
      <w:r>
        <w:br/>
      </w:r>
      <w:r>
        <w:rPr>
          <w:b/>
        </w:rPr>
        <w:t xml:space="preserve">Relevance Score: </w:t>
      </w:r>
      <w:r>
        <w:t>7/10</w:t>
      </w:r>
      <w:r>
        <w:br/>
      </w:r>
      <w:r>
        <w:rPr>
          <w:b/>
        </w:rPr>
        <w:t xml:space="preserve">Action Needed: </w:t>
      </w:r>
      <w:r>
        <w:t>monitor</w:t>
      </w:r>
    </w:p>
    <w:p>
      <w:pPr>
        <w:pStyle w:val="Heading2"/>
      </w:pPr>
      <w:r>
        <w:t>Summary</w:t>
      </w:r>
    </w:p>
    <w:p>
      <w:r>
        <w:t>Executive briefing summary</w:t>
        <w:br/>
        <w:br/>
        <w:t>Regulatory changes and scope</w:t>
        <w:br/>
        <w:t>- The EU has revised the Technology Transfer Regulation TTBER (No 316/2014) and its Guidelines, with a four-year review resulting in updated rules that take effect on 1 May 2026.</w:t>
        <w:br/>
        <w:t>- New guidance on Licensing Negotiation Groups (LNGs) is published for the first time, clarifying when joint negotiations of technology licenses may be pro-competitive versus anti-competitive. The EC did not adopt a soft safe harbour, but imposed safeguards to reduce antitrust risk.</w:t>
        <w:br/>
        <w:t>- The updates also clarify treatment of technology pools and data licensing, including how safety nets and FRAND terms apply, and how data licensing fits TTBER criteria.</w:t>
        <w:br/>
        <w:br/>
        <w:t>Who is affected</w:t>
        <w:br/>
        <w:t>- Broad impact across technology licensing: software, hardware, telecoms, semiconductors, standard-essential patent regimes (SEPs), automotive tech, and any data-intensive licensing arrangements.</w:t>
        <w:br/>
        <w:t>- LNGs: guidance will affect groups that negotiate terms jointly, including how they are structured and governed.</w:t>
        <w:br/>
        <w:t>- Technology pools and data licensing arrangements: clarification on when pools are pro-competitive and how data rights are treated under TTBER; databases and data-sharing arrangements under the new framework.</w:t>
        <w:br/>
        <w:br/>
        <w:t>Actions and deadlines</w:t>
        <w:br/>
        <w:t>- Compliance assessment: map existing and proposed licenses to TTBER eligibility, market share thresholds, and the new LNG and pool guidelines.</w:t>
        <w:br/>
        <w:t>- LNG governance: implement transparent operating rules, ensure voluntary participation, limit scope to joint licensing terms, restrict information exchanges to what is strictly necessary, and avoid restricting holders’ ability to license separately.</w:t>
        <w:br/>
        <w:t>- Pools: disclose all rights included, methodology for essentiality, avoid double-dipping, license pool licenses on FRAND terms.</w:t>
        <w:br/>
        <w:t>- Data licensing: determine whether the data rights resemble TTBER “technology rights” (e.g., know-how, patents, software) or require case-by-case review; prepare to apply Horizontal Guidelines for ancillary restraints or restrictive exchanges.</w:t>
        <w:br/>
        <w:t>- Internal deadlines: align policies, compliance training, and supplier/customer communications with the 1 May 2026 effective date; monitor EC guidance and enforcement trends thereafter.</w:t>
        <w:br/>
        <w:br/>
        <w:t>Potential business impact</w:t>
        <w:br/>
        <w:t>- Reduced regulatory risk for well-governed LNGs and pools that meet transparency, participation, scope, and information-use safeguards.</w:t>
        <w:br/>
        <w:t>- Businesses engaging in data licensing or pooling may benefit from clearer TTBER applicability, but must remain vigilant for cases where data exchanges could fall outside TTBER protections.</w:t>
        <w:br/>
        <w:t>- Firms should anticipate ongoing monitoring and potential adjustments to licensing strategies, especially for cross-border collaborations in sectors heavily reliant on SEPs, standard-essential tech, and data sharing.</w:t>
        <w:br/>
        <w:t>- In the near term, expect increased emphasis on governance, disclosure, and FRAND-compliant licensing terms to avoid antitrust scrutiny.</w:t>
        <w:br/>
        <w:br/>
        <w:t>Key date to note: May 1, 2026 ( TTBER and Guidelines take effect).</w:t>
      </w:r>
    </w:p>
    <w:p/>
    <w:p>
      <w:pPr>
        <w:pStyle w:val="Heading1"/>
      </w:pPr>
      <w:r>
        <w:t>5. European Commission Proposes Industrial Accelerator Act: Prioritizing Strategic Sectors, ‘Made in EU’ Requirements and FDI Controls | Insights | Skadden, Arps, Slate, Meagher</w:t>
      </w:r>
    </w:p>
    <w:p>
      <w:r>
        <w:rPr>
          <w:b/>
        </w:rPr>
        <w:t xml:space="preserve">URL: </w:t>
      </w:r>
      <w:r>
        <w:t>https://www.skadden.com/insights/publications/2026/04/european-commission-proposes-industrial-accelerator-act</w:t>
      </w:r>
      <w:r>
        <w:br/>
      </w:r>
      <w:r>
        <w:rPr>
          <w:b/>
        </w:rPr>
        <w:t xml:space="preserve">Published: </w:t>
      </w:r>
      <w:r>
        <w:t>2026-04-23</w:t>
      </w:r>
      <w:r>
        <w:br/>
      </w:r>
      <w:r>
        <w:rPr>
          <w:b/>
        </w:rPr>
        <w:t xml:space="preserve">Relevance Score: </w:t>
      </w:r>
      <w:r>
        <w:t>7/10</w:t>
      </w:r>
      <w:r>
        <w:br/>
      </w:r>
      <w:r>
        <w:rPr>
          <w:b/>
        </w:rPr>
        <w:t xml:space="preserve">Action Needed: </w:t>
      </w:r>
      <w:r>
        <w:t>monitor</w:t>
      </w:r>
    </w:p>
    <w:p>
      <w:pPr>
        <w:pStyle w:val="Heading2"/>
      </w:pPr>
      <w:r>
        <w:t>Summary</w:t>
      </w:r>
    </w:p>
    <w:p>
      <w:r>
        <w:t>The European Commission has formally proposed the Industrial Accelerator Act (IAA), a wide-ranging regulatory package designed to shift procurement, investment, and permitting toward strategically important, low-carbon and security-critical industries. The four pillars are: (1) mandatory EU-origin and low-carbon requirements in public procurement and public support for energy-intensive materials, automotive, and net-zero technologies; (2) new foreign direct investment (FDI) controls on certain large investments in battery and energy-storage value chains, EVs, solar PV, and critical raw materials, targeting investors from countries representing more than 40% of global manufacturing capacity (effectively Chinese-linked players). For investments that would give 30%+ control, prior notification is required and at least four of six conditions must be satisfied (49% foreign ownership cap, JV with EU partner, licensing of IP to the EU target, at least 1% of revenue to EU R&amp;D, at least 50% EU-based workforce, and at least 30% of inputs sourced in the EU). The EC can review transactions in place of national authorities, with exemptions for existing FTAs, services-only investments, and portfolio investments. (3) creation of industrial manufacturing acceleration areas, and (4) streamlined permit-granting for industrial projects.</w:t>
        <w:br/>
        <w:br/>
        <w:t>Impacted sectors include energy-intensive industries, net-zero tech (solar, batteries, energy storage), and the EU automotive sector, all framed within broader aims of strategic autonomy and resilience. Business impact could be substantial: stricter procurement criteria favoring EU-origin and low-carbon inputs; potential FDI screening for non-EU investors—primarily Chinese—under a 30% control trigger and the six-condition test; increased localization and R&amp;D/ workforce commitments; and higher importance placed on EU supply-chain visibility and EU-content in offerings. The proposal also signals a pivot toward faster, more centralized regulatory action by the EC in investment matters traditionally handled by member states. Next steps and timing: the IAA now enters the EU-legislative process and is unlikely to be adopted before mid to late 2027. Executive action for impacted firms includes monitoring negotiations, assessing exposure and readiness for origin/low-carbon procurement rules, mapping potential FDI notification obligations, and planning for participation in or designation of industrial manufacturing acceleration areas.</w:t>
      </w:r>
    </w:p>
    <w:p/>
    <w:p>
      <w:pPr>
        <w:pStyle w:val="Heading1"/>
      </w:pPr>
      <w:r>
        <w:t>6. What Next-Gen AI Tools Mean for European and US Cybersecurity and Privacy Regulation | Insights | Skadden, Arps, Slate, Meagher</w:t>
      </w:r>
    </w:p>
    <w:p>
      <w:r>
        <w:rPr>
          <w:b/>
        </w:rPr>
        <w:t xml:space="preserve">URL: </w:t>
      </w:r>
      <w:r>
        <w:t>https://www.skadden.com/insights/publications/2026/04/what-next-gen-ai-tools-mean</w:t>
      </w:r>
      <w:r>
        <w:br/>
      </w:r>
      <w:r>
        <w:rPr>
          <w:b/>
        </w:rPr>
        <w:t xml:space="preserve">Published: </w:t>
      </w:r>
      <w:r>
        <w:t>2026-04-23</w:t>
      </w:r>
      <w:r>
        <w:br/>
      </w:r>
      <w:r>
        <w:rPr>
          <w:b/>
        </w:rPr>
        <w:t xml:space="preserve">Relevance Score: </w:t>
      </w:r>
      <w:r>
        <w:t>7/10</w:t>
      </w:r>
      <w:r>
        <w:br/>
      </w:r>
      <w:r>
        <w:rPr>
          <w:b/>
        </w:rPr>
        <w:t xml:space="preserve">Action Needed: </w:t>
      </w:r>
      <w:r>
        <w:t>monitor</w:t>
      </w:r>
    </w:p>
    <w:p>
      <w:pPr>
        <w:pStyle w:val="Heading2"/>
      </w:pPr>
      <w:r>
        <w:t>Summary</w:t>
      </w:r>
    </w:p>
    <w:p>
      <w:r>
        <w:t>Executive briefing:</w:t>
        <w:br/>
        <w:br/>
        <w:t>Key shifts and regulatory implications</w:t>
        <w:br/>
        <w:t>- AI-enabled vulnerability discovery is accelerating, with tools like Claude Mythos Preview identifying thousands of previously unknown defects and potentially enabling autonomous exploitation. Industry coalitions (e.g., Project Glasswing) are offering early access to these capabilities to pre-emptively patch critical flaws. Regulators will increasingly expect testing and remediation practices to keep pace with AI-assisted threat activity.</w:t>
        <w:br/>
        <w:t>- EU regulators are tightening obligations across several regimes:</w:t>
        <w:br/>
        <w:t xml:space="preserve">  - Cyber Resilience Act (CRA): for products with digital elements; requires ongoing governance, lifecycle vulnerability/patch management, and 24-hour regulator notification for actively exploited vulnerabilities or data-compromising incidents.</w:t>
        <w:br/>
        <w:t xml:space="preserve">  - NIS2: board-level accountability for cyber risk management; required vulnerability handling, disclosure policies, and 24-hour incident notification for significant impacts.</w:t>
        <w:br/>
        <w:t xml:space="preserve">  - UK NIS and DORA (financial sector): similar governance and vulnerability/patch management expectations; 24-hour incident reporting for major ICT incidents.</w:t>
        <w:br/>
        <w:t xml:space="preserve">  - GDPR: formal vulnerability/patch controls and 72-hour breach reporting for personal-data incidents.</w:t>
        <w:br/>
        <w:t>- US landscape notes: regulators at state and federal levels impose proactive cyber governance and incident reporting requirements, with cross-border considerations adding complexity. Specific obligations vary by jurisdiction and sector.</w:t>
        <w:br/>
        <w:br/>
        <w:t>Actions and business impact</w:t>
        <w:br/>
        <w:t>- Required actions: overhaul vulnerability management and incident response to operate at accelerated tempo; extend patching to third-party software and open-source components, moving from weeks to near-real-time remediation where feasible; enhance testing, prioritization, and remediation practices to reflect AI-driven threat capabilities; ensure board-level governance and clear incident-reporting processes across products and services.</w:t>
        <w:br/>
        <w:t>- Deadlines and reporting: prepare for 24-hour regulator notification windows for exploited vulnerabilities or significant incidents (CRA, NIS2, UK NIS, DORA); GDPR breach response within 72 hours; ensure comprehensive documentation of cybersecurity measures and ongoing risk assessments.</w:t>
        <w:br/>
        <w:t>- Industries affected: virtually all sectors with digital products or processing of personal data, notably regulated product manufacturers, critical infrastructure, financial services, and any entity operating under GDPR. Increased scrutiny on third-party and open-source software vulnerabilities and supply-chain security.</w:t>
        <w:br/>
        <w:t>- Bottom-line impact: potential increases in compliance costs and operational risk if defenses are not aligned with AI-enabled threat capabilities; reputational risk and potential penalties for non-compliance; need for stronger governance, enhanced vendor management, and faster security patch cycles to reduce exposure.</w:t>
      </w:r>
    </w:p>
    <w:p/>
    <w:p>
      <w:pPr>
        <w:pStyle w:val="Heading1"/>
      </w:pPr>
      <w:r>
        <w:t>7. Proposed California Antitrust Legislation Could Significantly Broaden State’s Antitrust Law | Insights | Skadden, Arps, Slate, Meagher</w:t>
      </w:r>
    </w:p>
    <w:p>
      <w:r>
        <w:rPr>
          <w:b/>
        </w:rPr>
        <w:t xml:space="preserve">URL: </w:t>
      </w:r>
      <w:r>
        <w:t>https://www.skadden.com/insights/publications/2026/04/proposed-california-antitrust-legislation</w:t>
      </w:r>
      <w:r>
        <w:br/>
      </w:r>
      <w:r>
        <w:rPr>
          <w:b/>
        </w:rPr>
        <w:t xml:space="preserve">Published: </w:t>
      </w:r>
      <w:r>
        <w:t>2026-04-22</w:t>
      </w:r>
      <w:r>
        <w:br/>
      </w:r>
      <w:r>
        <w:rPr>
          <w:b/>
        </w:rPr>
        <w:t xml:space="preserve">Relevance Score: </w:t>
      </w:r>
      <w:r>
        <w:t>6/10</w:t>
      </w:r>
      <w:r>
        <w:br/>
      </w:r>
      <w:r>
        <w:rPr>
          <w:b/>
        </w:rPr>
        <w:t xml:space="preserve">Action Needed: </w:t>
      </w:r>
      <w:r>
        <w:t>monitor</w:t>
      </w:r>
    </w:p>
    <w:p>
      <w:pPr>
        <w:pStyle w:val="Heading2"/>
      </w:pPr>
      <w:r>
        <w:t>Summary</w:t>
      </w:r>
    </w:p>
    <w:p>
      <w:r>
        <w:t>Executive briefing: California COMPETE Act (AB 1776) – potential expansion of Cartwright Act</w:t>
        <w:br/>
        <w:br/>
        <w:t>Key regulatory changes proposed</w:t>
        <w:br/>
        <w:t>- Extend California’s Cartwright Act to cover unilateral, single-firm conduct (e.g., pricing, distribution choices, refusals to deal), effectively aligning with “monopolization” risk under the Sherman Act but under state law.</w:t>
        <w:br/>
        <w:t>- Decouple California antitrust interpretation from federal precedent: Cartwright Act would be interpreted more broadly and “liberally,” with Sherman Act standards not binding in many instances.</w:t>
        <w:br/>
        <w:t>- Significant relaxations of traditional federal standards: no formal prior-dealing requirement for refusal-to-deal claims; pricing and predatory-pricing standards opened up beyond current Sherman Act tests; liability could attach when harm occurs on one side of a two-sided market (e.g., platforms serving both users and merchants); softer market-definition and market-power requirements in some direct-evidence contexts.</w:t>
        <w:br/>
        <w:br/>
        <w:t>Industries and business areas affected</w:t>
        <w:br/>
        <w:t>- Broad impact across California-based and nationally operating companies with a substantial CA footprint, including tech platforms and digital marketplaces, retailers, distributors, manufacturers, and any business with significant pricing or exclusive dealing strategies in California.</w:t>
        <w:br/>
        <w:br/>
        <w:t>Actions and timelines</w:t>
        <w:br/>
        <w:t>- Status: The bill’s progression through the California legislature is the key near-term milestone; no hard deadline is provided in the summary.</w:t>
        <w:br/>
        <w:t xml:space="preserve">- Recommended actions: </w:t>
        <w:br/>
        <w:t xml:space="preserve">  - Monitor legislative developments closely and assess exposure if enacted.</w:t>
        <w:br/>
        <w:t xml:space="preserve">  - Initiate internal risk assessments of pricing, distribution, exclusive dealing, and two-sided market practices in California.</w:t>
        <w:br/>
        <w:t xml:space="preserve">  - Update antitrust compliance programs and training to reflect potential new liability standards and defenses under the Cartwright Act.</w:t>
        <w:br/>
        <w:t xml:space="preserve">  - Prepare scenario planning for potential litigation risk, settlements, or injunctions in California.</w:t>
        <w:br/>
        <w:br/>
        <w:t>Potential business impact</w:t>
        <w:br/>
        <w:t>- Increased litigation risk and potential liability under state law for practices previously governed by federal standards (or deemed lawful under pre-existing Cartwright Act limits).</w:t>
        <w:br/>
        <w:t>- Likely shift in competitive strategy: greater scrutiny of pricing structures (including bundled pricing and predatory-pricing concepts), distribution arrangements, and refusals to deal, especially for CA-native operations and those with prominent CA market presence.</w:t>
        <w:br/>
        <w:t>- Possible rise in private antitrust enforcement and faster-tracked trials in California, with broader liability exposure than under current federal antitrust norms. Overall, heightened compliance costs and more strategic consideration of competitive actions in California planning and budgeting.</w:t>
      </w:r>
    </w:p>
    <w:p/>
    <w:p>
      <w:pPr>
        <w:pStyle w:val="Heading1"/>
      </w:pPr>
      <w:r>
        <w:t>8. The Future of Climate Change Regulation and Litigation After EPA’s Repeal of the Endangerment Finding | Skadden, Arps, Slate, Meagher</w:t>
      </w:r>
    </w:p>
    <w:p>
      <w:r>
        <w:rPr>
          <w:b/>
        </w:rPr>
        <w:t xml:space="preserve">URL: </w:t>
      </w:r>
      <w:r>
        <w:t>https://www.skadden.com/insights/publications/2026/04/insights-april-2026/the-future-of-climate-change-regulation</w:t>
      </w:r>
      <w:r>
        <w:br/>
      </w:r>
      <w:r>
        <w:rPr>
          <w:b/>
        </w:rPr>
        <w:t xml:space="preserve">Published: </w:t>
      </w:r>
      <w:r>
        <w:t>2026-04-07</w:t>
      </w:r>
      <w:r>
        <w:br/>
      </w:r>
      <w:r>
        <w:rPr>
          <w:b/>
        </w:rPr>
        <w:t xml:space="preserve">Relevance Score: </w:t>
      </w:r>
      <w:r>
        <w:t>6/10</w:t>
      </w:r>
      <w:r>
        <w:br/>
      </w:r>
      <w:r>
        <w:rPr>
          <w:b/>
        </w:rPr>
        <w:t xml:space="preserve">Action Needed: </w:t>
      </w:r>
      <w:r>
        <w:t>monitor</w:t>
      </w:r>
    </w:p>
    <w:p>
      <w:pPr>
        <w:pStyle w:val="Heading2"/>
      </w:pPr>
      <w:r>
        <w:t>Summary</w:t>
      </w:r>
    </w:p>
    <w:p>
      <w:r>
        <w:t>Executive briefing: The EPA has rescinded the 2009 endangerment finding for six greenhouse gases, effectively removing the agency’s primary basis for regulating GHG emissions from new vehicles under the Clean Air Act Section 202(a). The agency now asserts that Section 202(a) covers regional, not global, air pollution, and that the link between vehicle GHG emissions and public health is too attenuated to justify regulation. This rescission eliminates EPA’s vehicle GHG standards, testing/measurement requirements, manufacturer reporting/certification obligations, and GHG credit programs. It also weakens the regulatory footing for broader GHG rules previously pursued in power generation and oil/gas methane emissions and provides possible political and legal cover for rollback efforts. Lawsuits challenging the rescission have been filed; the outcome will depend on ongoing and future court decisions, including post-Massachusetts v. EPA precedent and recent rulings (Utility Air, West Virginia v. EPA, Loper Bright).</w:t>
        <w:br/>
        <w:br/>
        <w:t>Implications and actions for business:</w:t>
        <w:br/>
        <w:t>- Affected industries and sectors: automotive (light, medium, and heavy-duty vehicle GHG standards and associated programs), coal- and gas-fired power generation, and methane emissions from oil and gas operations. State and local regulators may pursue climate rules more aggressively; climate-related civil litigation and “climate change superfund”-style state laws are likely to increase.</w:t>
        <w:br/>
        <w:t>- Regulatory and litigation risk: Federal GHG regulation may be harder to justify, but state actions and tort claims could proliferate, potentially creating a patchwork of compliance requirements and liability exposure. Preemption challenges to state laws and lawsuits against emitters may become more contestable if EPA’s authority under the CAA is viewed as diminished.</w:t>
        <w:br/>
        <w:t xml:space="preserve">- Actions and deadlines for executives: </w:t>
        <w:br/>
        <w:t xml:space="preserve">  - Monitor ongoing litigation challenging the rescission and any resulting court rulings for timing and scope.</w:t>
        <w:br/>
        <w:t xml:space="preserve">  - Track state climate regulation developments and potential new compliance obligations or liability regimes.</w:t>
        <w:br/>
        <w:t xml:space="preserve">  - Assess exposure across automotive, power, and oil/gas operations; evaluate potential shifts to state-level rules, reporting, and retrofitting costs.</w:t>
        <w:br/>
        <w:t xml:space="preserve">  - Engage in scenario planning for a more fragmented regulatory landscape and consider policy engagement or industry coalition participation to shape forthcoming rules and defenses against climate-related litigation.</w:t>
        <w:br/>
        <w:t>- Business impact: Near-term regulatory certainty for vehicle GHGs is reduced, while the broader regulatory environment may become more variable and state-driven. Potential cost pressures from any new state or local mandates, and ongoing litigation risk, could influence capital planning, supply chains, and risk management strategies. The February 18, 2026 rescission date marks a turning point, but final outcomes will hinge on court decisions and subsequent rulemaking at both federal and state levels over the coming years.</w:t>
      </w:r>
    </w:p>
    <w:p/>
    <w:p>
      <w:pPr>
        <w:pStyle w:val="Heading1"/>
      </w:pPr>
      <w:r>
        <w:t>9. Whose AI Is It Anyway? Key Developments in the Evolving Relationship Between AI and IP | Skadden, Arps, Slate, Meagher</w:t>
      </w:r>
    </w:p>
    <w:p>
      <w:r>
        <w:rPr>
          <w:b/>
        </w:rPr>
        <w:t xml:space="preserve">URL: </w:t>
      </w:r>
      <w:r>
        <w:t>https://www.skadden.com/insights/publications/2026/04/insights-april-2026/whose-ai-is-it-anyway</w:t>
      </w:r>
      <w:r>
        <w:br/>
      </w:r>
      <w:r>
        <w:rPr>
          <w:b/>
        </w:rPr>
        <w:t xml:space="preserve">Published: </w:t>
      </w:r>
      <w:r>
        <w:t>2026-04-07</w:t>
      </w:r>
      <w:r>
        <w:br/>
      </w:r>
      <w:r>
        <w:rPr>
          <w:b/>
        </w:rPr>
        <w:t xml:space="preserve">Relevance Score: </w:t>
      </w:r>
      <w:r>
        <w:t>7/10</w:t>
      </w:r>
      <w:r>
        <w:br/>
      </w:r>
      <w:r>
        <w:rPr>
          <w:b/>
        </w:rPr>
        <w:t xml:space="preserve">Action Needed: </w:t>
      </w:r>
      <w:r>
        <w:t>monitor</w:t>
      </w:r>
    </w:p>
    <w:p>
      <w:pPr>
        <w:pStyle w:val="Heading2"/>
      </w:pPr>
      <w:r>
        <w:t>Summary</w:t>
      </w:r>
    </w:p>
    <w:p>
      <w:r>
        <w:t>Executive briefing: Key AI–IP regulatory developments and implications</w:t>
        <w:br/>
        <w:br/>
        <w:t>Regulatory posture toward AI and IP remains highly jurisdiction-specific, driving divergent strategic choices. The U.K. and E.U. are broadening the patentability pathway for AI tools, signaling a shift from relying primarily on trade secrets or copyright to pursuing formal patent protection. A landmark UK Supreme Court decision in Emotional Perception AI Ltd v Comptroller General of Patents (Feb 2026) aligned the U.K. with the EPO approach by clarifying that claims incorporating hardware (including the physical form of an AI system) are not automatically excluded as “programs for a computer as such.” This creates an incentive for cross-border IP strategies that emphasize patent filings in the U.K./EU, even as other regions pursue different protections. In the U.S., patent eligibility remains governed by the two-step test (Alice/Mayo) with agency guidance specific to AI, while inventorship debates continue (AI as inventor remains generally rejected in practice).</w:t>
        <w:br/>
        <w:br/>
        <w:t>Inventorship and training data copyright developments are uneven across jurisdictions. In the U.S., AI systems are treated as tools, not inventors, though human contribution remains crucial for patentability; recent guidance and cases continue to shape the boundaries of AI-assisted invention and policy-making. The EU and U.K. have not established a formal inventor test for AI, but past outcomes in Thaler’s DABUS efforts suggest human authorship requirements will persist, with the degree of human input being material. On copyright, training-data issues remain hotly contested: the U.S. relies on fair use but has seen significant risk from “shadow libraries” and high-profile settlements (e.g., Bartz v. Anthropic, $1.5B settlement for pirated content; Kadrey v. Meta denied fair-use relief); the debate over whether AI-generated outputs themselves can be copyrighted is ongoing, with high-profile litigation (e.g., The New York Times v. Microsoft) progressing in parallel. The U.K. is weighing a possible TDM exception but has yet to enact a definitive framework, while the EU’s Digital Single Market Directive already addresses training on protected works and Australia has rejected a comparable measure.</w:t>
        <w:br/>
        <w:br/>
        <w:t>Business impact and required actions for executives</w:t>
        <w:br/>
        <w:t>- Rebalance IP strategy: accelerate patent-focused protection in the U.K. and EU for AI tools, while maintaining a robust portfolio of trade secrets and copyright where appropriate in other regions. Ensure documentation of hardware features and technical contributions to support patentability.</w:t>
        <w:br/>
        <w:t>- Strengthen governance around training data: implement compliant licensing for used data, conduct due diligence on third-party datasets, and prepare for potential fair-use or exception scenarios in major markets. Monitor ongoing and upcoming litigation (notably U.S. fair-use cases and NYT v. Microsoft) for signs of shifting risk or defensibility.</w:t>
        <w:br/>
        <w:t>- Invest in cross-border inventorship and data governance: document human input and inventive activity with meticulous records; align invention disclosures with evolving jurisdictional interpretations of inventorship and authorship; coordinate global IP workflows to reflect varying patentability and data-use regimes.</w:t>
        <w:br/>
        <w:t>- Monitor policy developments and readiness: track UK/EU rulings (including post-Emotional Perception AI guidance) and any new or modified TDM or data-rights regimes; anticipate potential shifts in digital identity protections as AI-generated voices/images proliferate, which could affect licensing and enforcement strategies.</w:t>
        <w:br/>
        <w:br/>
        <w:t>Overall, executives should adopt a proactive, jurisdiction-aware IP posture, reinforce data licensing and human-contribution documentation, and closely monitor regulatory and litigation trajectories that could alter the cost, timing, and feasibility of AI-related IP protection.</w:t>
      </w:r>
    </w:p>
    <w:p/>
    <w:p>
      <w:pPr>
        <w:pStyle w:val="Heading1"/>
      </w:pPr>
      <w:r>
        <w:t>10. Insights – April 2026 | Skadden, Arps, Slate, Meagher</w:t>
      </w:r>
    </w:p>
    <w:p>
      <w:r>
        <w:rPr>
          <w:b/>
        </w:rPr>
        <w:t xml:space="preserve">URL: </w:t>
      </w:r>
      <w:r>
        <w:t>https://www.skadden.com/insights/publications/2026/04/insights-april-2026/landing-page</w:t>
      </w:r>
      <w:r>
        <w:br/>
      </w:r>
      <w:r>
        <w:rPr>
          <w:b/>
        </w:rPr>
        <w:t xml:space="preserve">Published: </w:t>
      </w:r>
      <w:r>
        <w:t>2026-04-07</w:t>
      </w:r>
      <w:r>
        <w:br/>
      </w:r>
      <w:r>
        <w:rPr>
          <w:b/>
        </w:rPr>
        <w:t xml:space="preserve">Relevance Score: </w:t>
      </w:r>
      <w:r>
        <w:t>6/10</w:t>
      </w:r>
      <w:r>
        <w:br/>
      </w:r>
      <w:r>
        <w:rPr>
          <w:b/>
        </w:rPr>
        <w:t xml:space="preserve">Action Needed: </w:t>
      </w:r>
      <w:r>
        <w:t>monitor</w:t>
      </w:r>
    </w:p>
    <w:p>
      <w:pPr>
        <w:pStyle w:val="Heading2"/>
      </w:pPr>
      <w:r>
        <w:t>Summary</w:t>
      </w:r>
    </w:p>
    <w:p>
      <w:r>
        <w:t>Executive briefing: Key regulatory themes in Skadden Insights – April 2026</w:t>
        <w:br/>
        <w:br/>
        <w:t>The edition highlights three regulatory threads shaping corporate risk and strategy: first, the use of informal settlements to resolve activist campaigns, with implications for governance, disclosure, and settlements dynamics; second, the evolving IP and tax considerations for AI companies, focusing on how ownership, licensing, data use, and cross-border tax rules intersect with rapid AI development; and third, tax reforms that make domestication or relocation of activities to the United States more attractive, potentially altering multinational structuring and incentive planning. The report notes that these developments are part of broader policy discussions and ongoing regulatory maturation that could affect multiple sectors.</w:t>
        <w:br/>
        <w:br/>
        <w:t>Industries and business areas affected include: (1) publicly traded and private companies exposed to activist campaigns and related settlement dynamics; (2) technology, software, AI-enabled businesses, data-intensive sectors, and their ecosystems (including IP ownership, licensing models, and transfer pricing considerations); and (3) multinational corporations evaluating corporate domicile, cross-border tax planning, and potential incentives under U.S. reforms. Actions to consider include monitoring proposed rules and legislation, engaging with legal and policy counsel, and conducting internal risk and planning reviews to assess exposure and readiness. For AI players, revisiting IP strategies, data governance, and licensing structures will be prudent; for corporates considering U.S. domicile shifts, scenario planning around tax and regulatory changes is advised.</w:t>
        <w:br/>
        <w:br/>
        <w:t>Potential business impact includes increased regulatory scrutiny and compliance costs around activist settlements, shifting tax and IP planning in AI-intensive businesses, and potential realignments of corporate structure or incentives to capitalize on reforms that favor U.S. domestication. Executives should establish a regulatory watch, assess adaptive strategies across governance, IP, and tax planning, and prepare for possible changes in capital allocation, location strategy, and cross-border operations as these topics evolve.</w:t>
      </w:r>
    </w:p>
    <w:p/>
    <w:p>
      <w:pPr>
        <w:pStyle w:val="Heading1"/>
      </w:pPr>
      <w:r>
        <w:t>11. Unwrought Palladium From the Russian Federation: Final Affirmative Determination of Sales at Less Than Fair Value</w:t>
      </w:r>
    </w:p>
    <w:p>
      <w:r>
        <w:rPr>
          <w:b/>
        </w:rPr>
        <w:t xml:space="preserve">URL: </w:t>
      </w:r>
      <w:r>
        <w:t>https://www.federalregister.gov/documents/2026/05/01/2026-08487/unwrought-palladium-from-the-russian-federation-final-affirmative-determination-of-sales-at-less</w:t>
      </w:r>
      <w:r>
        <w:br/>
      </w:r>
      <w:r>
        <w:rPr>
          <w:b/>
        </w:rPr>
        <w:t xml:space="preserve">Published: </w:t>
      </w:r>
      <w:r>
        <w:t>2026-04-30</w:t>
      </w:r>
      <w:r>
        <w:br/>
      </w:r>
      <w:r>
        <w:rPr>
          <w:b/>
        </w:rPr>
        <w:t xml:space="preserve">Relevance Score: </w:t>
      </w:r>
      <w:r>
        <w:t>6/10</w:t>
      </w:r>
      <w:r>
        <w:br/>
      </w:r>
      <w:r>
        <w:rPr>
          <w:b/>
        </w:rPr>
        <w:t xml:space="preserve">Action Needed: </w:t>
      </w:r>
      <w:r>
        <w:t>monitor</w:t>
      </w:r>
    </w:p>
    <w:p>
      <w:pPr>
        <w:pStyle w:val="Heading2"/>
      </w:pPr>
      <w:r>
        <w:t>Summary</w:t>
      </w:r>
    </w:p>
    <w:p>
      <w:r>
        <w:t>Executive briefing: Final affirmative LTFV finding on unwrought palladium from Russia</w:t>
        <w:br/>
        <w:br/>
        <w:t>Regulatory change and scope</w:t>
        <w:br/>
        <w:t>U.S. Commerce has issued a final affirmative determination that unwrought palladium from Russia is being dumped in the United States, using a Russia-wide entity with adverse facts available. The estimated dumping margin is 132.83%, and the cash deposit rate for all Russian producers/exporters (and third-country exporters) is set at 132.83%. No separate-rate producers/exporters were identified, and there is no calculated combination-rate. The scope covers unwrought palladium in all primary forms, including goods produced from ore or scrap, and even palladium components that are commingled with non-subject materials.</w:t>
        <w:br/>
        <w:br/>
        <w:t>Actions, deadlines and ongoing measures</w:t>
        <w:br/>
        <w:t>Commerce will continue suspension of liquidation and require cash deposits at the 132.83% rate for entries of unwrought palladium from Russia entered for consumption on or after February 19, 2026. The U.S. ITC will determine within 45 days after this final determination whether the domestic industry is materially injured or threatened, which will determine whether an antidumping (AD) order is issued. If ITC finds injury, AD duties become enforceable; if not, deposits are refunded and liquidation is lifted. No verification occurred due to no participating respondents, and no CVD final determination has yet been made to offset the dumping margin.</w:t>
        <w:br/>
        <w:br/>
        <w:t>Business impact and considerations</w:t>
        <w:br/>
        <w:t>Affected industries include U.S. palladium users and downstream manufacturers (notably catalytic converters, electronics, and other palladium-intensive sectors) that rely on Russian palladium imports. The substantial 132.83% dumping margin and continued suspension/deposits imply higher import costs unless/until ITC finds no material injury. Companies should plan for increased input costs, reassess sourcing strategies, and monitor ITC outcomes and any future CVD developments, which could influence final duties.</w:t>
      </w:r>
    </w:p>
    <w:p/>
    <w:p>
      <w:pPr>
        <w:pStyle w:val="Heading1"/>
      </w:pPr>
      <w:r>
        <w:t>12. Scaling Critical Suppliers in Domestic Supply Chains</w:t>
      </w:r>
    </w:p>
    <w:p>
      <w:r>
        <w:rPr>
          <w:b/>
        </w:rPr>
        <w:t xml:space="preserve">URL: </w:t>
      </w:r>
      <w:r>
        <w:t>https://www.federalregister.gov/documents/2026/05/01/2026-08554/scaling-critical-suppliers-in-domestic-supply-chains</w:t>
      </w:r>
      <w:r>
        <w:br/>
      </w:r>
      <w:r>
        <w:rPr>
          <w:b/>
        </w:rPr>
        <w:t xml:space="preserve">Published: </w:t>
      </w:r>
      <w:r>
        <w:t>2026-04-30</w:t>
      </w:r>
      <w:r>
        <w:br/>
      </w:r>
      <w:r>
        <w:rPr>
          <w:b/>
        </w:rPr>
        <w:t xml:space="preserve">Relevance Score: </w:t>
      </w:r>
      <w:r>
        <w:t>7/10</w:t>
      </w:r>
      <w:r>
        <w:br/>
      </w:r>
      <w:r>
        <w:rPr>
          <w:b/>
        </w:rPr>
        <w:t xml:space="preserve">Action Needed: </w:t>
      </w:r>
      <w:r>
        <w:t>monitor</w:t>
      </w:r>
    </w:p>
    <w:p>
      <w:pPr>
        <w:pStyle w:val="Heading2"/>
      </w:pPr>
      <w:r>
        <w:t>Summary</w:t>
      </w:r>
    </w:p>
    <w:p>
      <w:r>
        <w:t>The SBA has issued a Request for Information (RFI) on “Scaling Critical Suppliers in Domestic Supply Chains,” seeking industry input to accelerate the immediate scaling of existing U.S. small-business suppliers and proven solution providers. The goal is to expand productive capacity and address supply-chain choke points with measurable near-term milestones, while improving supplier coordination and vertical integration to boost domestic production across the industrial base. The initiative also contemplates potential prize competitions under the America COMPETES Act.</w:t>
        <w:br/>
        <w:br/>
        <w:t>Respondents are asked to address six areas: (1) where supply-chain gaps or choke points constrain domestic production; (2) which suppliers are ready to scale within 1–3 months; (3) barriers to near-term scaling (capital, workforce, certifications, demand, infrastructure, etc.); (4) interventions that could rapidly enable scaling (financial and non-financial); (5) the level of capital, milestones, and expected outcomes (including non-federal cost shares and timing); and (6) data sources and metrics to measure impact. The SBA seeks concise, operational, time-bound responses with quantitative estimates and clearly stated assumptions and risks. Potential program designs include direct capital support to small businesses, capabilities to assist suppliers or bottleneck via intermediary entities, and milestone-based funding aligned to rapid, measurable outputs.</w:t>
        <w:br/>
        <w:br/>
        <w:t>For executives, the proposed actions signal enhanced opportunities for funding, procurement commitments, and technical assistance to accelerate domestic production—especially in manufacturing, defense, and dual-use sectors. If implemented, the program could reduce lead times, lower costs, and strengthen national security and economic resilience by multiplying the impact of small-business suppliers. Key next steps include mapping relevant chokepoints, identifying ready-to-scale suppliers, assembling capital and capability requirements (1–3 month milestones), and preparing quantitative inputs to inform SBA responses and any forthcoming funding mechanisms or competition designs.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