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7D098" w14:textId="77777777" w:rsidR="002929A9" w:rsidRDefault="002929A9" w:rsidP="002929A9"/>
    <w:p w14:paraId="7E5A627E" w14:textId="25F6553A" w:rsidR="00C37138" w:rsidRDefault="00C37138" w:rsidP="003D4919">
      <w:pPr>
        <w:jc w:val="center"/>
      </w:pPr>
      <w:r>
        <w:t>Abstract</w:t>
      </w:r>
    </w:p>
    <w:p w14:paraId="00EF1DC7" w14:textId="5E5A29CC" w:rsidR="006F3C02" w:rsidRDefault="00A75432" w:rsidP="00A75432">
      <w:pPr>
        <w:ind w:firstLine="720"/>
      </w:pPr>
      <w:r>
        <w:t>The world bank is an international financial institution that develops poverty reduction strategies and goals.</w:t>
      </w:r>
      <w:r>
        <w:t xml:space="preserve"> </w:t>
      </w:r>
      <w:proofErr w:type="spellStart"/>
      <w:r w:rsidR="006F3C02">
        <w:t>DrivenData</w:t>
      </w:r>
      <w:proofErr w:type="spellEnd"/>
      <w:r w:rsidR="006F3C02">
        <w:t xml:space="preserve"> released a data analysis competition in </w:t>
      </w:r>
      <w:r w:rsidR="00BC4A7B">
        <w:t>collaboration</w:t>
      </w:r>
      <w:r w:rsidR="006F3C02">
        <w:t xml:space="preserve"> with </w:t>
      </w:r>
      <w:r>
        <w:t xml:space="preserve">The World Bank </w:t>
      </w:r>
      <w:r w:rsidR="00FD7858">
        <w:t xml:space="preserve">to predict the probability of poverty in households in developing countries. The intent of the competition was for the </w:t>
      </w:r>
      <w:r w:rsidR="00FD7858" w:rsidRPr="00FD7858">
        <w:t>World Bank Development Data Group</w:t>
      </w:r>
      <w:r w:rsidR="00FD7858">
        <w:t xml:space="preserve"> to engage data scientists to develop effective poverty prediction methods. </w:t>
      </w:r>
    </w:p>
    <w:p w14:paraId="1B86803D" w14:textId="3EE8CDEA" w:rsidR="001615D7" w:rsidRDefault="00FD7858" w:rsidP="00C37138">
      <w:r>
        <w:tab/>
        <w:t xml:space="preserve">The data released consisted of 6 datasets: two for countries </w:t>
      </w:r>
      <w:proofErr w:type="gramStart"/>
      <w:r>
        <w:t>A,B</w:t>
      </w:r>
      <w:proofErr w:type="gramEnd"/>
      <w:r>
        <w:t xml:space="preserve"> and C.</w:t>
      </w:r>
      <w:r w:rsidR="007B4B71">
        <w:t xml:space="preserve"> Two datasets for each country consisted of one for individuals, and one for households. Each variable in the datasets were random strings. The datasets differed between the three countries, meaning that each analysis had to be tailored to each dataset specifically.</w:t>
      </w:r>
      <w:r w:rsidR="002929A9">
        <w:t xml:space="preserve"> </w:t>
      </w:r>
      <w:r w:rsidR="00FE016C">
        <w:t xml:space="preserve">Every dataset contains a ‘poor’ variable with two levels. </w:t>
      </w:r>
      <w:r w:rsidR="00D44254">
        <w:t>D</w:t>
      </w:r>
      <w:r w:rsidR="007B4B71">
        <w:t xml:space="preserve">imensions of each dataset </w:t>
      </w:r>
      <w:r w:rsidR="001615D7">
        <w:t xml:space="preserve">are listed </w:t>
      </w:r>
      <w:commentRangeStart w:id="0"/>
      <w:r w:rsidR="001615D7">
        <w:t>below</w:t>
      </w:r>
      <w:commentRangeEnd w:id="0"/>
      <w:r w:rsidR="00D65DE6">
        <w:rPr>
          <w:rStyle w:val="CommentReference"/>
        </w:rPr>
        <w:commentReference w:id="0"/>
      </w:r>
      <w:r w:rsidR="001615D7">
        <w:t>:</w:t>
      </w:r>
    </w:p>
    <w:tbl>
      <w:tblPr>
        <w:tblStyle w:val="PlainTable1"/>
        <w:tblW w:w="4641" w:type="dxa"/>
        <w:jc w:val="center"/>
        <w:tblLook w:val="04A0" w:firstRow="1" w:lastRow="0" w:firstColumn="1" w:lastColumn="0" w:noHBand="0" w:noVBand="1"/>
      </w:tblPr>
      <w:tblGrid>
        <w:gridCol w:w="950"/>
        <w:gridCol w:w="1179"/>
        <w:gridCol w:w="1085"/>
        <w:gridCol w:w="1427"/>
      </w:tblGrid>
      <w:tr w:rsidR="005212EB" w14:paraId="576A7E71" w14:textId="2564D754" w:rsidTr="007B12F8">
        <w:trPr>
          <w:cnfStyle w:val="100000000000" w:firstRow="1" w:lastRow="0" w:firstColumn="0" w:lastColumn="0" w:oddVBand="0" w:evenVBand="0" w:oddHBand="0"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964" w:type="dxa"/>
          </w:tcPr>
          <w:p w14:paraId="5BC2D9F4" w14:textId="43EB5BCC" w:rsidR="005212EB" w:rsidRDefault="005212EB" w:rsidP="00C37138">
            <w:r>
              <w:t>Country</w:t>
            </w:r>
          </w:p>
        </w:tc>
        <w:tc>
          <w:tcPr>
            <w:tcW w:w="1182" w:type="dxa"/>
          </w:tcPr>
          <w:p w14:paraId="5D30562E" w14:textId="0E2F59C8" w:rsidR="005212EB" w:rsidRDefault="005212EB" w:rsidP="00C37138">
            <w:pPr>
              <w:cnfStyle w:val="100000000000" w:firstRow="1" w:lastRow="0" w:firstColumn="0" w:lastColumn="0" w:oddVBand="0" w:evenVBand="0" w:oddHBand="0" w:evenHBand="0" w:firstRowFirstColumn="0" w:firstRowLastColumn="0" w:lastRowFirstColumn="0" w:lastRowLastColumn="0"/>
            </w:pPr>
            <w:r>
              <w:t>Grouping</w:t>
            </w:r>
          </w:p>
        </w:tc>
        <w:tc>
          <w:tcPr>
            <w:tcW w:w="1149" w:type="dxa"/>
          </w:tcPr>
          <w:p w14:paraId="0CF00E64" w14:textId="063D2A3B" w:rsidR="005212EB" w:rsidRDefault="005212EB" w:rsidP="00C37138">
            <w:pPr>
              <w:cnfStyle w:val="100000000000" w:firstRow="1" w:lastRow="0" w:firstColumn="0" w:lastColumn="0" w:oddVBand="0" w:evenVBand="0" w:oddHBand="0" w:evenHBand="0" w:firstRowFirstColumn="0" w:firstRowLastColumn="0" w:lastRowFirstColumn="0" w:lastRowLastColumn="0"/>
            </w:pPr>
            <w:r>
              <w:t>Variables</w:t>
            </w:r>
          </w:p>
        </w:tc>
        <w:tc>
          <w:tcPr>
            <w:tcW w:w="1346" w:type="dxa"/>
          </w:tcPr>
          <w:p w14:paraId="28A582BD" w14:textId="4BA6D208" w:rsidR="005212EB" w:rsidRDefault="005212EB" w:rsidP="00C37138">
            <w:pPr>
              <w:cnfStyle w:val="100000000000" w:firstRow="1" w:lastRow="0" w:firstColumn="0" w:lastColumn="0" w:oddVBand="0" w:evenVBand="0" w:oddHBand="0" w:evenHBand="0" w:firstRowFirstColumn="0" w:firstRowLastColumn="0" w:lastRowFirstColumn="0" w:lastRowLastColumn="0"/>
            </w:pPr>
            <w:r>
              <w:t>Observations</w:t>
            </w:r>
          </w:p>
        </w:tc>
      </w:tr>
      <w:tr w:rsidR="005212EB" w14:paraId="0BA97586" w14:textId="7095629A" w:rsidTr="007B12F8">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964" w:type="dxa"/>
          </w:tcPr>
          <w:p w14:paraId="2B8187EC" w14:textId="17F6F8A7" w:rsidR="005212EB" w:rsidRDefault="005212EB" w:rsidP="005212EB">
            <w:r>
              <w:t>A</w:t>
            </w:r>
          </w:p>
        </w:tc>
        <w:tc>
          <w:tcPr>
            <w:tcW w:w="1182" w:type="dxa"/>
          </w:tcPr>
          <w:p w14:paraId="23483E88" w14:textId="49E02639" w:rsidR="005212EB" w:rsidRDefault="005212EB" w:rsidP="005212EB">
            <w:pPr>
              <w:cnfStyle w:val="000000100000" w:firstRow="0" w:lastRow="0" w:firstColumn="0" w:lastColumn="0" w:oddVBand="0" w:evenVBand="0" w:oddHBand="1" w:evenHBand="0" w:firstRowFirstColumn="0" w:firstRowLastColumn="0" w:lastRowFirstColumn="0" w:lastRowLastColumn="0"/>
            </w:pPr>
            <w:r>
              <w:t>Household</w:t>
            </w:r>
          </w:p>
        </w:tc>
        <w:tc>
          <w:tcPr>
            <w:tcW w:w="1149" w:type="dxa"/>
          </w:tcPr>
          <w:p w14:paraId="65BD393B" w14:textId="445287C3" w:rsidR="005212EB" w:rsidRDefault="005212EB" w:rsidP="005212EB">
            <w:pPr>
              <w:cnfStyle w:val="000000100000" w:firstRow="0" w:lastRow="0" w:firstColumn="0" w:lastColumn="0" w:oddVBand="0" w:evenVBand="0" w:oddHBand="1" w:evenHBand="0" w:firstRowFirstColumn="0" w:firstRowLastColumn="0" w:lastRowFirstColumn="0" w:lastRowLastColumn="0"/>
            </w:pPr>
            <w:r>
              <w:t>346</w:t>
            </w:r>
          </w:p>
        </w:tc>
        <w:tc>
          <w:tcPr>
            <w:tcW w:w="1346" w:type="dxa"/>
          </w:tcPr>
          <w:p w14:paraId="2DF494E6" w14:textId="4B0D7F0D" w:rsidR="005212EB" w:rsidRDefault="005212EB" w:rsidP="005212EB">
            <w:pPr>
              <w:cnfStyle w:val="000000100000" w:firstRow="0" w:lastRow="0" w:firstColumn="0" w:lastColumn="0" w:oddVBand="0" w:evenVBand="0" w:oddHBand="1" w:evenHBand="0" w:firstRowFirstColumn="0" w:firstRowLastColumn="0" w:lastRowFirstColumn="0" w:lastRowLastColumn="0"/>
            </w:pPr>
            <w:r>
              <w:t>8203</w:t>
            </w:r>
          </w:p>
        </w:tc>
      </w:tr>
      <w:tr w:rsidR="005212EB" w14:paraId="44CE0339" w14:textId="1B010536" w:rsidTr="007B12F8">
        <w:trPr>
          <w:trHeight w:val="214"/>
          <w:jc w:val="center"/>
        </w:trPr>
        <w:tc>
          <w:tcPr>
            <w:cnfStyle w:val="001000000000" w:firstRow="0" w:lastRow="0" w:firstColumn="1" w:lastColumn="0" w:oddVBand="0" w:evenVBand="0" w:oddHBand="0" w:evenHBand="0" w:firstRowFirstColumn="0" w:firstRowLastColumn="0" w:lastRowFirstColumn="0" w:lastRowLastColumn="0"/>
            <w:tcW w:w="964" w:type="dxa"/>
          </w:tcPr>
          <w:p w14:paraId="6732A6C6" w14:textId="6BF505F7" w:rsidR="005212EB" w:rsidRDefault="005212EB" w:rsidP="005212EB">
            <w:r>
              <w:t>A</w:t>
            </w:r>
          </w:p>
        </w:tc>
        <w:tc>
          <w:tcPr>
            <w:tcW w:w="1182" w:type="dxa"/>
          </w:tcPr>
          <w:p w14:paraId="1D34D87E" w14:textId="1E17682B" w:rsidR="005212EB" w:rsidRDefault="005212EB" w:rsidP="005212EB">
            <w:pPr>
              <w:cnfStyle w:val="000000000000" w:firstRow="0" w:lastRow="0" w:firstColumn="0" w:lastColumn="0" w:oddVBand="0" w:evenVBand="0" w:oddHBand="0" w:evenHBand="0" w:firstRowFirstColumn="0" w:firstRowLastColumn="0" w:lastRowFirstColumn="0" w:lastRowLastColumn="0"/>
            </w:pPr>
            <w:r>
              <w:t>Individual</w:t>
            </w:r>
          </w:p>
        </w:tc>
        <w:tc>
          <w:tcPr>
            <w:tcW w:w="1149" w:type="dxa"/>
          </w:tcPr>
          <w:p w14:paraId="4691D558" w14:textId="31850101" w:rsidR="005212EB" w:rsidRDefault="005212EB" w:rsidP="005212EB">
            <w:pPr>
              <w:cnfStyle w:val="000000000000" w:firstRow="0" w:lastRow="0" w:firstColumn="0" w:lastColumn="0" w:oddVBand="0" w:evenVBand="0" w:oddHBand="0" w:evenHBand="0" w:firstRowFirstColumn="0" w:firstRowLastColumn="0" w:lastRowFirstColumn="0" w:lastRowLastColumn="0"/>
            </w:pPr>
            <w:r>
              <w:t>44</w:t>
            </w:r>
          </w:p>
        </w:tc>
        <w:tc>
          <w:tcPr>
            <w:tcW w:w="1346" w:type="dxa"/>
          </w:tcPr>
          <w:p w14:paraId="1131B14D" w14:textId="3A51A944" w:rsidR="005212EB" w:rsidRDefault="005212EB" w:rsidP="005212EB">
            <w:pPr>
              <w:cnfStyle w:val="000000000000" w:firstRow="0" w:lastRow="0" w:firstColumn="0" w:lastColumn="0" w:oddVBand="0" w:evenVBand="0" w:oddHBand="0" w:evenHBand="0" w:firstRowFirstColumn="0" w:firstRowLastColumn="0" w:lastRowFirstColumn="0" w:lastRowLastColumn="0"/>
            </w:pPr>
            <w:r>
              <w:t>37560</w:t>
            </w:r>
          </w:p>
        </w:tc>
      </w:tr>
      <w:tr w:rsidR="005212EB" w14:paraId="584BB895" w14:textId="3A6B91CB" w:rsidTr="007B12F8">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964" w:type="dxa"/>
          </w:tcPr>
          <w:p w14:paraId="2E5E75C7" w14:textId="48FF0F45" w:rsidR="005212EB" w:rsidRDefault="005212EB" w:rsidP="005212EB">
            <w:r>
              <w:t>B</w:t>
            </w:r>
          </w:p>
        </w:tc>
        <w:tc>
          <w:tcPr>
            <w:tcW w:w="1182" w:type="dxa"/>
          </w:tcPr>
          <w:p w14:paraId="78D9257C" w14:textId="55FFA122" w:rsidR="005212EB" w:rsidRDefault="005212EB" w:rsidP="005212EB">
            <w:pPr>
              <w:cnfStyle w:val="000000100000" w:firstRow="0" w:lastRow="0" w:firstColumn="0" w:lastColumn="0" w:oddVBand="0" w:evenVBand="0" w:oddHBand="1" w:evenHBand="0" w:firstRowFirstColumn="0" w:firstRowLastColumn="0" w:lastRowFirstColumn="0" w:lastRowLastColumn="0"/>
            </w:pPr>
            <w:r>
              <w:t>Household</w:t>
            </w:r>
          </w:p>
        </w:tc>
        <w:tc>
          <w:tcPr>
            <w:tcW w:w="1149" w:type="dxa"/>
          </w:tcPr>
          <w:p w14:paraId="4C17B722" w14:textId="4B7D77DB" w:rsidR="005212EB" w:rsidRDefault="005212EB" w:rsidP="005212EB">
            <w:pPr>
              <w:cnfStyle w:val="000000100000" w:firstRow="0" w:lastRow="0" w:firstColumn="0" w:lastColumn="0" w:oddVBand="0" w:evenVBand="0" w:oddHBand="1" w:evenHBand="0" w:firstRowFirstColumn="0" w:firstRowLastColumn="0" w:lastRowFirstColumn="0" w:lastRowLastColumn="0"/>
            </w:pPr>
            <w:r>
              <w:t>443</w:t>
            </w:r>
          </w:p>
        </w:tc>
        <w:tc>
          <w:tcPr>
            <w:tcW w:w="1346" w:type="dxa"/>
          </w:tcPr>
          <w:p w14:paraId="4BC4E2C6" w14:textId="6A603B21" w:rsidR="005212EB" w:rsidRDefault="005212EB" w:rsidP="005212EB">
            <w:pPr>
              <w:cnfStyle w:val="000000100000" w:firstRow="0" w:lastRow="0" w:firstColumn="0" w:lastColumn="0" w:oddVBand="0" w:evenVBand="0" w:oddHBand="1" w:evenHBand="0" w:firstRowFirstColumn="0" w:firstRowLastColumn="0" w:lastRowFirstColumn="0" w:lastRowLastColumn="0"/>
            </w:pPr>
            <w:r>
              <w:t>3255</w:t>
            </w:r>
          </w:p>
        </w:tc>
      </w:tr>
      <w:tr w:rsidR="005212EB" w14:paraId="5A69822E" w14:textId="5B3CB173" w:rsidTr="007B12F8">
        <w:trPr>
          <w:trHeight w:val="204"/>
          <w:jc w:val="center"/>
        </w:trPr>
        <w:tc>
          <w:tcPr>
            <w:cnfStyle w:val="001000000000" w:firstRow="0" w:lastRow="0" w:firstColumn="1" w:lastColumn="0" w:oddVBand="0" w:evenVBand="0" w:oddHBand="0" w:evenHBand="0" w:firstRowFirstColumn="0" w:firstRowLastColumn="0" w:lastRowFirstColumn="0" w:lastRowLastColumn="0"/>
            <w:tcW w:w="964" w:type="dxa"/>
          </w:tcPr>
          <w:p w14:paraId="1E078FE4" w14:textId="3F0A9755" w:rsidR="005212EB" w:rsidRDefault="005212EB" w:rsidP="005212EB">
            <w:r>
              <w:t>B</w:t>
            </w:r>
          </w:p>
        </w:tc>
        <w:tc>
          <w:tcPr>
            <w:tcW w:w="1182" w:type="dxa"/>
          </w:tcPr>
          <w:p w14:paraId="2327E310" w14:textId="1D10931C" w:rsidR="005212EB" w:rsidRDefault="005212EB" w:rsidP="005212EB">
            <w:pPr>
              <w:cnfStyle w:val="000000000000" w:firstRow="0" w:lastRow="0" w:firstColumn="0" w:lastColumn="0" w:oddVBand="0" w:evenVBand="0" w:oddHBand="0" w:evenHBand="0" w:firstRowFirstColumn="0" w:firstRowLastColumn="0" w:lastRowFirstColumn="0" w:lastRowLastColumn="0"/>
            </w:pPr>
            <w:r>
              <w:t>Individual</w:t>
            </w:r>
          </w:p>
        </w:tc>
        <w:tc>
          <w:tcPr>
            <w:tcW w:w="1149" w:type="dxa"/>
          </w:tcPr>
          <w:p w14:paraId="64F6BA32" w14:textId="7EC24F28" w:rsidR="005212EB" w:rsidRDefault="005212EB" w:rsidP="005212EB">
            <w:pPr>
              <w:cnfStyle w:val="000000000000" w:firstRow="0" w:lastRow="0" w:firstColumn="0" w:lastColumn="0" w:oddVBand="0" w:evenVBand="0" w:oddHBand="0" w:evenHBand="0" w:firstRowFirstColumn="0" w:firstRowLastColumn="0" w:lastRowFirstColumn="0" w:lastRowLastColumn="0"/>
            </w:pPr>
            <w:r>
              <w:t>227</w:t>
            </w:r>
          </w:p>
        </w:tc>
        <w:tc>
          <w:tcPr>
            <w:tcW w:w="1346" w:type="dxa"/>
          </w:tcPr>
          <w:p w14:paraId="42707BB8" w14:textId="0B762593" w:rsidR="005212EB" w:rsidRDefault="005212EB" w:rsidP="005212EB">
            <w:pPr>
              <w:cnfStyle w:val="000000000000" w:firstRow="0" w:lastRow="0" w:firstColumn="0" w:lastColumn="0" w:oddVBand="0" w:evenVBand="0" w:oddHBand="0" w:evenHBand="0" w:firstRowFirstColumn="0" w:firstRowLastColumn="0" w:lastRowFirstColumn="0" w:lastRowLastColumn="0"/>
            </w:pPr>
            <w:r>
              <w:t>20252</w:t>
            </w:r>
          </w:p>
        </w:tc>
      </w:tr>
      <w:tr w:rsidR="005212EB" w14:paraId="66CDF490" w14:textId="70470DBE" w:rsidTr="007B12F8">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964" w:type="dxa"/>
          </w:tcPr>
          <w:p w14:paraId="1CB3F3D5" w14:textId="2C03C90E" w:rsidR="005212EB" w:rsidRDefault="005212EB" w:rsidP="005212EB">
            <w:r>
              <w:t>C</w:t>
            </w:r>
          </w:p>
        </w:tc>
        <w:tc>
          <w:tcPr>
            <w:tcW w:w="1182" w:type="dxa"/>
          </w:tcPr>
          <w:p w14:paraId="3E9DF30B" w14:textId="08EEC4D1" w:rsidR="005212EB" w:rsidRDefault="005212EB" w:rsidP="005212EB">
            <w:pPr>
              <w:cnfStyle w:val="000000100000" w:firstRow="0" w:lastRow="0" w:firstColumn="0" w:lastColumn="0" w:oddVBand="0" w:evenVBand="0" w:oddHBand="1" w:evenHBand="0" w:firstRowFirstColumn="0" w:firstRowLastColumn="0" w:lastRowFirstColumn="0" w:lastRowLastColumn="0"/>
            </w:pPr>
            <w:r>
              <w:t>Household</w:t>
            </w:r>
          </w:p>
        </w:tc>
        <w:tc>
          <w:tcPr>
            <w:tcW w:w="1149" w:type="dxa"/>
          </w:tcPr>
          <w:p w14:paraId="2A31B289" w14:textId="02498067" w:rsidR="005212EB" w:rsidRDefault="005212EB" w:rsidP="005212EB">
            <w:pPr>
              <w:cnfStyle w:val="000000100000" w:firstRow="0" w:lastRow="0" w:firstColumn="0" w:lastColumn="0" w:oddVBand="0" w:evenVBand="0" w:oddHBand="1" w:evenHBand="0" w:firstRowFirstColumn="0" w:firstRowLastColumn="0" w:lastRowFirstColumn="0" w:lastRowLastColumn="0"/>
            </w:pPr>
            <w:r>
              <w:t>165</w:t>
            </w:r>
          </w:p>
        </w:tc>
        <w:tc>
          <w:tcPr>
            <w:tcW w:w="1346" w:type="dxa"/>
          </w:tcPr>
          <w:p w14:paraId="70E7324C" w14:textId="772FA3EF" w:rsidR="005212EB" w:rsidRDefault="005212EB" w:rsidP="005212EB">
            <w:pPr>
              <w:cnfStyle w:val="000000100000" w:firstRow="0" w:lastRow="0" w:firstColumn="0" w:lastColumn="0" w:oddVBand="0" w:evenVBand="0" w:oddHBand="1" w:evenHBand="0" w:firstRowFirstColumn="0" w:firstRowLastColumn="0" w:lastRowFirstColumn="0" w:lastRowLastColumn="0"/>
            </w:pPr>
            <w:r>
              <w:t>6469</w:t>
            </w:r>
          </w:p>
        </w:tc>
      </w:tr>
      <w:tr w:rsidR="005212EB" w14:paraId="374A1793" w14:textId="70818C9C" w:rsidTr="007B12F8">
        <w:trPr>
          <w:trHeight w:val="405"/>
          <w:jc w:val="center"/>
        </w:trPr>
        <w:tc>
          <w:tcPr>
            <w:cnfStyle w:val="001000000000" w:firstRow="0" w:lastRow="0" w:firstColumn="1" w:lastColumn="0" w:oddVBand="0" w:evenVBand="0" w:oddHBand="0" w:evenHBand="0" w:firstRowFirstColumn="0" w:firstRowLastColumn="0" w:lastRowFirstColumn="0" w:lastRowLastColumn="0"/>
            <w:tcW w:w="964" w:type="dxa"/>
          </w:tcPr>
          <w:p w14:paraId="062C2470" w14:textId="6031CBC0" w:rsidR="005212EB" w:rsidRDefault="005212EB" w:rsidP="005212EB">
            <w:r>
              <w:t>C</w:t>
            </w:r>
          </w:p>
        </w:tc>
        <w:tc>
          <w:tcPr>
            <w:tcW w:w="1182" w:type="dxa"/>
          </w:tcPr>
          <w:p w14:paraId="667E9448" w14:textId="4CEC8DC7" w:rsidR="005212EB" w:rsidRDefault="005212EB" w:rsidP="005212EB">
            <w:pPr>
              <w:cnfStyle w:val="000000000000" w:firstRow="0" w:lastRow="0" w:firstColumn="0" w:lastColumn="0" w:oddVBand="0" w:evenVBand="0" w:oddHBand="0" w:evenHBand="0" w:firstRowFirstColumn="0" w:firstRowLastColumn="0" w:lastRowFirstColumn="0" w:lastRowLastColumn="0"/>
            </w:pPr>
            <w:r>
              <w:t>Individual</w:t>
            </w:r>
          </w:p>
        </w:tc>
        <w:tc>
          <w:tcPr>
            <w:tcW w:w="1149" w:type="dxa"/>
          </w:tcPr>
          <w:p w14:paraId="357959BE" w14:textId="77777777" w:rsidR="005212EB" w:rsidRDefault="005212EB" w:rsidP="005212EB">
            <w:pPr>
              <w:cnfStyle w:val="000000000000" w:firstRow="0" w:lastRow="0" w:firstColumn="0" w:lastColumn="0" w:oddVBand="0" w:evenVBand="0" w:oddHBand="0" w:evenHBand="0" w:firstRowFirstColumn="0" w:firstRowLastColumn="0" w:lastRowFirstColumn="0" w:lastRowLastColumn="0"/>
            </w:pPr>
            <w:r>
              <w:t>44</w:t>
            </w:r>
          </w:p>
          <w:p w14:paraId="08B4C162" w14:textId="77777777" w:rsidR="005212EB" w:rsidRDefault="005212EB" w:rsidP="005212EB">
            <w:pPr>
              <w:cnfStyle w:val="000000000000" w:firstRow="0" w:lastRow="0" w:firstColumn="0" w:lastColumn="0" w:oddVBand="0" w:evenVBand="0" w:oddHBand="0" w:evenHBand="0" w:firstRowFirstColumn="0" w:firstRowLastColumn="0" w:lastRowFirstColumn="0" w:lastRowLastColumn="0"/>
            </w:pPr>
          </w:p>
        </w:tc>
        <w:tc>
          <w:tcPr>
            <w:tcW w:w="1346" w:type="dxa"/>
          </w:tcPr>
          <w:p w14:paraId="34FC3861" w14:textId="16AEAB92" w:rsidR="005212EB" w:rsidRDefault="005212EB" w:rsidP="005212EB">
            <w:pPr>
              <w:cnfStyle w:val="000000000000" w:firstRow="0" w:lastRow="0" w:firstColumn="0" w:lastColumn="0" w:oddVBand="0" w:evenVBand="0" w:oddHBand="0" w:evenHBand="0" w:firstRowFirstColumn="0" w:firstRowLastColumn="0" w:lastRowFirstColumn="0" w:lastRowLastColumn="0"/>
            </w:pPr>
            <w:r>
              <w:t>29913</w:t>
            </w:r>
          </w:p>
        </w:tc>
      </w:tr>
    </w:tbl>
    <w:p w14:paraId="6108F624" w14:textId="3BF9D215" w:rsidR="007B4B71" w:rsidRDefault="001615D7" w:rsidP="007B12F8">
      <w:pPr>
        <w:ind w:firstLine="720"/>
      </w:pPr>
      <w:r>
        <w:t>T</w:t>
      </w:r>
      <w:r w:rsidR="005212EB">
        <w:t>he analysis consisted data preprocessing (involving joining the individual and household datasets,</w:t>
      </w:r>
      <w:r w:rsidR="007B12F8">
        <w:t xml:space="preserve"> removing outliers, dealing with NAs) before data could be modelled. Additionally, the high dimensional nature of the data required feature engineering. The primary ways of doing this were to remove variables which caused problems with the analysis (variables with too many levels, or NAs) and additionally variables which had </w:t>
      </w:r>
      <w:r w:rsidR="002929A9">
        <w:t xml:space="preserve">little variability. </w:t>
      </w:r>
      <w:r w:rsidR="007B12F8">
        <w:t xml:space="preserve"> </w:t>
      </w:r>
      <w:r w:rsidR="002929A9">
        <w:t>Additionally, recursive feature elimination was used.</w:t>
      </w:r>
    </w:p>
    <w:p w14:paraId="79FD3F0D" w14:textId="0D3451D6" w:rsidR="002929A9" w:rsidRDefault="002929A9" w:rsidP="007B12F8">
      <w:pPr>
        <w:ind w:firstLine="720"/>
      </w:pPr>
      <w:bookmarkStart w:id="1" w:name="_GoBack"/>
      <w:r>
        <w:t xml:space="preserve">Predictive algorithms used included KNN, Logistic Regression Random Forest, GBM and </w:t>
      </w:r>
      <w:proofErr w:type="spellStart"/>
      <w:r>
        <w:t>XGBoost</w:t>
      </w:r>
      <w:proofErr w:type="spellEnd"/>
      <w:r>
        <w:t xml:space="preserve">. </w:t>
      </w:r>
      <w:proofErr w:type="spellStart"/>
      <w:r>
        <w:t>XGBoost</w:t>
      </w:r>
      <w:proofErr w:type="spellEnd"/>
      <w:r>
        <w:t xml:space="preserve"> currently yields the highest accuracy. Complications with modelling the data included overfitting.</w:t>
      </w:r>
      <w:bookmarkEnd w:id="1"/>
    </w:p>
    <w:sectPr w:rsidR="002929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Bickelmann" w:date="2018-03-21T15:52:00Z" w:initials="BW">
    <w:p w14:paraId="246906E4" w14:textId="43C9390C" w:rsidR="00D65DE6" w:rsidRDefault="00D65DE6">
      <w:pPr>
        <w:pStyle w:val="CommentText"/>
      </w:pPr>
      <w:r>
        <w:rPr>
          <w:rStyle w:val="CommentReference"/>
        </w:rPr>
        <w:annotationRef/>
      </w:r>
      <w:r w:rsidR="00445721">
        <w:t>Paraphrase data slightly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6906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906E4" w16cid:durableId="1E5CF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Bickelmann">
    <w15:presenceInfo w15:providerId="Windows Live" w15:userId="8a25679aff27a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38"/>
    <w:rsid w:val="001615D7"/>
    <w:rsid w:val="002929A9"/>
    <w:rsid w:val="003D4919"/>
    <w:rsid w:val="00445721"/>
    <w:rsid w:val="005212EB"/>
    <w:rsid w:val="006518E7"/>
    <w:rsid w:val="006F3C02"/>
    <w:rsid w:val="007B12F8"/>
    <w:rsid w:val="007B4B71"/>
    <w:rsid w:val="00A75432"/>
    <w:rsid w:val="00BC4A7B"/>
    <w:rsid w:val="00C07556"/>
    <w:rsid w:val="00C37138"/>
    <w:rsid w:val="00D44254"/>
    <w:rsid w:val="00D65DE6"/>
    <w:rsid w:val="00F41AD3"/>
    <w:rsid w:val="00FD7858"/>
    <w:rsid w:val="00FE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3640"/>
  <w15:chartTrackingRefBased/>
  <w15:docId w15:val="{5934134C-DDC6-4EB7-9688-E626E6DC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6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15D7"/>
    <w:rPr>
      <w:rFonts w:ascii="Courier New" w:eastAsia="Times New Roman" w:hAnsi="Courier New" w:cs="Courier New"/>
      <w:sz w:val="20"/>
      <w:szCs w:val="20"/>
    </w:rPr>
  </w:style>
  <w:style w:type="character" w:customStyle="1" w:styleId="gnkrckgcgsb">
    <w:name w:val="gnkrckgcgsb"/>
    <w:basedOn w:val="DefaultParagraphFont"/>
    <w:rsid w:val="001615D7"/>
  </w:style>
  <w:style w:type="table" w:styleId="TableGridLight">
    <w:name w:val="Grid Table Light"/>
    <w:basedOn w:val="TableNormal"/>
    <w:uiPriority w:val="40"/>
    <w:rsid w:val="00161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61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65DE6"/>
    <w:rPr>
      <w:sz w:val="16"/>
      <w:szCs w:val="16"/>
    </w:rPr>
  </w:style>
  <w:style w:type="paragraph" w:styleId="CommentText">
    <w:name w:val="annotation text"/>
    <w:basedOn w:val="Normal"/>
    <w:link w:val="CommentTextChar"/>
    <w:uiPriority w:val="99"/>
    <w:semiHidden/>
    <w:unhideWhenUsed/>
    <w:rsid w:val="00D65DE6"/>
    <w:pPr>
      <w:spacing w:line="240" w:lineRule="auto"/>
    </w:pPr>
    <w:rPr>
      <w:sz w:val="20"/>
      <w:szCs w:val="20"/>
    </w:rPr>
  </w:style>
  <w:style w:type="character" w:customStyle="1" w:styleId="CommentTextChar">
    <w:name w:val="Comment Text Char"/>
    <w:basedOn w:val="DefaultParagraphFont"/>
    <w:link w:val="CommentText"/>
    <w:uiPriority w:val="99"/>
    <w:semiHidden/>
    <w:rsid w:val="00D65DE6"/>
    <w:rPr>
      <w:sz w:val="20"/>
      <w:szCs w:val="20"/>
    </w:rPr>
  </w:style>
  <w:style w:type="paragraph" w:styleId="CommentSubject">
    <w:name w:val="annotation subject"/>
    <w:basedOn w:val="CommentText"/>
    <w:next w:val="CommentText"/>
    <w:link w:val="CommentSubjectChar"/>
    <w:uiPriority w:val="99"/>
    <w:semiHidden/>
    <w:unhideWhenUsed/>
    <w:rsid w:val="00D65DE6"/>
    <w:rPr>
      <w:b/>
      <w:bCs/>
    </w:rPr>
  </w:style>
  <w:style w:type="character" w:customStyle="1" w:styleId="CommentSubjectChar">
    <w:name w:val="Comment Subject Char"/>
    <w:basedOn w:val="CommentTextChar"/>
    <w:link w:val="CommentSubject"/>
    <w:uiPriority w:val="99"/>
    <w:semiHidden/>
    <w:rsid w:val="00D65DE6"/>
    <w:rPr>
      <w:b/>
      <w:bCs/>
      <w:sz w:val="20"/>
      <w:szCs w:val="20"/>
    </w:rPr>
  </w:style>
  <w:style w:type="paragraph" w:styleId="BalloonText">
    <w:name w:val="Balloon Text"/>
    <w:basedOn w:val="Normal"/>
    <w:link w:val="BalloonTextChar"/>
    <w:uiPriority w:val="99"/>
    <w:semiHidden/>
    <w:unhideWhenUsed/>
    <w:rsid w:val="00D65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7046">
      <w:bodyDiv w:val="1"/>
      <w:marLeft w:val="0"/>
      <w:marRight w:val="0"/>
      <w:marTop w:val="0"/>
      <w:marBottom w:val="0"/>
      <w:divBdr>
        <w:top w:val="none" w:sz="0" w:space="0" w:color="auto"/>
        <w:left w:val="none" w:sz="0" w:space="0" w:color="auto"/>
        <w:bottom w:val="none" w:sz="0" w:space="0" w:color="auto"/>
        <w:right w:val="none" w:sz="0" w:space="0" w:color="auto"/>
      </w:divBdr>
    </w:div>
    <w:div w:id="430469590">
      <w:bodyDiv w:val="1"/>
      <w:marLeft w:val="0"/>
      <w:marRight w:val="0"/>
      <w:marTop w:val="0"/>
      <w:marBottom w:val="0"/>
      <w:divBdr>
        <w:top w:val="none" w:sz="0" w:space="0" w:color="auto"/>
        <w:left w:val="none" w:sz="0" w:space="0" w:color="auto"/>
        <w:bottom w:val="none" w:sz="0" w:space="0" w:color="auto"/>
        <w:right w:val="none" w:sz="0" w:space="0" w:color="auto"/>
      </w:divBdr>
    </w:div>
    <w:div w:id="451093662">
      <w:bodyDiv w:val="1"/>
      <w:marLeft w:val="0"/>
      <w:marRight w:val="0"/>
      <w:marTop w:val="0"/>
      <w:marBottom w:val="0"/>
      <w:divBdr>
        <w:top w:val="none" w:sz="0" w:space="0" w:color="auto"/>
        <w:left w:val="none" w:sz="0" w:space="0" w:color="auto"/>
        <w:bottom w:val="none" w:sz="0" w:space="0" w:color="auto"/>
        <w:right w:val="none" w:sz="0" w:space="0" w:color="auto"/>
      </w:divBdr>
    </w:div>
    <w:div w:id="478152711">
      <w:bodyDiv w:val="1"/>
      <w:marLeft w:val="0"/>
      <w:marRight w:val="0"/>
      <w:marTop w:val="0"/>
      <w:marBottom w:val="0"/>
      <w:divBdr>
        <w:top w:val="none" w:sz="0" w:space="0" w:color="auto"/>
        <w:left w:val="none" w:sz="0" w:space="0" w:color="auto"/>
        <w:bottom w:val="none" w:sz="0" w:space="0" w:color="auto"/>
        <w:right w:val="none" w:sz="0" w:space="0" w:color="auto"/>
      </w:divBdr>
    </w:div>
    <w:div w:id="631325977">
      <w:bodyDiv w:val="1"/>
      <w:marLeft w:val="0"/>
      <w:marRight w:val="0"/>
      <w:marTop w:val="0"/>
      <w:marBottom w:val="0"/>
      <w:divBdr>
        <w:top w:val="none" w:sz="0" w:space="0" w:color="auto"/>
        <w:left w:val="none" w:sz="0" w:space="0" w:color="auto"/>
        <w:bottom w:val="none" w:sz="0" w:space="0" w:color="auto"/>
        <w:right w:val="none" w:sz="0" w:space="0" w:color="auto"/>
      </w:divBdr>
    </w:div>
    <w:div w:id="667487244">
      <w:bodyDiv w:val="1"/>
      <w:marLeft w:val="0"/>
      <w:marRight w:val="0"/>
      <w:marTop w:val="0"/>
      <w:marBottom w:val="0"/>
      <w:divBdr>
        <w:top w:val="none" w:sz="0" w:space="0" w:color="auto"/>
        <w:left w:val="none" w:sz="0" w:space="0" w:color="auto"/>
        <w:bottom w:val="none" w:sz="0" w:space="0" w:color="auto"/>
        <w:right w:val="none" w:sz="0" w:space="0" w:color="auto"/>
      </w:divBdr>
    </w:div>
    <w:div w:id="1023283899">
      <w:bodyDiv w:val="1"/>
      <w:marLeft w:val="0"/>
      <w:marRight w:val="0"/>
      <w:marTop w:val="0"/>
      <w:marBottom w:val="0"/>
      <w:divBdr>
        <w:top w:val="none" w:sz="0" w:space="0" w:color="auto"/>
        <w:left w:val="none" w:sz="0" w:space="0" w:color="auto"/>
        <w:bottom w:val="none" w:sz="0" w:space="0" w:color="auto"/>
        <w:right w:val="none" w:sz="0" w:space="0" w:color="auto"/>
      </w:divBdr>
    </w:div>
    <w:div w:id="1062406762">
      <w:bodyDiv w:val="1"/>
      <w:marLeft w:val="0"/>
      <w:marRight w:val="0"/>
      <w:marTop w:val="0"/>
      <w:marBottom w:val="0"/>
      <w:divBdr>
        <w:top w:val="none" w:sz="0" w:space="0" w:color="auto"/>
        <w:left w:val="none" w:sz="0" w:space="0" w:color="auto"/>
        <w:bottom w:val="none" w:sz="0" w:space="0" w:color="auto"/>
        <w:right w:val="none" w:sz="0" w:space="0" w:color="auto"/>
      </w:divBdr>
    </w:div>
    <w:div w:id="1246764610">
      <w:bodyDiv w:val="1"/>
      <w:marLeft w:val="0"/>
      <w:marRight w:val="0"/>
      <w:marTop w:val="0"/>
      <w:marBottom w:val="0"/>
      <w:divBdr>
        <w:top w:val="none" w:sz="0" w:space="0" w:color="auto"/>
        <w:left w:val="none" w:sz="0" w:space="0" w:color="auto"/>
        <w:bottom w:val="none" w:sz="0" w:space="0" w:color="auto"/>
        <w:right w:val="none" w:sz="0" w:space="0" w:color="auto"/>
      </w:divBdr>
    </w:div>
    <w:div w:id="1524593874">
      <w:bodyDiv w:val="1"/>
      <w:marLeft w:val="0"/>
      <w:marRight w:val="0"/>
      <w:marTop w:val="0"/>
      <w:marBottom w:val="0"/>
      <w:divBdr>
        <w:top w:val="none" w:sz="0" w:space="0" w:color="auto"/>
        <w:left w:val="none" w:sz="0" w:space="0" w:color="auto"/>
        <w:bottom w:val="none" w:sz="0" w:space="0" w:color="auto"/>
        <w:right w:val="none" w:sz="0" w:space="0" w:color="auto"/>
      </w:divBdr>
    </w:div>
    <w:div w:id="1853374081">
      <w:bodyDiv w:val="1"/>
      <w:marLeft w:val="0"/>
      <w:marRight w:val="0"/>
      <w:marTop w:val="0"/>
      <w:marBottom w:val="0"/>
      <w:divBdr>
        <w:top w:val="none" w:sz="0" w:space="0" w:color="auto"/>
        <w:left w:val="none" w:sz="0" w:space="0" w:color="auto"/>
        <w:bottom w:val="none" w:sz="0" w:space="0" w:color="auto"/>
        <w:right w:val="none" w:sz="0" w:space="0" w:color="auto"/>
      </w:divBdr>
    </w:div>
    <w:div w:id="1923106660">
      <w:bodyDiv w:val="1"/>
      <w:marLeft w:val="0"/>
      <w:marRight w:val="0"/>
      <w:marTop w:val="0"/>
      <w:marBottom w:val="0"/>
      <w:divBdr>
        <w:top w:val="none" w:sz="0" w:space="0" w:color="auto"/>
        <w:left w:val="none" w:sz="0" w:space="0" w:color="auto"/>
        <w:bottom w:val="none" w:sz="0" w:space="0" w:color="auto"/>
        <w:right w:val="none" w:sz="0" w:space="0" w:color="auto"/>
      </w:divBdr>
    </w:div>
    <w:div w:id="203576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Bickelmann, William</dc:creator>
  <cp:keywords/>
  <dc:description/>
  <cp:lastModifiedBy>Bickelmann, William</cp:lastModifiedBy>
  <cp:revision>8</cp:revision>
  <dcterms:created xsi:type="dcterms:W3CDTF">2018-03-21T17:30:00Z</dcterms:created>
  <dcterms:modified xsi:type="dcterms:W3CDTF">2018-03-21T19:53:00Z</dcterms:modified>
</cp:coreProperties>
</file>