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맑은 고딕" w:hAnsi="맑은 고딕" w:eastAsia="맑은 고딕"/>
          <w:b/>
          <w:color w:val="1E3C6E"/>
          <w:sz w:val="24"/>
        </w:rPr>
        <w:t>1. 프로젝트 주제</w:t>
      </w:r>
    </w:p>
    <w:p>
      <w:pPr>
        <w:spacing w:after="240"/>
      </w:pPr>
      <w:r>
        <w:rPr>
          <w:rFonts w:ascii="맑은 고딕" w:hAnsi="맑은 고딕" w:eastAsia="맑은 고딕"/>
          <w:b/>
          <w:sz w:val="22"/>
        </w:rPr>
        <w:t>사내 AI 코딩 도구 활용·예산 효율 코칭 시스템 (ClaudeCoach)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E3C6E"/>
          <w:sz w:val="24"/>
        </w:rPr>
        <w:t>2. 프로젝트 소개</w:t>
      </w:r>
    </w:p>
    <w:p>
      <w:pPr>
        <w:spacing w:after="160" w:line="300" w:lineRule="auto"/>
      </w:pPr>
      <w:r>
        <w:rPr>
          <w:rFonts w:ascii="맑은 고딕" w:hAnsi="맑은 고딕" w:eastAsia="맑은 고딕"/>
          <w:b/>
          <w:sz w:val="22"/>
        </w:rPr>
        <w:t xml:space="preserve">제안 내용  </w:t>
      </w:r>
      <w:r>
        <w:rPr>
          <w:rFonts w:ascii="맑은 고딕" w:hAnsi="맑은 고딕" w:eastAsia="맑은 고딕"/>
          <w:b w:val="0"/>
          <w:sz w:val="22"/>
        </w:rPr>
        <w:t>최근 사내 Claude Code Enterprise가 도입되었으며, 1인당 월 약 $180(종량제) 사용 한도가 있습니다. 사용 로그를 분석해 우수·저토큰 고효율 활용 사례를 검색·추천하고, 맞춤 코칭을 제공하는 ClaudeCoach 시스템을 구축합니다. 기존 활용 대시보드와 AWS 게이트웨이를 확장하며 코칭 기능(MCP/게이트웨이 플러그인)을 추가합니다. ① 로그 익명 정제·토큰/비용 메타·우수 세션 라벨링, ② PatternEmbed(Contrastive FT), ③ CoachModel(LoRA SFT), ④ BudgetCoach(한도 대비 사용률·저토큰 사례·컨텍스트 축소 권고), ⑤ DS LLM API·게이트웨이 연동(suggest_usage, find_pattern)으로 구성됩니다. 개발자가 「예산 70% 썼는데 레거시 분석 어떻게 해?」라고 질문하면 저토큰 우수 세션·작업 분할·MCP 활용 패턴을 제안합니다.</w:t>
      </w:r>
    </w:p>
    <w:p>
      <w:pPr>
        <w:spacing w:after="160" w:line="300" w:lineRule="auto"/>
      </w:pPr>
      <w:r>
        <w:rPr>
          <w:rFonts w:ascii="맑은 고딕" w:hAnsi="맑은 고딕" w:eastAsia="맑은 고딕"/>
          <w:b/>
          <w:sz w:val="22"/>
        </w:rPr>
        <w:t xml:space="preserve">기술·인프라  </w:t>
      </w:r>
      <w:r>
        <w:rPr>
          <w:rFonts w:ascii="맑은 고딕" w:hAnsi="맑은 고딕" w:eastAsia="맑은 고딕"/>
          <w:b w:val="0"/>
          <w:sz w:val="22"/>
        </w:rPr>
        <w:t>지도교수: 서울대 윤성로 교수님. 7월 베이스 모델 선정 PoC·골드셋 확보 후 8월 본격 수행. 학습(임베딩 FT, LoRA SFT)은 AI 포털 GPU, 운영은 DS LLM API·검색 컨텍스트. 교수님 지도: 활용·비용 효율 패턴 분석, 우수 세션 정의, 실험·평가 설계. 평가는 Hit@k, 코칭 유용도 설문, DS 베이스 LLM 대비 A/B, (탐색) 동일 태스크 토큰 절감.</w:t>
      </w:r>
    </w:p>
    <w:p>
      <w:pPr>
        <w:spacing w:after="160" w:line="300" w:lineRule="auto"/>
      </w:pPr>
      <w:r>
        <w:rPr>
          <w:rFonts w:ascii="맑은 고딕" w:hAnsi="맑은 고딕" w:eastAsia="맑은 고딕"/>
          <w:b/>
          <w:sz w:val="22"/>
        </w:rPr>
        <w:t xml:space="preserve">기대 효과  </w:t>
      </w:r>
      <w:r>
        <w:rPr>
          <w:rFonts w:ascii="맑은 고딕" w:hAnsi="맑은 고딕" w:eastAsia="맑은 고딕"/>
          <w:b w:val="0"/>
          <w:sz w:val="22"/>
        </w:rPr>
        <w:t>Claude 사용자의 활용도·정착·생산성과 월 $180 한도 내 Bedrock 비용 효율 향상에 기여합니다. 10월 MVP: 코칭 E2E 데모, 파일럿 50회+ 호출, Hit@3 60%+, 한도 사용률 대시보드 연동. AI-Expert 요건(모델 선정 → Fine-tuning → 서빙 연동)을 충족합니다.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