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01230" w14:textId="5AF7A423" w:rsidR="004D3DFC" w:rsidRDefault="00171E30">
      <w:pPr>
        <w:rPr>
          <w:b/>
          <w:bCs/>
        </w:rPr>
      </w:pPr>
      <w:r w:rsidRPr="00171E30">
        <w:rPr>
          <w:b/>
          <w:bCs/>
        </w:rPr>
        <w:t>IDA</w:t>
      </w:r>
      <w:r>
        <w:rPr>
          <w:b/>
          <w:bCs/>
        </w:rPr>
        <w:t>:</w:t>
      </w:r>
    </w:p>
    <w:p w14:paraId="3B50D1B3" w14:textId="00913FB0" w:rsidR="00FF5104" w:rsidRDefault="00FF5104" w:rsidP="00FF5104">
      <w:pPr>
        <w:jc w:val="both"/>
      </w:pPr>
      <w:r>
        <w:t>Tras evaluar con los expertos las variables</w:t>
      </w:r>
      <w:r w:rsidR="00D40238">
        <w:t xml:space="preserve"> que</w:t>
      </w:r>
      <w:r>
        <w:t xml:space="preserve"> influyen </w:t>
      </w:r>
      <w:r w:rsidR="00D40238">
        <w:t xml:space="preserve">en </w:t>
      </w:r>
      <w:r>
        <w:t>los movimientos del spread crediticio se sugirieron 5 variables que podrían proporcionar suficiente información para realizar la predicción.</w:t>
      </w:r>
    </w:p>
    <w:p w14:paraId="6960BD7C" w14:textId="2689972C" w:rsidR="00FF5104" w:rsidRPr="00FF5104" w:rsidRDefault="00FF5104">
      <w:r>
        <w:t>En el análisis de datos inicial, se evaluaron las siguientes variables:</w:t>
      </w:r>
    </w:p>
    <w:p w14:paraId="1339139A" w14:textId="15A9E01A" w:rsidR="00ED7146" w:rsidRDefault="00171E30" w:rsidP="00ED7146">
      <w:pPr>
        <w:pStyle w:val="ListParagraph"/>
        <w:numPr>
          <w:ilvl w:val="0"/>
          <w:numId w:val="1"/>
        </w:numPr>
        <w:jc w:val="both"/>
      </w:pPr>
      <w:r>
        <w:t xml:space="preserve">Spread de crédito: </w:t>
      </w:r>
      <w:r w:rsidR="00ED7146">
        <w:t>d</w:t>
      </w:r>
      <w:r>
        <w:t xml:space="preserve">iferencia entre la tasa de valoración de la curva de </w:t>
      </w:r>
      <w:r w:rsidR="00ED7146">
        <w:t>b</w:t>
      </w:r>
      <w:r>
        <w:t>ancos calificados AAA</w:t>
      </w:r>
      <w:r w:rsidR="00ED7146">
        <w:t>,</w:t>
      </w:r>
      <w:r>
        <w:t xml:space="preserve"> indexada al IPC y </w:t>
      </w:r>
      <w:r w:rsidR="00C86FA5">
        <w:t>curva cero cupón de TES UVR</w:t>
      </w:r>
      <w:r w:rsidR="00ED7146">
        <w:t xml:space="preserve"> (vencimiento constante de 10 años).</w:t>
      </w:r>
    </w:p>
    <w:p w14:paraId="3C4EEC7D" w14:textId="77777777" w:rsidR="00ED7146" w:rsidRDefault="00ED7146" w:rsidP="00ED7146">
      <w:pPr>
        <w:pStyle w:val="ListParagraph"/>
        <w:numPr>
          <w:ilvl w:val="0"/>
          <w:numId w:val="1"/>
        </w:numPr>
        <w:jc w:val="both"/>
      </w:pPr>
      <w:r>
        <w:t>Spread de crédito del periodo anterior.</w:t>
      </w:r>
    </w:p>
    <w:p w14:paraId="5AD73235" w14:textId="54E71C97" w:rsidR="00C86FA5" w:rsidRDefault="00C86FA5" w:rsidP="00ED7146">
      <w:pPr>
        <w:pStyle w:val="ListParagraph"/>
        <w:numPr>
          <w:ilvl w:val="0"/>
          <w:numId w:val="1"/>
        </w:numPr>
        <w:jc w:val="both"/>
      </w:pPr>
      <w:r>
        <w:t xml:space="preserve">Pendiente de la curva: </w:t>
      </w:r>
      <w:r w:rsidR="00ED7146">
        <w:t>d</w:t>
      </w:r>
      <w:r>
        <w:t xml:space="preserve">iferencia entre la tasa </w:t>
      </w:r>
      <w:r w:rsidR="00D40238">
        <w:t xml:space="preserve">de valoración </w:t>
      </w:r>
      <w:r>
        <w:t>de la curva de TES</w:t>
      </w:r>
      <w:r w:rsidR="007D3957">
        <w:t xml:space="preserve"> </w:t>
      </w:r>
      <w:r>
        <w:t xml:space="preserve">UVR </w:t>
      </w:r>
      <w:r w:rsidR="00D40238">
        <w:t xml:space="preserve">con vencimiento </w:t>
      </w:r>
      <w:r>
        <w:t>10 año</w:t>
      </w:r>
      <w:r w:rsidR="00D40238">
        <w:t xml:space="preserve">s y la tasa de la misma curva con vencimiento </w:t>
      </w:r>
      <w:r>
        <w:t>3 años</w:t>
      </w:r>
      <w:r w:rsidR="00ED7146">
        <w:t>.</w:t>
      </w:r>
    </w:p>
    <w:p w14:paraId="7DF05A9B" w14:textId="4E7F93EF" w:rsidR="00171E30" w:rsidRDefault="00ED7146" w:rsidP="00ED7146">
      <w:pPr>
        <w:pStyle w:val="ListParagraph"/>
        <w:numPr>
          <w:ilvl w:val="0"/>
          <w:numId w:val="1"/>
        </w:numPr>
        <w:jc w:val="both"/>
      </w:pPr>
      <w:proofErr w:type="spellStart"/>
      <w:r>
        <w:t>Credit</w:t>
      </w:r>
      <w:proofErr w:type="spellEnd"/>
      <w:r>
        <w:t xml:space="preserve"> Default Swap Colombia: instrumento financiero derivado </w:t>
      </w:r>
      <w:r w:rsidR="00D40238">
        <w:t xml:space="preserve">que representa </w:t>
      </w:r>
      <w:r>
        <w:t xml:space="preserve">el costo que debe pagar un comprador de títulos emitidos por el Gobierno Nacional </w:t>
      </w:r>
      <w:r w:rsidR="00D40238">
        <w:t xml:space="preserve">de Colombia </w:t>
      </w:r>
      <w:r>
        <w:t>para cubrir el caso de un eventual default del emisor del título (serie a 10 años).</w:t>
      </w:r>
    </w:p>
    <w:p w14:paraId="12C9A865" w14:textId="24F7C00B" w:rsidR="00ED7146" w:rsidRDefault="00ED7146" w:rsidP="00ED7146">
      <w:pPr>
        <w:pStyle w:val="ListParagraph"/>
        <w:numPr>
          <w:ilvl w:val="0"/>
          <w:numId w:val="1"/>
        </w:numPr>
        <w:jc w:val="both"/>
      </w:pPr>
      <w:r>
        <w:t xml:space="preserve">Retorno </w:t>
      </w:r>
      <w:proofErr w:type="spellStart"/>
      <w:r>
        <w:t>Colcap</w:t>
      </w:r>
      <w:proofErr w:type="spellEnd"/>
      <w:r>
        <w:t xml:space="preserve">: retornos de la serie histórica del </w:t>
      </w:r>
      <w:proofErr w:type="spellStart"/>
      <w:r>
        <w:t>Colcap</w:t>
      </w:r>
      <w:proofErr w:type="spellEnd"/>
      <w:r>
        <w:t xml:space="preserve"> (índice de capitalización de las acciones más líquidas en la Bolsa de Valores </w:t>
      </w:r>
      <w:r w:rsidR="00795ABA">
        <w:t>de Colombia</w:t>
      </w:r>
      <w:r>
        <w:t xml:space="preserve"> – BV</w:t>
      </w:r>
      <w:r w:rsidR="00970942">
        <w:t>C</w:t>
      </w:r>
      <w:r>
        <w:t>).</w:t>
      </w:r>
    </w:p>
    <w:p w14:paraId="4183E6B1" w14:textId="0E6D63C4" w:rsidR="00B9074A" w:rsidRDefault="00B9074A" w:rsidP="00B9074A">
      <w:pPr>
        <w:jc w:val="both"/>
      </w:pPr>
      <w:r>
        <w:t xml:space="preserve">La información mencionada pudo ser recopilada utilizando las fuentes de información de la BVC, Precia (proveedor de precios) y </w:t>
      </w:r>
      <w:proofErr w:type="spellStart"/>
      <w:r>
        <w:t>Bloomberg</w:t>
      </w:r>
      <w:proofErr w:type="spellEnd"/>
      <w:r>
        <w:t xml:space="preserve">. Respecto a la cantidad de información </w:t>
      </w:r>
      <w:r w:rsidR="00264C48">
        <w:t>histórica tenida en cuenta para el estudio</w:t>
      </w:r>
      <w:r>
        <w:t xml:space="preserve">, la historia estuvo limitada por el dato más antiguo </w:t>
      </w:r>
      <w:r w:rsidR="00264C48">
        <w:t>de</w:t>
      </w:r>
      <w:r>
        <w:t xml:space="preserve"> la serie de CDS Colombia 10 años, el cual reporta cifras desde el año 2016. Dado lo a</w:t>
      </w:r>
      <w:r w:rsidR="00264C48">
        <w:t xml:space="preserve">nterior, los análisis realizados </w:t>
      </w:r>
      <w:r>
        <w:t>sobre l</w:t>
      </w:r>
      <w:r w:rsidR="00AD1AA8">
        <w:t>a</w:t>
      </w:r>
      <w:r>
        <w:t>s series de tiempo contempla</w:t>
      </w:r>
      <w:r w:rsidR="00264C48">
        <w:t xml:space="preserve">n el periodo comprendido entre </w:t>
      </w:r>
      <w:r>
        <w:t xml:space="preserve">el 14 de enero de 2016 </w:t>
      </w:r>
      <w:r w:rsidR="00264C48">
        <w:t>y</w:t>
      </w:r>
      <w:r>
        <w:t xml:space="preserve"> el 30 de junio de 2021.</w:t>
      </w:r>
    </w:p>
    <w:p w14:paraId="11FB2995" w14:textId="2C0F3EA2" w:rsidR="00B9074A" w:rsidRDefault="00C76E2A" w:rsidP="00B9074A">
      <w:pPr>
        <w:jc w:val="both"/>
      </w:pPr>
      <w:r>
        <w:t>A</w:t>
      </w:r>
      <w:r w:rsidR="00B9074A">
        <w:t xml:space="preserve"> continuación se muestra</w:t>
      </w:r>
      <w:r w:rsidR="00093F64">
        <w:t xml:space="preserve"> un análisis </w:t>
      </w:r>
      <w:r w:rsidR="009B1D10">
        <w:t>inicial</w:t>
      </w:r>
      <w:r>
        <w:t xml:space="preserve"> </w:t>
      </w:r>
      <w:r w:rsidR="00093F64">
        <w:t>de</w:t>
      </w:r>
      <w:r w:rsidR="004A5EE1">
        <w:t xml:space="preserve"> las curvas que conforman</w:t>
      </w:r>
      <w:r w:rsidR="00093F64">
        <w:t xml:space="preserve"> </w:t>
      </w:r>
      <w:r w:rsidR="00AD1AA8">
        <w:t xml:space="preserve">la serie </w:t>
      </w:r>
      <w:r w:rsidR="00093F64">
        <w:rPr>
          <w:i/>
        </w:rPr>
        <w:t>Spread Crédito</w:t>
      </w:r>
      <w:r w:rsidR="00093F64">
        <w:t xml:space="preserve"> así como de éste último</w:t>
      </w:r>
      <w:r w:rsidR="009B1D10">
        <w:t>:</w:t>
      </w:r>
    </w:p>
    <w:p w14:paraId="16A17521" w14:textId="2DA24BDC" w:rsidR="009B1D10" w:rsidRDefault="009B1D10" w:rsidP="00B9074A">
      <w:pPr>
        <w:jc w:val="both"/>
        <w:rPr>
          <w:u w:val="single"/>
        </w:rPr>
      </w:pPr>
      <w:r w:rsidRPr="009B1D10">
        <w:rPr>
          <w:u w:val="single"/>
        </w:rPr>
        <w:t>Curva de AAA bancos Indexada al IPC</w:t>
      </w:r>
      <w:r w:rsidR="00DA11CE">
        <w:rPr>
          <w:u w:val="single"/>
        </w:rPr>
        <w:t xml:space="preserve"> curva TES UVR (10 años)</w:t>
      </w:r>
    </w:p>
    <w:p w14:paraId="4644FD94" w14:textId="5C5DF3BD" w:rsidR="00DA11CE" w:rsidRDefault="00DA11CE" w:rsidP="00DA11CE">
      <w:pPr>
        <w:jc w:val="center"/>
        <w:rPr>
          <w:u w:val="single"/>
        </w:rPr>
      </w:pPr>
      <w:r w:rsidRPr="00DA11CE">
        <w:rPr>
          <w:noProof/>
          <w:lang w:val="en-US"/>
        </w:rPr>
        <w:drawing>
          <wp:inline distT="0" distB="0" distL="0" distR="0" wp14:anchorId="0981C8F9" wp14:editId="13139DA4">
            <wp:extent cx="5297692" cy="312597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227" cy="3131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1B369E" w14:textId="729368DA" w:rsidR="00545604" w:rsidRDefault="00545604" w:rsidP="00545604">
      <w:pPr>
        <w:jc w:val="both"/>
      </w:pPr>
      <w:r w:rsidRPr="000A4B43">
        <w:lastRenderedPageBreak/>
        <w:t>Respecto al comportamiento de las dos curvas, se puede observar que la curva de TESUVR tiene una tendencia más estable</w:t>
      </w:r>
      <w:r w:rsidR="00852900">
        <w:t xml:space="preserve"> (menos volátil)</w:t>
      </w:r>
      <w:r w:rsidRPr="000A4B43">
        <w:t xml:space="preserve"> que la curva IPC, evidenciando un Spread </w:t>
      </w:r>
      <w:r w:rsidR="00852900">
        <w:t xml:space="preserve">de crédito </w:t>
      </w:r>
      <w:r w:rsidRPr="000A4B43">
        <w:t xml:space="preserve">mayor </w:t>
      </w:r>
      <w:r w:rsidR="00852900">
        <w:t xml:space="preserve">durante el año </w:t>
      </w:r>
      <w:r w:rsidRPr="000A4B43">
        <w:t>2016</w:t>
      </w:r>
      <w:r>
        <w:t xml:space="preserve">. Hacia mediados del año 2017 se ve la formación de un spread </w:t>
      </w:r>
      <w:r w:rsidR="004A5EE1">
        <w:t>que pareciera constante y muestra un estrechamiento al cierre del primer trimestre del</w:t>
      </w:r>
      <w:r>
        <w:t xml:space="preserve"> año 2020</w:t>
      </w:r>
      <w:r w:rsidR="004A5EE1">
        <w:t>, fecha que coincide con el inicio de la pandemia causada por COVID19.</w:t>
      </w:r>
      <w:r w:rsidR="00093F64">
        <w:t xml:space="preserve"> A partir de esta </w:t>
      </w:r>
      <w:r w:rsidR="00AD1AA8">
        <w:t xml:space="preserve">fecha </w:t>
      </w:r>
      <w:r w:rsidR="00D23D82">
        <w:t>se</w:t>
      </w:r>
      <w:r>
        <w:t xml:space="preserve"> puede observar que el comportamiento de una curva </w:t>
      </w:r>
      <w:r w:rsidR="00D23D82">
        <w:t>IPC inicia un periodo de alta volatilidad y que el spread crediticio se hace más estrecho respecto a lo observado previamente</w:t>
      </w:r>
      <w:r>
        <w:t>.</w:t>
      </w:r>
    </w:p>
    <w:p w14:paraId="4B4FAD32" w14:textId="77777777" w:rsidR="00093F64" w:rsidRDefault="00093F64" w:rsidP="00093F64">
      <w:pPr>
        <w:rPr>
          <w:u w:val="single"/>
        </w:rPr>
      </w:pPr>
    </w:p>
    <w:p w14:paraId="25A5CF44" w14:textId="77777777" w:rsidR="00093F64" w:rsidRDefault="00093F64" w:rsidP="00093F64">
      <w:pPr>
        <w:rPr>
          <w:u w:val="single"/>
        </w:rPr>
      </w:pPr>
      <w:r>
        <w:rPr>
          <w:u w:val="single"/>
        </w:rPr>
        <w:t>Spread de Crédito</w:t>
      </w:r>
    </w:p>
    <w:p w14:paraId="650D313F" w14:textId="77777777" w:rsidR="00093F64" w:rsidRDefault="00093F64" w:rsidP="00093F64">
      <w:pPr>
        <w:jc w:val="center"/>
        <w:rPr>
          <w:u w:val="single"/>
        </w:rPr>
      </w:pPr>
      <w:r w:rsidRPr="00DA11CE">
        <w:rPr>
          <w:noProof/>
          <w:lang w:val="en-US"/>
        </w:rPr>
        <w:drawing>
          <wp:inline distT="0" distB="0" distL="0" distR="0" wp14:anchorId="4627365F" wp14:editId="695DB758">
            <wp:extent cx="4754880" cy="221938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209" cy="2223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5C8017" w14:textId="1AE0CADD" w:rsidR="00DA11CE" w:rsidRDefault="00DA11CE" w:rsidP="00BE2437">
      <w:pPr>
        <w:rPr>
          <w:u w:val="single"/>
        </w:rPr>
      </w:pPr>
    </w:p>
    <w:p w14:paraId="10543D71" w14:textId="38320935" w:rsidR="00BE2437" w:rsidRDefault="00BE2437" w:rsidP="00BE2437">
      <w:pPr>
        <w:jc w:val="center"/>
        <w:rPr>
          <w:u w:val="single"/>
        </w:rPr>
      </w:pPr>
      <w:r w:rsidRPr="00BE2437">
        <w:rPr>
          <w:noProof/>
          <w:lang w:val="en-US"/>
        </w:rPr>
        <w:drawing>
          <wp:inline distT="0" distB="0" distL="0" distR="0" wp14:anchorId="2DEF165D" wp14:editId="79A4893E">
            <wp:extent cx="4572635" cy="2310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31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980F7E" w14:textId="1C2A6FF4" w:rsidR="00BE2437" w:rsidRDefault="00BE2437" w:rsidP="00BE2437">
      <w:pPr>
        <w:jc w:val="both"/>
      </w:pPr>
      <w:r w:rsidRPr="00BE2437">
        <w:t>Observando sólo la serie del spread crediticio</w:t>
      </w:r>
      <w:r>
        <w:t>,</w:t>
      </w:r>
      <w:r w:rsidRPr="00BE2437">
        <w:t xml:space="preserve"> se </w:t>
      </w:r>
      <w:r w:rsidR="00392DBC">
        <w:t>detalla</w:t>
      </w:r>
      <w:r w:rsidRPr="00BE2437">
        <w:t xml:space="preserve"> qu</w:t>
      </w:r>
      <w:r>
        <w:t>e tanto el inicio como el final,</w:t>
      </w:r>
      <w:r w:rsidRPr="00BE2437">
        <w:t xml:space="preserve"> cuenta</w:t>
      </w:r>
      <w:r w:rsidR="00AD1AA8">
        <w:t>n</w:t>
      </w:r>
      <w:r w:rsidRPr="00BE2437">
        <w:t xml:space="preserve"> con los comportamientos</w:t>
      </w:r>
      <w:r>
        <w:t xml:space="preserve"> más atípicos respecto a los de</w:t>
      </w:r>
      <w:r w:rsidRPr="00BE2437">
        <w:t>más datos</w:t>
      </w:r>
      <w:r w:rsidR="00392DBC">
        <w:t xml:space="preserve"> de la serie</w:t>
      </w:r>
      <w:r w:rsidRPr="00BE2437">
        <w:t xml:space="preserve">. El inicio está </w:t>
      </w:r>
      <w:r>
        <w:t>marcado por los niveles más altos de spread, y el final por los más bajos. La gran mayoría de los datos se encuentran ubicados entre el 3.5% y el 5%, evidenciando su valor mínimo en 1.55% y el máximo en 9.95%.</w:t>
      </w:r>
    </w:p>
    <w:p w14:paraId="23520306" w14:textId="77777777" w:rsidR="00055D25" w:rsidRPr="00BE2437" w:rsidRDefault="00055D25" w:rsidP="00BE2437">
      <w:pPr>
        <w:jc w:val="both"/>
      </w:pPr>
    </w:p>
    <w:p w14:paraId="3FD59086" w14:textId="08C01671" w:rsidR="00212CCB" w:rsidRDefault="00BE1A97" w:rsidP="00212CCB">
      <w:pPr>
        <w:jc w:val="both"/>
      </w:pPr>
      <w:r>
        <w:lastRenderedPageBreak/>
        <w:t xml:space="preserve">Al ubicar </w:t>
      </w:r>
      <w:r w:rsidR="00212CCB">
        <w:t xml:space="preserve">todas las variables de interés </w:t>
      </w:r>
      <w:r>
        <w:t>sobre la misma gráfica se ev</w:t>
      </w:r>
      <w:r w:rsidR="00AD1AA8">
        <w:t>idencia que la variable “</w:t>
      </w:r>
      <w:r w:rsidR="00212CCB">
        <w:t>Spread de crédito del periodo anterior</w:t>
      </w:r>
      <w:r w:rsidR="00AD1AA8">
        <w:t>”</w:t>
      </w:r>
      <w:r w:rsidR="00212CCB">
        <w:t xml:space="preserve"> predice en gran medida el spread de crédito del día siguiente. El retorno del </w:t>
      </w:r>
      <w:proofErr w:type="spellStart"/>
      <w:r w:rsidR="00212CCB">
        <w:t>Colcap</w:t>
      </w:r>
      <w:proofErr w:type="spellEnd"/>
      <w:r w:rsidR="00212CCB">
        <w:t xml:space="preserve"> no parece tener mayor relación con el spread crediticio con excepción del periodo de alta volatilidad ocurrido con motivo del COVID19. En cuanto a </w:t>
      </w:r>
      <w:r w:rsidR="006B3609">
        <w:t xml:space="preserve">los CDS 10 años Colombia y el spread crediticio, se observa que después del inicio de pandemia siguen movimientos muy similares, e incluso hacia el 2021 se alcanzan a sobreponer las dos series. Por último, la variable </w:t>
      </w:r>
      <w:proofErr w:type="spellStart"/>
      <w:r w:rsidR="006B3609">
        <w:t>Slope</w:t>
      </w:r>
      <w:proofErr w:type="spellEnd"/>
      <w:r w:rsidR="006B3609">
        <w:t xml:space="preserve"> 10-3 años muestra lo que podría </w:t>
      </w:r>
      <w:r w:rsidR="00AD1AA8">
        <w:t>haber</w:t>
      </w:r>
      <w:r w:rsidR="006B3609">
        <w:t xml:space="preserve"> una simetría, respecto al spread crediticio, si se considera una línea horizontal trazada sobre niveles cercanos al 2%.</w:t>
      </w:r>
    </w:p>
    <w:p w14:paraId="0AC5DAE4" w14:textId="2B40E805" w:rsidR="00BE2437" w:rsidRPr="00BE1A97" w:rsidRDefault="00A810C2" w:rsidP="00212CCB">
      <w:pPr>
        <w:jc w:val="center"/>
      </w:pPr>
      <w:r>
        <w:rPr>
          <w:noProof/>
          <w:lang w:val="en-US"/>
        </w:rPr>
        <w:drawing>
          <wp:inline distT="0" distB="0" distL="0" distR="0" wp14:anchorId="37B4F89F" wp14:editId="6CFF3C38">
            <wp:extent cx="5603321" cy="3313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321" cy="331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6B1133" w14:textId="77777777" w:rsidR="00BE2437" w:rsidRPr="00D74C73" w:rsidRDefault="00BE2437" w:rsidP="00BE2437"/>
    <w:p w14:paraId="1D7FD075" w14:textId="4374E317" w:rsidR="00BE2437" w:rsidRDefault="0058156E" w:rsidP="0058156E">
      <w:r>
        <w:t>A continuación se muestra el resultado de las correlaciones entre las variables:</w:t>
      </w:r>
    </w:p>
    <w:p w14:paraId="1A8A3736" w14:textId="101C37AA" w:rsidR="0058156E" w:rsidRDefault="0058156E" w:rsidP="0058156E">
      <w:pPr>
        <w:jc w:val="center"/>
      </w:pPr>
      <w:r w:rsidRPr="0058156E">
        <w:drawing>
          <wp:inline distT="0" distB="0" distL="0" distR="0" wp14:anchorId="743C01EA" wp14:editId="0116C294">
            <wp:extent cx="5762846" cy="8618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936" cy="8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8C657" w14:textId="6B0934F9" w:rsidR="0058156E" w:rsidRPr="00212CCB" w:rsidRDefault="0058156E" w:rsidP="0058156E"/>
    <w:p w14:paraId="3CD34991" w14:textId="5B42227D" w:rsidR="00DA11CE" w:rsidRPr="00D74C73" w:rsidRDefault="00DA11CE" w:rsidP="00DA11CE">
      <w:pPr>
        <w:jc w:val="center"/>
      </w:pPr>
    </w:p>
    <w:p w14:paraId="2F976860" w14:textId="3A4A85AD" w:rsidR="00DA11CE" w:rsidRDefault="008E2831" w:rsidP="00DA11CE">
      <w:pPr>
        <w:jc w:val="center"/>
        <w:rPr>
          <w:u w:val="single"/>
        </w:rPr>
      </w:pPr>
      <w:r w:rsidRPr="008E2831">
        <w:lastRenderedPageBreak/>
        <w:drawing>
          <wp:inline distT="0" distB="0" distL="0" distR="0" wp14:anchorId="0C428BFE" wp14:editId="3DFD88A5">
            <wp:extent cx="5826642" cy="5138054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710" cy="513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CD05" w14:textId="51E159B3" w:rsidR="00CD7FED" w:rsidRPr="00CD7FED" w:rsidRDefault="00CD7FED" w:rsidP="00CD7FED">
      <w:pPr>
        <w:jc w:val="both"/>
      </w:pPr>
      <w:r>
        <w:t xml:space="preserve">La variable spread </w:t>
      </w:r>
      <w:r w:rsidR="00926E93">
        <w:t>crediticio</w:t>
      </w:r>
      <w:r>
        <w:t xml:space="preserve"> t-1 tiene una correlación cercana a 1 respecto al Spread de crédito</w:t>
      </w:r>
      <w:r w:rsidR="00851C20">
        <w:t>;</w:t>
      </w:r>
      <w:r w:rsidR="00AD1AA8">
        <w:t xml:space="preserve"> </w:t>
      </w:r>
      <w:r w:rsidR="00986B11">
        <w:t xml:space="preserve">como </w:t>
      </w:r>
      <w:r w:rsidR="00526794">
        <w:t>se mencionó</w:t>
      </w:r>
      <w:r w:rsidR="00AD1AA8">
        <w:t xml:space="preserve"> previamente, se comportan de manera muy similar</w:t>
      </w:r>
      <w:r>
        <w:t>. Respecto a</w:t>
      </w:r>
      <w:r w:rsidR="0067177E">
        <w:t xml:space="preserve"> </w:t>
      </w:r>
      <w:r>
        <w:t>l</w:t>
      </w:r>
      <w:r w:rsidR="00986B11">
        <w:t>a serie de retornos del</w:t>
      </w:r>
      <w:r w:rsidR="003C4689">
        <w:t xml:space="preserve"> </w:t>
      </w:r>
      <w:proofErr w:type="spellStart"/>
      <w:r w:rsidR="003C4689">
        <w:t>C</w:t>
      </w:r>
      <w:r>
        <w:t>olcap</w:t>
      </w:r>
      <w:proofErr w:type="spellEnd"/>
      <w:r>
        <w:t>, tiene una correlación de -0.002 con el spread crediticio. Al ver el gráfico de dispersión</w:t>
      </w:r>
      <w:r w:rsidR="00526794">
        <w:t>,</w:t>
      </w:r>
      <w:r>
        <w:t xml:space="preserve"> se evidencia que la gran mayoría de puntos se encuentran ubicados alrededor del 0%, sobre el eje X</w:t>
      </w:r>
      <w:r w:rsidR="00986B11">
        <w:t>, por lo cual no parece haber una relación entre dichas variables</w:t>
      </w:r>
      <w:r>
        <w:t xml:space="preserve">. Respecto a las variables </w:t>
      </w:r>
      <w:proofErr w:type="spellStart"/>
      <w:r>
        <w:t>Slope</w:t>
      </w:r>
      <w:proofErr w:type="spellEnd"/>
      <w:r>
        <w:t xml:space="preserve"> 10-3 años y el spread crediticio, la correlación es negativa y corresponde a -0.43; sin embargo la dispersión de los datos es alta</w:t>
      </w:r>
      <w:r w:rsidR="00851C20">
        <w:t>, por l</w:t>
      </w:r>
      <w:r w:rsidR="00D41F1E">
        <w:t>o cual, de manera preliminar</w:t>
      </w:r>
      <w:r w:rsidR="00986B11">
        <w:t>, no se evidencia una relación lineal</w:t>
      </w:r>
      <w:r>
        <w:t>. Por último</w:t>
      </w:r>
      <w:r w:rsidR="008449DC">
        <w:t>,</w:t>
      </w:r>
      <w:bookmarkStart w:id="0" w:name="_GoBack"/>
      <w:bookmarkEnd w:id="0"/>
      <w:r>
        <w:t xml:space="preserve"> la correlación entre la variable CDS 10 años y el spread de crédito, muestra un correlación positiva de 0.71; aún así la tendencia no </w:t>
      </w:r>
      <w:r w:rsidR="00960F9D">
        <w:t xml:space="preserve">es </w:t>
      </w:r>
      <w:r>
        <w:t>clara, pues se observa gran dispersión en l</w:t>
      </w:r>
      <w:r w:rsidR="00960F9D">
        <w:t>os datos.</w:t>
      </w:r>
    </w:p>
    <w:p w14:paraId="7A252E94" w14:textId="77777777" w:rsidR="00B9074A" w:rsidRPr="00171E30" w:rsidRDefault="00B9074A" w:rsidP="00B9074A">
      <w:pPr>
        <w:jc w:val="both"/>
      </w:pPr>
    </w:p>
    <w:sectPr w:rsidR="00B9074A" w:rsidRPr="00171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C6DF4"/>
    <w:multiLevelType w:val="hybridMultilevel"/>
    <w:tmpl w:val="CC1026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2B9"/>
    <w:rsid w:val="00055D25"/>
    <w:rsid w:val="00093F64"/>
    <w:rsid w:val="000A4B43"/>
    <w:rsid w:val="00160B8D"/>
    <w:rsid w:val="00171E30"/>
    <w:rsid w:val="00212CCB"/>
    <w:rsid w:val="00264C48"/>
    <w:rsid w:val="002864F1"/>
    <w:rsid w:val="0035135C"/>
    <w:rsid w:val="00392DBC"/>
    <w:rsid w:val="003C4689"/>
    <w:rsid w:val="004562B9"/>
    <w:rsid w:val="004A5EE1"/>
    <w:rsid w:val="004D3DFC"/>
    <w:rsid w:val="00526794"/>
    <w:rsid w:val="00545604"/>
    <w:rsid w:val="0058156E"/>
    <w:rsid w:val="0067177E"/>
    <w:rsid w:val="006B3609"/>
    <w:rsid w:val="006F14C9"/>
    <w:rsid w:val="00795ABA"/>
    <w:rsid w:val="007D3957"/>
    <w:rsid w:val="007F0BC9"/>
    <w:rsid w:val="008449DC"/>
    <w:rsid w:val="00851C20"/>
    <w:rsid w:val="00852900"/>
    <w:rsid w:val="008E2831"/>
    <w:rsid w:val="00926E93"/>
    <w:rsid w:val="00960F9D"/>
    <w:rsid w:val="00970942"/>
    <w:rsid w:val="00986B11"/>
    <w:rsid w:val="009B1D10"/>
    <w:rsid w:val="00A810C2"/>
    <w:rsid w:val="00AD1AA8"/>
    <w:rsid w:val="00B9074A"/>
    <w:rsid w:val="00BE1A97"/>
    <w:rsid w:val="00BE2437"/>
    <w:rsid w:val="00C76E2A"/>
    <w:rsid w:val="00C86FA5"/>
    <w:rsid w:val="00CD7FED"/>
    <w:rsid w:val="00D23D82"/>
    <w:rsid w:val="00D40238"/>
    <w:rsid w:val="00D41F1E"/>
    <w:rsid w:val="00D74C73"/>
    <w:rsid w:val="00DA11CE"/>
    <w:rsid w:val="00E90C33"/>
    <w:rsid w:val="00ED7146"/>
    <w:rsid w:val="00F710FB"/>
    <w:rsid w:val="00F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1743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5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4</Pages>
  <Words>682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Bohorquez</dc:creator>
  <cp:keywords/>
  <dc:description/>
  <cp:lastModifiedBy>Mono</cp:lastModifiedBy>
  <cp:revision>41</cp:revision>
  <dcterms:created xsi:type="dcterms:W3CDTF">2021-07-17T10:16:00Z</dcterms:created>
  <dcterms:modified xsi:type="dcterms:W3CDTF">2021-07-19T19:26:00Z</dcterms:modified>
</cp:coreProperties>
</file>