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506B2E">
        <w:rPr>
          <w:b/>
        </w:rPr>
        <w:t>Manter Funcionário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BD1812" w:rsidRDefault="00506B2E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</w:rPr>
              <w:t xml:space="preserve">O caso de uso inicia quando o </w:t>
            </w:r>
            <w:r>
              <w:rPr>
                <w:rFonts w:cs="Arial"/>
              </w:rPr>
              <w:t>ator na aba “Funcionários e Funções” seleciona a função “</w:t>
            </w:r>
            <w:proofErr w:type="gramStart"/>
            <w:r>
              <w:rPr>
                <w:rFonts w:cs="Arial"/>
              </w:rPr>
              <w:t>Novo</w:t>
            </w:r>
            <w:proofErr w:type="gramEnd"/>
            <w:r>
              <w:rPr>
                <w:rFonts w:cs="Arial"/>
              </w:rPr>
              <w:t xml:space="preserve"> Funcionário”</w:t>
            </w:r>
          </w:p>
        </w:tc>
        <w:tc>
          <w:tcPr>
            <w:tcW w:w="3808" w:type="dxa"/>
          </w:tcPr>
          <w:p w:rsidR="00067014" w:rsidRPr="00BD1812" w:rsidRDefault="00506B2E">
            <w:pPr>
              <w:rPr>
                <w:rFonts w:cs="Arial"/>
              </w:rPr>
            </w:pPr>
            <w:r>
              <w:rPr>
                <w:rFonts w:cs="Arial"/>
              </w:rPr>
              <w:t>O sistema carrega a página para inclusão de funcionários.</w:t>
            </w:r>
          </w:p>
        </w:tc>
        <w:tc>
          <w:tcPr>
            <w:tcW w:w="1133" w:type="dxa"/>
          </w:tcPr>
          <w:p w:rsidR="00067014" w:rsidRDefault="00067014"/>
          <w:p w:rsidR="00067014" w:rsidRDefault="00506B2E">
            <w:r>
              <w:t>OK</w:t>
            </w:r>
          </w:p>
        </w:tc>
      </w:tr>
      <w:tr w:rsidR="00067014" w:rsidRPr="00067014" w:rsidTr="00AF0516">
        <w:tc>
          <w:tcPr>
            <w:tcW w:w="3779" w:type="dxa"/>
          </w:tcPr>
          <w:p w:rsidR="00506B2E" w:rsidRDefault="00506B2E" w:rsidP="00506B2E">
            <w:pPr>
              <w:rPr>
                <w:rFonts w:cs="Arial"/>
              </w:rPr>
            </w:pPr>
            <w:r>
              <w:rPr>
                <w:rFonts w:cs="Arial"/>
              </w:rPr>
              <w:t>O ator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preenche o campo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“N</w:t>
            </w:r>
            <w:r w:rsidRPr="006B2990">
              <w:rPr>
                <w:rFonts w:cs="Arial"/>
              </w:rPr>
              <w:t>ome</w:t>
            </w:r>
            <w:r>
              <w:rPr>
                <w:rFonts w:cs="Arial"/>
              </w:rPr>
              <w:t>”</w:t>
            </w:r>
            <w:r w:rsidRPr="006B2990">
              <w:rPr>
                <w:rFonts w:cs="Arial"/>
              </w:rPr>
              <w:t>.</w:t>
            </w:r>
          </w:p>
          <w:p w:rsidR="00067014" w:rsidRPr="001602A0" w:rsidRDefault="00067014">
            <w:pPr>
              <w:rPr>
                <w:rFonts w:cs="Arial"/>
              </w:rPr>
            </w:pPr>
          </w:p>
        </w:tc>
        <w:tc>
          <w:tcPr>
            <w:tcW w:w="3808" w:type="dxa"/>
          </w:tcPr>
          <w:p w:rsidR="00067014" w:rsidRPr="00BD1812" w:rsidRDefault="001602A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  <w:p w:rsidR="00067014" w:rsidRDefault="00506B2E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Pr="00BD1812" w:rsidRDefault="00506B2E">
            <w:pPr>
              <w:rPr>
                <w:sz w:val="24"/>
                <w:szCs w:val="24"/>
              </w:rPr>
            </w:pPr>
            <w:r w:rsidRPr="006B299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ator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preenche o campo “S</w:t>
            </w:r>
            <w:r w:rsidRPr="006B2990">
              <w:rPr>
                <w:rFonts w:cs="Arial"/>
              </w:rPr>
              <w:t>obrenome</w:t>
            </w:r>
            <w:r>
              <w:rPr>
                <w:rFonts w:cs="Arial"/>
              </w:rPr>
              <w:t>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067014" w:rsidRPr="00BD1812" w:rsidRDefault="00506B2E">
            <w:pPr>
              <w:rPr>
                <w:sz w:val="24"/>
                <w:szCs w:val="24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506B2E">
            <w:r>
              <w:t>OK</w:t>
            </w:r>
          </w:p>
        </w:tc>
      </w:tr>
      <w:tr w:rsidR="00506B2E" w:rsidTr="00AF0516">
        <w:tc>
          <w:tcPr>
            <w:tcW w:w="3779" w:type="dxa"/>
          </w:tcPr>
          <w:p w:rsidR="00506B2E" w:rsidRPr="006B2990" w:rsidRDefault="00506B2E">
            <w:pPr>
              <w:rPr>
                <w:rFonts w:cs="Arial"/>
              </w:rPr>
            </w:pPr>
            <w:r w:rsidRPr="006B299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ator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preenche o campo "Data de N</w:t>
            </w:r>
            <w:r w:rsidRPr="006B2990">
              <w:rPr>
                <w:rFonts w:cs="Arial"/>
              </w:rPr>
              <w:t>ascimento</w:t>
            </w:r>
            <w:r>
              <w:rPr>
                <w:rFonts w:cs="Arial"/>
              </w:rPr>
              <w:t>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506B2E" w:rsidRDefault="00506B2E">
            <w:pPr>
              <w:rPr>
                <w:rFonts w:cs="Arial"/>
              </w:rPr>
            </w:pPr>
            <w:r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506B2E" w:rsidRDefault="00506B2E">
            <w:r>
              <w:t>OK</w:t>
            </w:r>
          </w:p>
        </w:tc>
      </w:tr>
      <w:tr w:rsidR="00506B2E" w:rsidTr="00AF0516">
        <w:tc>
          <w:tcPr>
            <w:tcW w:w="3779" w:type="dxa"/>
          </w:tcPr>
          <w:p w:rsidR="00506B2E" w:rsidRPr="006B2990" w:rsidRDefault="00506B2E">
            <w:pPr>
              <w:rPr>
                <w:rFonts w:cs="Arial"/>
              </w:rPr>
            </w:pPr>
            <w:r w:rsidRPr="006B299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ator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preenche o campo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“</w:t>
            </w:r>
            <w:r w:rsidRPr="006B2990">
              <w:rPr>
                <w:rFonts w:cs="Arial"/>
              </w:rPr>
              <w:t>CPF</w:t>
            </w:r>
            <w:r>
              <w:rPr>
                <w:rFonts w:cs="Arial"/>
              </w:rPr>
              <w:t>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506B2E" w:rsidRPr="006B2990" w:rsidRDefault="00506B2E" w:rsidP="00506B2E">
            <w:pPr>
              <w:rPr>
                <w:rFonts w:cs="Arial"/>
              </w:rPr>
            </w:pPr>
            <w:r w:rsidRPr="006B2990">
              <w:rPr>
                <w:rFonts w:cs="Arial"/>
              </w:rPr>
              <w:t>O sistema mantém os dados pendentes para inclusão.</w:t>
            </w:r>
          </w:p>
          <w:p w:rsidR="00506B2E" w:rsidRDefault="00506B2E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506B2E" w:rsidRDefault="00506B2E">
            <w:r>
              <w:t>OK</w:t>
            </w:r>
          </w:p>
        </w:tc>
      </w:tr>
      <w:tr w:rsidR="00506B2E" w:rsidTr="00AF0516">
        <w:tc>
          <w:tcPr>
            <w:tcW w:w="3779" w:type="dxa"/>
          </w:tcPr>
          <w:p w:rsidR="00506B2E" w:rsidRPr="006B2990" w:rsidRDefault="00506B2E">
            <w:pPr>
              <w:rPr>
                <w:rFonts w:cs="Arial"/>
              </w:rPr>
            </w:pPr>
            <w:r w:rsidRPr="006B299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ator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preenche o campo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“</w:t>
            </w:r>
            <w:r w:rsidRPr="006B2990">
              <w:rPr>
                <w:rFonts w:cs="Arial"/>
              </w:rPr>
              <w:t>RG</w:t>
            </w:r>
            <w:r>
              <w:rPr>
                <w:rFonts w:cs="Arial"/>
              </w:rPr>
              <w:t>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506B2E" w:rsidRPr="006B2990" w:rsidRDefault="00506B2E" w:rsidP="00506B2E">
            <w:pPr>
              <w:rPr>
                <w:rFonts w:cs="Arial"/>
              </w:rPr>
            </w:pPr>
            <w:r w:rsidRPr="006B2990">
              <w:rPr>
                <w:rFonts w:cs="Arial"/>
              </w:rPr>
              <w:t>O sistema mantém os dados pendentes para inclusão.</w:t>
            </w:r>
          </w:p>
          <w:p w:rsidR="00506B2E" w:rsidRDefault="00506B2E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506B2E" w:rsidRDefault="00506B2E">
            <w:r>
              <w:t>OK</w:t>
            </w:r>
          </w:p>
        </w:tc>
      </w:tr>
      <w:tr w:rsidR="00506B2E" w:rsidTr="00AF0516">
        <w:tc>
          <w:tcPr>
            <w:tcW w:w="3779" w:type="dxa"/>
          </w:tcPr>
          <w:p w:rsidR="00506B2E" w:rsidRPr="006B2990" w:rsidRDefault="00506B2E">
            <w:pPr>
              <w:rPr>
                <w:rFonts w:cs="Arial"/>
              </w:rPr>
            </w:pPr>
            <w:r w:rsidRPr="006B299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ator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preenche o campo “S</w:t>
            </w:r>
            <w:r w:rsidRPr="006B2990">
              <w:rPr>
                <w:rFonts w:cs="Arial"/>
              </w:rPr>
              <w:t>alário</w:t>
            </w:r>
            <w:r>
              <w:rPr>
                <w:rFonts w:cs="Arial"/>
              </w:rPr>
              <w:t>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506B2E" w:rsidRPr="006B2990" w:rsidRDefault="00506B2E" w:rsidP="00506B2E">
            <w:pPr>
              <w:rPr>
                <w:rFonts w:cs="Arial"/>
              </w:rPr>
            </w:pPr>
            <w:r w:rsidRPr="006B2990"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506B2E" w:rsidRDefault="00506B2E">
            <w:r>
              <w:t>OK</w:t>
            </w:r>
          </w:p>
        </w:tc>
      </w:tr>
      <w:tr w:rsidR="00506B2E" w:rsidTr="00AF0516">
        <w:tc>
          <w:tcPr>
            <w:tcW w:w="3779" w:type="dxa"/>
          </w:tcPr>
          <w:p w:rsidR="00506B2E" w:rsidRPr="006B2990" w:rsidRDefault="00506B2E">
            <w:pPr>
              <w:rPr>
                <w:rFonts w:cs="Arial"/>
              </w:rPr>
            </w:pPr>
            <w:r w:rsidRPr="006B299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ator seleciona o campo</w:t>
            </w:r>
            <w:r w:rsidRPr="006B29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“F</w:t>
            </w:r>
            <w:r w:rsidRPr="006B2990">
              <w:rPr>
                <w:rFonts w:cs="Arial"/>
              </w:rPr>
              <w:t>unção</w:t>
            </w:r>
            <w:r>
              <w:rPr>
                <w:rFonts w:cs="Arial"/>
              </w:rPr>
              <w:t>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506B2E" w:rsidRPr="006B2990" w:rsidRDefault="00506B2E" w:rsidP="00977D3E">
            <w:pPr>
              <w:rPr>
                <w:rFonts w:cs="Arial"/>
              </w:rPr>
            </w:pPr>
            <w:r w:rsidRPr="006B2990">
              <w:rPr>
                <w:rFonts w:cs="Arial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506B2E" w:rsidRDefault="00506B2E">
            <w:r>
              <w:t>OK</w:t>
            </w:r>
          </w:p>
        </w:tc>
      </w:tr>
      <w:tr w:rsidR="00506B2E" w:rsidTr="00AF0516">
        <w:tc>
          <w:tcPr>
            <w:tcW w:w="3779" w:type="dxa"/>
          </w:tcPr>
          <w:p w:rsidR="00506B2E" w:rsidRPr="006B2990" w:rsidRDefault="00506B2E">
            <w:pPr>
              <w:rPr>
                <w:rFonts w:cs="Arial"/>
              </w:rPr>
            </w:pPr>
            <w:r w:rsidRPr="006B2990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ator</w:t>
            </w:r>
            <w:r w:rsidRPr="006B2990">
              <w:rPr>
                <w:rFonts w:cs="Arial"/>
              </w:rPr>
              <w:t xml:space="preserve"> clica no botão Salvar</w:t>
            </w:r>
            <w:r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506B2E" w:rsidRPr="006B2990" w:rsidRDefault="00506B2E" w:rsidP="00977D3E">
            <w:pPr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6B2990">
              <w:rPr>
                <w:rFonts w:cs="Arial"/>
              </w:rPr>
              <w:t xml:space="preserve"> sistema salva os dados pendentes, emite a mensagem “Funcionário cadastrado com sucesso” e o caso de uso termina.</w:t>
            </w:r>
          </w:p>
        </w:tc>
        <w:tc>
          <w:tcPr>
            <w:tcW w:w="1133" w:type="dxa"/>
          </w:tcPr>
          <w:p w:rsidR="00506B2E" w:rsidRDefault="00506B2E">
            <w:r>
              <w:t>OK</w:t>
            </w:r>
          </w:p>
        </w:tc>
      </w:tr>
    </w:tbl>
    <w:p w:rsidR="00DE7515" w:rsidRDefault="003F2299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BD1812" w:rsidRDefault="00506B2E" w:rsidP="00BD181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não preenche os campos e clica no botão “Salvar”.</w:t>
            </w:r>
          </w:p>
        </w:tc>
        <w:tc>
          <w:tcPr>
            <w:tcW w:w="3808" w:type="dxa"/>
          </w:tcPr>
          <w:p w:rsidR="00AF0516" w:rsidRPr="00067014" w:rsidRDefault="00506B2E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</w:t>
            </w:r>
            <w:r w:rsidRPr="006B2990">
              <w:rPr>
                <w:rFonts w:cs="Arial"/>
              </w:rPr>
              <w:t xml:space="preserve"> sistema </w:t>
            </w:r>
            <w:r>
              <w:rPr>
                <w:rFonts w:cs="Arial"/>
              </w:rPr>
              <w:t>mostra a mensagem “</w:t>
            </w:r>
            <w:r w:rsidRPr="009E1B79">
              <w:rPr>
                <w:rFonts w:cs="Arial"/>
              </w:rPr>
              <w:t>Erro!</w:t>
            </w:r>
            <w:r>
              <w:rPr>
                <w:rFonts w:cs="Arial"/>
              </w:rPr>
              <w:t xml:space="preserve"> </w:t>
            </w:r>
            <w:r w:rsidRPr="009E1B79">
              <w:rPr>
                <w:rFonts w:cs="Arial"/>
              </w:rPr>
              <w:t>Houve um erro ao cadastrar o funcionário.</w:t>
            </w:r>
            <w:r>
              <w:rPr>
                <w:rFonts w:cs="Arial"/>
              </w:rPr>
              <w:t>” e a mensagem “Campo O</w:t>
            </w:r>
            <w:r w:rsidRPr="006B2990">
              <w:rPr>
                <w:rFonts w:cs="Arial"/>
              </w:rPr>
              <w:t>brigatório.” abaixo do</w:t>
            </w:r>
            <w:r>
              <w:rPr>
                <w:rFonts w:cs="Arial"/>
              </w:rPr>
              <w:t>s</w:t>
            </w:r>
            <w:r w:rsidRPr="006B2990">
              <w:rPr>
                <w:rFonts w:cs="Arial"/>
              </w:rPr>
              <w:t xml:space="preserve"> campo</w:t>
            </w:r>
            <w:r>
              <w:rPr>
                <w:rFonts w:cs="Arial"/>
              </w:rPr>
              <w:t>s não preenchidos.</w:t>
            </w:r>
          </w:p>
        </w:tc>
        <w:tc>
          <w:tcPr>
            <w:tcW w:w="1133" w:type="dxa"/>
          </w:tcPr>
          <w:p w:rsidR="00AF0516" w:rsidRDefault="00506B2E" w:rsidP="00B164FA">
            <w:r>
              <w:t>OK</w:t>
            </w:r>
          </w:p>
          <w:p w:rsidR="00AF0516" w:rsidRDefault="00AF0516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506B2E" w:rsidP="00B164FA">
            <w:pPr>
              <w:jc w:val="left"/>
              <w:rPr>
                <w:rFonts w:cs="Arial"/>
                <w:sz w:val="24"/>
                <w:szCs w:val="24"/>
              </w:rPr>
            </w:pPr>
            <w:r w:rsidRPr="00506B2E">
              <w:rPr>
                <w:rFonts w:cs="Arial"/>
                <w:sz w:val="24"/>
                <w:szCs w:val="24"/>
              </w:rPr>
              <w:t>O ator preenche o campo “Data de Nascimento” no formato inválido.</w:t>
            </w:r>
          </w:p>
        </w:tc>
        <w:tc>
          <w:tcPr>
            <w:tcW w:w="3808" w:type="dxa"/>
          </w:tcPr>
          <w:p w:rsidR="00A10C08" w:rsidRPr="00067014" w:rsidRDefault="00506B2E" w:rsidP="00B164FA">
            <w:pPr>
              <w:rPr>
                <w:rFonts w:cs="Arial"/>
                <w:sz w:val="24"/>
                <w:szCs w:val="24"/>
              </w:rPr>
            </w:pPr>
            <w:r w:rsidRPr="00506B2E">
              <w:rPr>
                <w:rFonts w:cs="Arial"/>
                <w:sz w:val="24"/>
                <w:szCs w:val="24"/>
              </w:rPr>
              <w:t>O sistema emite a mensagem “Informe uma data válida (Ex.: 12/12/1990).” abaixo do campo.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Pr="00506B2E" w:rsidRDefault="00506B2E" w:rsidP="00B164FA">
            <w:pPr>
              <w:rPr>
                <w:sz w:val="24"/>
                <w:szCs w:val="24"/>
              </w:rPr>
            </w:pPr>
            <w:r w:rsidRPr="00506B2E">
              <w:rPr>
                <w:sz w:val="24"/>
                <w:szCs w:val="24"/>
              </w:rP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506B2E" w:rsidRDefault="00506B2E" w:rsidP="00A10C08">
            <w:pPr>
              <w:rPr>
                <w:rFonts w:cs="Arial"/>
                <w:sz w:val="24"/>
                <w:szCs w:val="24"/>
              </w:rPr>
            </w:pPr>
            <w:r w:rsidRPr="00506B2E">
              <w:rPr>
                <w:rFonts w:cs="Arial"/>
                <w:sz w:val="24"/>
                <w:szCs w:val="24"/>
              </w:rPr>
              <w:t>O ator preenche os campos “</w:t>
            </w:r>
            <w:proofErr w:type="spellStart"/>
            <w:r w:rsidRPr="00506B2E">
              <w:rPr>
                <w:rFonts w:cs="Arial"/>
                <w:sz w:val="24"/>
                <w:szCs w:val="24"/>
              </w:rPr>
              <w:t>Salario</w:t>
            </w:r>
            <w:proofErr w:type="spellEnd"/>
            <w:r w:rsidRPr="00506B2E">
              <w:rPr>
                <w:rFonts w:cs="Arial"/>
                <w:sz w:val="24"/>
                <w:szCs w:val="24"/>
              </w:rPr>
              <w:t>”, “CPF” ou “RG”, no formato inválido.</w:t>
            </w:r>
          </w:p>
        </w:tc>
        <w:tc>
          <w:tcPr>
            <w:tcW w:w="3808" w:type="dxa"/>
          </w:tcPr>
          <w:p w:rsidR="00A10C08" w:rsidRPr="00067014" w:rsidRDefault="00506B2E" w:rsidP="00B164FA">
            <w:pPr>
              <w:rPr>
                <w:rFonts w:cs="Arial"/>
                <w:sz w:val="24"/>
                <w:szCs w:val="24"/>
              </w:rPr>
            </w:pPr>
            <w:r w:rsidRPr="00506B2E">
              <w:rPr>
                <w:rFonts w:cs="Arial"/>
                <w:sz w:val="24"/>
                <w:szCs w:val="24"/>
              </w:rPr>
              <w:t>O sistema mostra a mensagem “O campo deve ser um número.” abaixo do campo.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506B2E" w:rsidP="00B164FA">
            <w:r>
              <w:t>OK</w:t>
            </w:r>
          </w:p>
        </w:tc>
      </w:tr>
    </w:tbl>
    <w:p w:rsidR="009F453A" w:rsidRDefault="009F453A"/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9F453A" w:rsidRPr="00067014" w:rsidTr="00B164FA">
        <w:tc>
          <w:tcPr>
            <w:tcW w:w="3779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9F453A" w:rsidRPr="00067014" w:rsidRDefault="009F453A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F453A" w:rsidRPr="00067014" w:rsidTr="00B164FA">
        <w:tc>
          <w:tcPr>
            <w:tcW w:w="3779" w:type="dxa"/>
          </w:tcPr>
          <w:p w:rsidR="009F453A" w:rsidRPr="00AF0516" w:rsidRDefault="00506B2E" w:rsidP="00506B2E">
            <w:pPr>
              <w:rPr>
                <w:rFonts w:cs="Arial"/>
                <w:sz w:val="24"/>
                <w:szCs w:val="24"/>
              </w:rPr>
            </w:pPr>
            <w:r w:rsidRPr="00506B2E">
              <w:rPr>
                <w:rFonts w:cs="Arial"/>
                <w:sz w:val="24"/>
                <w:szCs w:val="24"/>
              </w:rPr>
              <w:t>O ator na aba “Funcionários e Funções”</w:t>
            </w:r>
            <w:proofErr w:type="gramStart"/>
            <w:r w:rsidRPr="00506B2E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506B2E">
              <w:rPr>
                <w:rFonts w:cs="Arial"/>
                <w:sz w:val="24"/>
                <w:szCs w:val="24"/>
              </w:rPr>
              <w:t xml:space="preserve"> a função “Alterar”.</w:t>
            </w:r>
          </w:p>
        </w:tc>
        <w:tc>
          <w:tcPr>
            <w:tcW w:w="3808" w:type="dxa"/>
          </w:tcPr>
          <w:p w:rsidR="009F453A" w:rsidRPr="00067014" w:rsidRDefault="00506B2E" w:rsidP="00B164FA">
            <w:pPr>
              <w:rPr>
                <w:rFonts w:cs="Arial"/>
                <w:sz w:val="24"/>
                <w:szCs w:val="24"/>
              </w:rPr>
            </w:pPr>
            <w:r w:rsidRPr="00506B2E">
              <w:rPr>
                <w:rFonts w:cs="Arial"/>
                <w:sz w:val="24"/>
                <w:szCs w:val="24"/>
              </w:rPr>
              <w:t>O sistema carrega a página de alteração de funcionários com os dados do funcionário selecionado</w:t>
            </w:r>
          </w:p>
        </w:tc>
        <w:tc>
          <w:tcPr>
            <w:tcW w:w="1133" w:type="dxa"/>
          </w:tcPr>
          <w:p w:rsidR="009F453A" w:rsidRDefault="009F453A" w:rsidP="00B164FA"/>
          <w:p w:rsidR="009F453A" w:rsidRDefault="00506B2E" w:rsidP="00B164FA">
            <w: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altera o campo “Nome”.</w:t>
            </w:r>
          </w:p>
        </w:tc>
        <w:tc>
          <w:tcPr>
            <w:tcW w:w="3808" w:type="dxa"/>
          </w:tcPr>
          <w:p w:rsidR="00506B2E" w:rsidRPr="001866C7" w:rsidRDefault="00506B2E" w:rsidP="00B164FA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506B2E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altera o campo “Sobrenome”.</w:t>
            </w:r>
          </w:p>
        </w:tc>
        <w:tc>
          <w:tcPr>
            <w:tcW w:w="3808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506B2E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altera o campo "Data de Nascimento”.</w:t>
            </w:r>
          </w:p>
        </w:tc>
        <w:tc>
          <w:tcPr>
            <w:tcW w:w="3808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506B2E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altera o campo “CPF”.</w:t>
            </w:r>
          </w:p>
        </w:tc>
        <w:tc>
          <w:tcPr>
            <w:tcW w:w="3808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506B2E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altera o campo “RG”.</w:t>
            </w:r>
          </w:p>
        </w:tc>
        <w:tc>
          <w:tcPr>
            <w:tcW w:w="3808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1866C7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altera o campo “Salário”.</w:t>
            </w:r>
          </w:p>
        </w:tc>
        <w:tc>
          <w:tcPr>
            <w:tcW w:w="3808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1866C7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altera o campo “Função”.</w:t>
            </w:r>
          </w:p>
        </w:tc>
        <w:tc>
          <w:tcPr>
            <w:tcW w:w="3808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1866C7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clica no botão Salvar.</w:t>
            </w:r>
          </w:p>
        </w:tc>
        <w:tc>
          <w:tcPr>
            <w:tcW w:w="3808" w:type="dxa"/>
          </w:tcPr>
          <w:p w:rsidR="00506B2E" w:rsidRPr="001866C7" w:rsidRDefault="00506B2E" w:rsidP="00506B2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salva os dados pendentes, emite a mensagem “Funcionário alterado com sucesso” e o caso de uso termina.</w:t>
            </w:r>
          </w:p>
        </w:tc>
        <w:tc>
          <w:tcPr>
            <w:tcW w:w="1133" w:type="dxa"/>
          </w:tcPr>
          <w:p w:rsidR="00506B2E" w:rsidRPr="001866C7" w:rsidRDefault="001866C7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B164FA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“Cancelar”,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 w:rsidR="001866C7">
              <w:rPr>
                <w:rFonts w:cs="Arial"/>
                <w:sz w:val="24"/>
                <w:szCs w:val="24"/>
              </w:rPr>
              <w:t>retorna para a ú</w:t>
            </w:r>
            <w:r>
              <w:rPr>
                <w:rFonts w:cs="Arial"/>
                <w:sz w:val="24"/>
                <w:szCs w:val="24"/>
              </w:rPr>
              <w:t>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acessada</w:t>
            </w:r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1866C7" w:rsidP="00B164FA">
            <w:r>
              <w:t>OK</w:t>
            </w:r>
          </w:p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1866C7" w:rsidRDefault="001866C7" w:rsidP="00B164FA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na aba “Funcionário”</w:t>
            </w:r>
            <w:proofErr w:type="gramStart"/>
            <w:r w:rsidRPr="001866C7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1866C7">
              <w:rPr>
                <w:rFonts w:cs="Arial"/>
                <w:sz w:val="24"/>
                <w:szCs w:val="24"/>
              </w:rPr>
              <w:t xml:space="preserve"> a função “Excluir”.</w:t>
            </w:r>
          </w:p>
        </w:tc>
        <w:tc>
          <w:tcPr>
            <w:tcW w:w="3808" w:type="dxa"/>
          </w:tcPr>
          <w:p w:rsidR="004527F2" w:rsidRPr="001866C7" w:rsidRDefault="001866C7" w:rsidP="00B164FA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exibe um diálogo solicitando confirmação.</w:t>
            </w:r>
          </w:p>
        </w:tc>
        <w:tc>
          <w:tcPr>
            <w:tcW w:w="1133" w:type="dxa"/>
          </w:tcPr>
          <w:p w:rsidR="004527F2" w:rsidRPr="001866C7" w:rsidRDefault="004527F2" w:rsidP="00B164FA">
            <w:pPr>
              <w:rPr>
                <w:sz w:val="24"/>
                <w:szCs w:val="24"/>
              </w:rPr>
            </w:pPr>
          </w:p>
          <w:p w:rsidR="004527F2" w:rsidRPr="001866C7" w:rsidRDefault="001866C7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1866C7" w:rsidRPr="00067014" w:rsidTr="00B164FA">
        <w:tc>
          <w:tcPr>
            <w:tcW w:w="3779" w:type="dxa"/>
          </w:tcPr>
          <w:p w:rsidR="001866C7" w:rsidRPr="001866C7" w:rsidRDefault="001866C7" w:rsidP="001866C7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clica no botão “OK”.</w:t>
            </w:r>
          </w:p>
        </w:tc>
        <w:tc>
          <w:tcPr>
            <w:tcW w:w="3808" w:type="dxa"/>
          </w:tcPr>
          <w:p w:rsidR="001866C7" w:rsidRPr="001866C7" w:rsidRDefault="001866C7" w:rsidP="00B164FA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 xml:space="preserve">O sistema exclui o funcionário selecionado e emite a mensagem “Funcionário deletado com sucesso!” e o caso de uso </w:t>
            </w:r>
            <w:proofErr w:type="gramStart"/>
            <w:r w:rsidRPr="001866C7">
              <w:rPr>
                <w:rFonts w:cs="Arial"/>
                <w:sz w:val="24"/>
                <w:szCs w:val="24"/>
              </w:rPr>
              <w:t>termina</w:t>
            </w:r>
            <w:proofErr w:type="gramEnd"/>
          </w:p>
        </w:tc>
        <w:tc>
          <w:tcPr>
            <w:tcW w:w="1133" w:type="dxa"/>
          </w:tcPr>
          <w:p w:rsidR="001866C7" w:rsidRPr="001866C7" w:rsidRDefault="001866C7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</w:tbl>
    <w:p w:rsidR="00AF0516" w:rsidRDefault="00AF0516"/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1866C7" w:rsidRPr="00067014" w:rsidTr="00977D3E">
        <w:tc>
          <w:tcPr>
            <w:tcW w:w="3779" w:type="dxa"/>
          </w:tcPr>
          <w:p w:rsidR="001866C7" w:rsidRPr="00067014" w:rsidRDefault="001866C7" w:rsidP="00977D3E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1866C7" w:rsidRPr="00067014" w:rsidRDefault="001866C7" w:rsidP="00977D3E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1866C7" w:rsidRPr="00067014" w:rsidRDefault="001866C7" w:rsidP="00977D3E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866C7" w:rsidRPr="00067014" w:rsidTr="00977D3E">
        <w:tc>
          <w:tcPr>
            <w:tcW w:w="3779" w:type="dxa"/>
          </w:tcPr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na aba “Funcionário”</w:t>
            </w:r>
            <w:proofErr w:type="gramStart"/>
            <w:r w:rsidRPr="001866C7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1866C7">
              <w:rPr>
                <w:rFonts w:cs="Arial"/>
                <w:sz w:val="24"/>
                <w:szCs w:val="24"/>
              </w:rPr>
              <w:t xml:space="preserve"> a função “Excluir”.</w:t>
            </w:r>
          </w:p>
        </w:tc>
        <w:tc>
          <w:tcPr>
            <w:tcW w:w="3808" w:type="dxa"/>
          </w:tcPr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exibe um diálogo solicitando confirmação.</w:t>
            </w:r>
          </w:p>
        </w:tc>
        <w:tc>
          <w:tcPr>
            <w:tcW w:w="1133" w:type="dxa"/>
          </w:tcPr>
          <w:p w:rsidR="001866C7" w:rsidRPr="001866C7" w:rsidRDefault="001866C7" w:rsidP="00977D3E">
            <w:pPr>
              <w:rPr>
                <w:sz w:val="24"/>
                <w:szCs w:val="24"/>
              </w:rPr>
            </w:pPr>
          </w:p>
          <w:p w:rsidR="001866C7" w:rsidRPr="001866C7" w:rsidRDefault="001866C7" w:rsidP="00977D3E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1866C7" w:rsidRPr="00067014" w:rsidTr="00977D3E">
        <w:tc>
          <w:tcPr>
            <w:tcW w:w="3779" w:type="dxa"/>
          </w:tcPr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clica no botão “Cancelar”.</w:t>
            </w:r>
          </w:p>
        </w:tc>
        <w:tc>
          <w:tcPr>
            <w:tcW w:w="3808" w:type="dxa"/>
          </w:tcPr>
          <w:p w:rsidR="001866C7" w:rsidRPr="001866C7" w:rsidRDefault="001866C7" w:rsidP="001866C7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cancela a exclusão do funcionário selecionado e permanece na página.</w:t>
            </w:r>
          </w:p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1866C7" w:rsidRPr="001866C7" w:rsidRDefault="001866C7" w:rsidP="00977D3E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</w:tbl>
    <w:p w:rsidR="001866C7" w:rsidRDefault="001866C7" w:rsidP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1866C7" w:rsidRPr="00067014" w:rsidTr="00977D3E">
        <w:tc>
          <w:tcPr>
            <w:tcW w:w="3779" w:type="dxa"/>
          </w:tcPr>
          <w:p w:rsidR="001866C7" w:rsidRPr="00067014" w:rsidRDefault="001866C7" w:rsidP="00977D3E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1866C7" w:rsidRPr="00067014" w:rsidRDefault="001866C7" w:rsidP="00977D3E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1866C7" w:rsidRPr="00067014" w:rsidRDefault="001866C7" w:rsidP="00977D3E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1866C7" w:rsidRPr="00067014" w:rsidTr="00977D3E">
        <w:tc>
          <w:tcPr>
            <w:tcW w:w="3779" w:type="dxa"/>
          </w:tcPr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na aba “Funcionário” seleciona a função “Visualizar”.</w:t>
            </w:r>
          </w:p>
        </w:tc>
        <w:tc>
          <w:tcPr>
            <w:tcW w:w="3808" w:type="dxa"/>
          </w:tcPr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carrega a página com os dados do funcionário para visualização</w:t>
            </w:r>
          </w:p>
        </w:tc>
        <w:tc>
          <w:tcPr>
            <w:tcW w:w="1133" w:type="dxa"/>
          </w:tcPr>
          <w:p w:rsidR="001866C7" w:rsidRPr="001866C7" w:rsidRDefault="001866C7" w:rsidP="00977D3E">
            <w:pPr>
              <w:rPr>
                <w:sz w:val="24"/>
                <w:szCs w:val="24"/>
              </w:rPr>
            </w:pPr>
          </w:p>
          <w:p w:rsidR="001866C7" w:rsidRPr="001866C7" w:rsidRDefault="001866C7" w:rsidP="00977D3E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1866C7" w:rsidRPr="00067014" w:rsidTr="00977D3E">
        <w:tc>
          <w:tcPr>
            <w:tcW w:w="3779" w:type="dxa"/>
          </w:tcPr>
          <w:p w:rsidR="001866C7" w:rsidRPr="001866C7" w:rsidRDefault="001866C7" w:rsidP="001866C7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clica no botão “Voltar”.</w:t>
            </w:r>
          </w:p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retorna para a última página acessada e o caso de uso termina.</w:t>
            </w:r>
          </w:p>
        </w:tc>
        <w:tc>
          <w:tcPr>
            <w:tcW w:w="1133" w:type="dxa"/>
          </w:tcPr>
          <w:p w:rsidR="001866C7" w:rsidRPr="001866C7" w:rsidRDefault="001866C7" w:rsidP="00977D3E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</w:tbl>
    <w:p w:rsidR="001866C7" w:rsidRDefault="001866C7"/>
    <w:sectPr w:rsidR="001866C7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299" w:rsidRDefault="003F2299" w:rsidP="00AF0516">
      <w:pPr>
        <w:spacing w:line="240" w:lineRule="auto"/>
      </w:pPr>
      <w:r>
        <w:separator/>
      </w:r>
    </w:p>
  </w:endnote>
  <w:endnote w:type="continuationSeparator" w:id="0">
    <w:p w:rsidR="003F2299" w:rsidRDefault="003F2299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299" w:rsidRDefault="003F2299" w:rsidP="00AF0516">
      <w:pPr>
        <w:spacing w:line="240" w:lineRule="auto"/>
      </w:pPr>
      <w:r>
        <w:separator/>
      </w:r>
    </w:p>
  </w:footnote>
  <w:footnote w:type="continuationSeparator" w:id="0">
    <w:p w:rsidR="003F2299" w:rsidRDefault="003F2299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67014"/>
    <w:rsid w:val="00091A28"/>
    <w:rsid w:val="001602A0"/>
    <w:rsid w:val="001866C7"/>
    <w:rsid w:val="00190A6C"/>
    <w:rsid w:val="001B27D6"/>
    <w:rsid w:val="002311F9"/>
    <w:rsid w:val="002D6E64"/>
    <w:rsid w:val="003F2299"/>
    <w:rsid w:val="004527F2"/>
    <w:rsid w:val="00506B2E"/>
    <w:rsid w:val="00541C20"/>
    <w:rsid w:val="007B25F5"/>
    <w:rsid w:val="00807200"/>
    <w:rsid w:val="009F453A"/>
    <w:rsid w:val="00A10C08"/>
    <w:rsid w:val="00AF0516"/>
    <w:rsid w:val="00BD1812"/>
    <w:rsid w:val="00C007D7"/>
    <w:rsid w:val="00CE30AA"/>
    <w:rsid w:val="00D06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645D4-E658-4107-BA5A-A8EAD489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2</cp:revision>
  <dcterms:created xsi:type="dcterms:W3CDTF">2014-11-29T06:23:00Z</dcterms:created>
  <dcterms:modified xsi:type="dcterms:W3CDTF">2014-11-29T06:23:00Z</dcterms:modified>
</cp:coreProperties>
</file>