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4D36C" w14:textId="77777777" w:rsidR="00F351C8" w:rsidRDefault="00F351C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Problem Set 2</w:t>
      </w:r>
    </w:p>
    <w:p w14:paraId="3E1F8E35" w14:textId="77777777" w:rsidR="00F351C8" w:rsidRPr="00AC7F21" w:rsidRDefault="00C637AE" w:rsidP="00F351C8">
      <w:pPr>
        <w:jc w:val="center"/>
      </w:pPr>
      <w:r>
        <w:t>Total 15</w:t>
      </w:r>
      <w:r w:rsidR="00F351C8">
        <w:t xml:space="preserve"> points</w:t>
      </w:r>
    </w:p>
    <w:p w14:paraId="5B9F5507" w14:textId="3B4928DC" w:rsidR="00F351C8" w:rsidRDefault="00C637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 w:rsidR="00D760C4">
        <w:rPr>
          <w:sz w:val="24"/>
          <w:szCs w:val="24"/>
        </w:rPr>
        <w:t>Tuesday</w:t>
      </w:r>
      <w:r>
        <w:rPr>
          <w:sz w:val="24"/>
          <w:szCs w:val="24"/>
        </w:rPr>
        <w:t xml:space="preserve">, </w:t>
      </w:r>
      <w:r w:rsidR="00D760C4">
        <w:rPr>
          <w:sz w:val="24"/>
          <w:szCs w:val="24"/>
        </w:rPr>
        <w:t>6</w:t>
      </w:r>
      <w:bookmarkStart w:id="0" w:name="_GoBack"/>
      <w:bookmarkEnd w:id="0"/>
      <w:r w:rsidR="00A032CB">
        <w:rPr>
          <w:sz w:val="24"/>
          <w:szCs w:val="24"/>
        </w:rPr>
        <w:t xml:space="preserve"> February</w:t>
      </w:r>
      <w:r w:rsidR="001027A7">
        <w:rPr>
          <w:sz w:val="24"/>
          <w:szCs w:val="24"/>
        </w:rPr>
        <w:t xml:space="preserve"> 20</w:t>
      </w:r>
      <w:r w:rsidR="00A032CB">
        <w:rPr>
          <w:sz w:val="24"/>
          <w:szCs w:val="24"/>
        </w:rPr>
        <w:t>18</w:t>
      </w:r>
      <w:r w:rsidR="00F351C8">
        <w:rPr>
          <w:sz w:val="24"/>
          <w:szCs w:val="24"/>
        </w:rPr>
        <w:t xml:space="preserve"> before 11</w:t>
      </w:r>
      <w:r w:rsidR="00424FB2">
        <w:rPr>
          <w:sz w:val="24"/>
          <w:szCs w:val="24"/>
        </w:rPr>
        <w:t>:59</w:t>
      </w:r>
      <w:r w:rsidR="00F351C8">
        <w:rPr>
          <w:sz w:val="24"/>
          <w:szCs w:val="24"/>
        </w:rPr>
        <w:t xml:space="preserve">pm </w:t>
      </w:r>
    </w:p>
    <w:p w14:paraId="0A8DDC37" w14:textId="77777777" w:rsidR="00F351C8" w:rsidRDefault="00F351C8">
      <w:pPr>
        <w:jc w:val="center"/>
        <w:rPr>
          <w:sz w:val="24"/>
          <w:szCs w:val="24"/>
        </w:rPr>
      </w:pPr>
    </w:p>
    <w:p w14:paraId="7F45E851" w14:textId="77777777" w:rsidR="00F351C8" w:rsidRDefault="00F351C8" w:rsidP="00F351C8">
      <w:pPr>
        <w:rPr>
          <w:sz w:val="24"/>
          <w:szCs w:val="24"/>
        </w:rPr>
      </w:pPr>
      <w:r w:rsidRPr="007A00ED">
        <w:rPr>
          <w:i/>
          <w:sz w:val="24"/>
          <w:szCs w:val="24"/>
        </w:rPr>
        <w:t>Instructions</w:t>
      </w:r>
      <w:r w:rsidRPr="007A00ED">
        <w:rPr>
          <w:sz w:val="24"/>
          <w:szCs w:val="24"/>
        </w:rPr>
        <w:t>: This is a</w:t>
      </w:r>
      <w:r w:rsidR="00D23ED0">
        <w:rPr>
          <w:sz w:val="24"/>
          <w:szCs w:val="24"/>
        </w:rPr>
        <w:t xml:space="preserve"> </w:t>
      </w:r>
      <w:r w:rsidR="00D23ED0" w:rsidRPr="00D23ED0">
        <w:rPr>
          <w:sz w:val="24"/>
          <w:szCs w:val="24"/>
          <w:u w:val="single"/>
        </w:rPr>
        <w:t>group</w:t>
      </w:r>
      <w:r w:rsidR="00D23ED0">
        <w:rPr>
          <w:sz w:val="24"/>
          <w:szCs w:val="24"/>
        </w:rPr>
        <w:t xml:space="preserve"> </w:t>
      </w:r>
      <w:r w:rsidRPr="007A00ED">
        <w:rPr>
          <w:sz w:val="24"/>
          <w:szCs w:val="24"/>
        </w:rPr>
        <w:t xml:space="preserve">assignment.  </w:t>
      </w:r>
    </w:p>
    <w:p w14:paraId="37EE706D" w14:textId="77777777" w:rsidR="007A00ED" w:rsidRPr="007A00ED" w:rsidRDefault="007A00ED" w:rsidP="00F351C8">
      <w:pPr>
        <w:rPr>
          <w:sz w:val="24"/>
          <w:szCs w:val="24"/>
        </w:rPr>
      </w:pPr>
    </w:p>
    <w:p w14:paraId="515BC8F5" w14:textId="6ADC43E6" w:rsidR="00F351C8" w:rsidRPr="007A00ED" w:rsidRDefault="00F351C8" w:rsidP="00F351C8">
      <w:pPr>
        <w:rPr>
          <w:sz w:val="24"/>
          <w:szCs w:val="24"/>
        </w:rPr>
      </w:pPr>
      <w:r w:rsidRPr="007A00ED">
        <w:rPr>
          <w:sz w:val="24"/>
          <w:szCs w:val="24"/>
        </w:rPr>
        <w:t xml:space="preserve">Handwritten solutions are acceptable here, please either </w:t>
      </w:r>
      <w:r w:rsidR="00D23ED0">
        <w:rPr>
          <w:sz w:val="24"/>
          <w:szCs w:val="24"/>
        </w:rPr>
        <w:t>photograph</w:t>
      </w:r>
      <w:r w:rsidRPr="007A00ED">
        <w:rPr>
          <w:sz w:val="24"/>
          <w:szCs w:val="24"/>
        </w:rPr>
        <w:t xml:space="preserve"> them to submit electronically or hand th</w:t>
      </w:r>
      <w:r w:rsidR="00D23ED0">
        <w:rPr>
          <w:sz w:val="24"/>
          <w:szCs w:val="24"/>
        </w:rPr>
        <w:t xml:space="preserve">em to me in class on </w:t>
      </w:r>
      <w:r w:rsidR="00A032CB">
        <w:rPr>
          <w:sz w:val="24"/>
          <w:szCs w:val="24"/>
        </w:rPr>
        <w:t>Monday</w:t>
      </w:r>
      <w:r w:rsidR="00D23ED0">
        <w:rPr>
          <w:sz w:val="24"/>
          <w:szCs w:val="24"/>
        </w:rPr>
        <w:t xml:space="preserve">. </w:t>
      </w:r>
      <w:r w:rsidRPr="007A00ED">
        <w:rPr>
          <w:sz w:val="24"/>
          <w:szCs w:val="24"/>
        </w:rPr>
        <w:t xml:space="preserve">Of course, you can also </w:t>
      </w:r>
      <w:r w:rsidR="00D23ED0">
        <w:rPr>
          <w:sz w:val="24"/>
          <w:szCs w:val="24"/>
        </w:rPr>
        <w:t xml:space="preserve">insert the photos of your handwritten solutions into Excel </w:t>
      </w:r>
      <w:r w:rsidRPr="007A00ED">
        <w:rPr>
          <w:sz w:val="24"/>
          <w:szCs w:val="24"/>
        </w:rPr>
        <w:t>and upload them electronically.</w:t>
      </w:r>
    </w:p>
    <w:p w14:paraId="49394428" w14:textId="77777777" w:rsidR="00B3145B" w:rsidRDefault="00B3145B" w:rsidP="00F351C8">
      <w:pPr>
        <w:rPr>
          <w:i/>
          <w:sz w:val="24"/>
          <w:szCs w:val="24"/>
        </w:rPr>
      </w:pPr>
    </w:p>
    <w:p w14:paraId="34F8949D" w14:textId="77777777" w:rsidR="00F351C8" w:rsidRPr="007D522B" w:rsidRDefault="00B3145B" w:rsidP="00F351C8">
      <w:pPr>
        <w:rPr>
          <w:i/>
        </w:rPr>
      </w:pPr>
      <w:r w:rsidRPr="007D522B">
        <w:rPr>
          <w:i/>
        </w:rPr>
        <w:t xml:space="preserve"> </w:t>
      </w:r>
      <w:r>
        <w:rPr>
          <w:i/>
        </w:rPr>
        <w:t>(a</w:t>
      </w:r>
      <w:r w:rsidR="00F351C8" w:rsidRPr="007D522B">
        <w:rPr>
          <w:i/>
        </w:rPr>
        <w:t xml:space="preserve">) </w:t>
      </w:r>
      <w:r w:rsidR="00F351C8" w:rsidRPr="007A00ED">
        <w:rPr>
          <w:i/>
          <w:sz w:val="24"/>
          <w:szCs w:val="24"/>
        </w:rPr>
        <w:t>The file name should be:</w:t>
      </w:r>
      <w:r w:rsidR="00F351C8" w:rsidRPr="007D522B">
        <w:rPr>
          <w:i/>
        </w:rPr>
        <w:t xml:space="preserve"> </w:t>
      </w:r>
      <w:r w:rsidR="00F351C8" w:rsidRPr="007D522B">
        <w:rPr>
          <w:rFonts w:ascii="Courier New" w:hAnsi="Courier New" w:cs="Courier New"/>
          <w:i/>
        </w:rPr>
        <w:t>PSn.FAMILYNA</w:t>
      </w:r>
      <w:r>
        <w:rPr>
          <w:rFonts w:ascii="Courier New" w:hAnsi="Courier New" w:cs="Courier New"/>
          <w:i/>
        </w:rPr>
        <w:t>ME1Initial1</w:t>
      </w:r>
      <w:r w:rsidR="00F351C8" w:rsidRPr="007D522B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</w:rPr>
        <w:t>doc</w:t>
      </w:r>
      <w:r w:rsidR="00F351C8" w:rsidRPr="007D522B">
        <w:rPr>
          <w:i/>
        </w:rPr>
        <w:t xml:space="preserve">, </w:t>
      </w:r>
      <w:r w:rsidR="00F351C8" w:rsidRPr="007A00ED">
        <w:rPr>
          <w:i/>
          <w:sz w:val="24"/>
          <w:szCs w:val="24"/>
        </w:rPr>
        <w:t>for exam</w:t>
      </w:r>
      <w:r>
        <w:rPr>
          <w:i/>
          <w:sz w:val="24"/>
          <w:szCs w:val="24"/>
        </w:rPr>
        <w:t>ple my solution to Problem set 2</w:t>
      </w:r>
      <w:r w:rsidR="00F351C8" w:rsidRPr="007A00ED">
        <w:rPr>
          <w:i/>
          <w:sz w:val="24"/>
          <w:szCs w:val="24"/>
        </w:rPr>
        <w:t xml:space="preserve"> would have the file name </w:t>
      </w:r>
      <w:r w:rsidR="00F351C8">
        <w:rPr>
          <w:rFonts w:ascii="Courier New" w:hAnsi="Courier New" w:cs="Courier New"/>
          <w:i/>
        </w:rPr>
        <w:t>PS1</w:t>
      </w:r>
      <w:r w:rsidR="00F351C8" w:rsidRPr="007D522B">
        <w:rPr>
          <w:rFonts w:ascii="Courier New" w:hAnsi="Courier New" w:cs="Courier New"/>
          <w:i/>
        </w:rPr>
        <w:t>.WIDDICKSM.</w:t>
      </w:r>
      <w:r>
        <w:rPr>
          <w:rFonts w:ascii="Courier New" w:hAnsi="Courier New" w:cs="Courier New"/>
          <w:i/>
        </w:rPr>
        <w:t>doc</w:t>
      </w:r>
      <w:r w:rsidR="00F351C8" w:rsidRPr="007D522B">
        <w:rPr>
          <w:i/>
        </w:rPr>
        <w:t>.</w:t>
      </w:r>
    </w:p>
    <w:p w14:paraId="3F6A1BF5" w14:textId="77777777" w:rsidR="00F351C8" w:rsidRPr="00C12147" w:rsidRDefault="00B3145B" w:rsidP="00F351C8">
      <w:pPr>
        <w:rPr>
          <w:i/>
          <w:sz w:val="24"/>
        </w:rPr>
      </w:pPr>
      <w:r>
        <w:rPr>
          <w:i/>
          <w:sz w:val="24"/>
        </w:rPr>
        <w:t>(b</w:t>
      </w:r>
      <w:r w:rsidR="00F351C8" w:rsidRPr="00C12147">
        <w:rPr>
          <w:i/>
          <w:sz w:val="24"/>
        </w:rPr>
        <w:t>) Please make sure that your solutions are well-organized and clear, with appropriate text, explanations, and formatting.  If I cannot figure out what you did, then what you did is wrong.</w:t>
      </w:r>
    </w:p>
    <w:p w14:paraId="64BF666F" w14:textId="77777777" w:rsidR="008C09F7" w:rsidRDefault="008C09F7" w:rsidP="00F351C8">
      <w:pPr>
        <w:rPr>
          <w:sz w:val="24"/>
          <w:szCs w:val="24"/>
        </w:rPr>
      </w:pPr>
    </w:p>
    <w:p w14:paraId="1DC9A7C3" w14:textId="77777777" w:rsidR="000F1289" w:rsidRPr="000F1289" w:rsidRDefault="00D96A0B" w:rsidP="00F351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Digital Options (Black-Scholes adaptation)</w:t>
      </w:r>
    </w:p>
    <w:p w14:paraId="5C35ABD8" w14:textId="77777777" w:rsidR="00F351C8" w:rsidRDefault="00F351C8" w:rsidP="00F351C8">
      <w:pPr>
        <w:rPr>
          <w:sz w:val="24"/>
          <w:szCs w:val="24"/>
        </w:rPr>
      </w:pPr>
    </w:p>
    <w:p w14:paraId="46D6CFC5" w14:textId="77777777" w:rsidR="00F57E94" w:rsidRPr="00C6624E" w:rsidRDefault="00F57E94" w:rsidP="00F57E94">
      <w:r>
        <w:rPr>
          <w:b/>
        </w:rPr>
        <w:t xml:space="preserve">Digital </w:t>
      </w:r>
      <w:r w:rsidRPr="00C34A31">
        <w:rPr>
          <w:b/>
        </w:rPr>
        <w:t>option</w:t>
      </w:r>
      <w:r>
        <w:rPr>
          <w:b/>
        </w:rPr>
        <w:t>s</w:t>
      </w:r>
      <w:r>
        <w:t xml:space="preserve"> have payoffs as follows: Calls:</w:t>
      </w:r>
    </w:p>
    <w:p w14:paraId="39ED9D1F" w14:textId="77777777" w:rsidR="00F57E94" w:rsidRDefault="00F57E94" w:rsidP="00F57E94">
      <w:pPr>
        <w:jc w:val="center"/>
      </w:pPr>
      <w:r w:rsidRPr="009A00C1">
        <w:rPr>
          <w:position w:val="-46"/>
        </w:rPr>
        <w:object w:dxaOrig="2860" w:dyaOrig="1040" w14:anchorId="6B8D8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1pt" o:ole="">
            <v:imagedata r:id="rId8" o:title=""/>
          </v:shape>
          <o:OLEObject Type="Embed" ProgID="Equation.3" ShapeID="_x0000_i1025" DrawAspect="Content" ObjectID="_1578745947" r:id="rId9"/>
        </w:object>
      </w:r>
    </w:p>
    <w:p w14:paraId="6BB17EF5" w14:textId="77777777" w:rsidR="00F57E94" w:rsidRDefault="00F57E94" w:rsidP="00F57E94">
      <w:r>
        <w:t>Puts</w:t>
      </w:r>
    </w:p>
    <w:p w14:paraId="13606EE6" w14:textId="77777777" w:rsidR="00F57E94" w:rsidRDefault="00F57E94" w:rsidP="00F57E94">
      <w:pPr>
        <w:jc w:val="center"/>
      </w:pPr>
      <w:r w:rsidRPr="00943358">
        <w:rPr>
          <w:position w:val="-50"/>
        </w:rPr>
        <w:object w:dxaOrig="2960" w:dyaOrig="1120" w14:anchorId="2F0DFE05">
          <v:shape id="_x0000_i1026" type="#_x0000_t75" style="width:149.25pt;height:54.75pt" o:ole="">
            <v:imagedata r:id="rId10" o:title=""/>
          </v:shape>
          <o:OLEObject Type="Embed" ProgID="Equation.3" ShapeID="_x0000_i1026" DrawAspect="Content" ObjectID="_1578745948" r:id="rId11"/>
        </w:object>
      </w:r>
    </w:p>
    <w:p w14:paraId="758B24A0" w14:textId="77777777" w:rsidR="00F57E94" w:rsidRPr="00C6624E" w:rsidRDefault="00F57E94" w:rsidP="00F57E94">
      <w:proofErr w:type="gramStart"/>
      <w:r w:rsidRPr="00C6624E">
        <w:t>with</w:t>
      </w:r>
      <w:proofErr w:type="gramEnd"/>
      <w:r w:rsidRPr="00C6624E">
        <w:t xml:space="preserve"> exercise price K</w:t>
      </w:r>
      <w:r>
        <w:t>, cash amount</w:t>
      </w:r>
      <w:r w:rsidRPr="00C6624E">
        <w:t xml:space="preserve"> </w:t>
      </w:r>
      <w:r>
        <w:t>A and time to maturity T.</w:t>
      </w:r>
    </w:p>
    <w:p w14:paraId="7608FB5E" w14:textId="77777777" w:rsidR="00F57E94" w:rsidRDefault="00F57E94" w:rsidP="00F57E94">
      <w:pPr>
        <w:widowControl w:val="0"/>
        <w:autoSpaceDE w:val="0"/>
        <w:autoSpaceDN w:val="0"/>
        <w:adjustRightInd w:val="0"/>
      </w:pPr>
    </w:p>
    <w:p w14:paraId="37138E74" w14:textId="2653420D" w:rsidR="00F57E94" w:rsidRDefault="00F57E94" w:rsidP="00F57E94">
      <w:pPr>
        <w:pStyle w:val="ListParagraph"/>
        <w:numPr>
          <w:ilvl w:val="0"/>
          <w:numId w:val="6"/>
        </w:numPr>
        <w:ind w:left="360"/>
        <w:contextualSpacing/>
      </w:pPr>
      <w:r>
        <w:t>By considering the Black-Scholes equation on a dividend paying stock, write down the value of a Digital puts at t = 0.</w:t>
      </w:r>
    </w:p>
    <w:p w14:paraId="044CB849" w14:textId="77777777" w:rsidR="00F57E94" w:rsidRDefault="00F57E94" w:rsidP="00F57E94">
      <w:pPr>
        <w:ind w:left="360" w:hanging="360"/>
        <w:jc w:val="right"/>
      </w:pPr>
    </w:p>
    <w:p w14:paraId="0E466838" w14:textId="46E45BF5" w:rsidR="00F57E94" w:rsidRDefault="00F57E94" w:rsidP="00F57E94">
      <w:pPr>
        <w:pStyle w:val="ListParagraph"/>
        <w:numPr>
          <w:ilvl w:val="0"/>
          <w:numId w:val="6"/>
        </w:numPr>
        <w:ind w:left="360"/>
        <w:contextualSpacing/>
      </w:pPr>
      <w:r>
        <w:t>What portfolio of r</w:t>
      </w:r>
      <w:r w:rsidR="00BD616E">
        <w:t>isk-free assets and digital calls</w:t>
      </w:r>
      <w:r>
        <w:t xml:space="preserve"> replicates the payoff of a </w:t>
      </w:r>
      <w:r w:rsidR="00BD616E">
        <w:t>digital put</w:t>
      </w:r>
      <w:r>
        <w:t xml:space="preserve">? </w:t>
      </w:r>
    </w:p>
    <w:p w14:paraId="1C3FF80A" w14:textId="60A07A1E" w:rsidR="00F57E94" w:rsidRDefault="00F57E94" w:rsidP="00F57E94">
      <w:pPr>
        <w:widowControl w:val="0"/>
        <w:autoSpaceDE w:val="0"/>
        <w:autoSpaceDN w:val="0"/>
        <w:adjustRightInd w:val="0"/>
      </w:pPr>
    </w:p>
    <w:p w14:paraId="2FFEE3E7" w14:textId="0948680A" w:rsidR="00F57E94" w:rsidRDefault="00F57E94" w:rsidP="00F57E94">
      <w:pPr>
        <w:widowControl w:val="0"/>
        <w:autoSpaceDE w:val="0"/>
        <w:autoSpaceDN w:val="0"/>
        <w:adjustRightInd w:val="0"/>
      </w:pPr>
      <w:r>
        <w:rPr>
          <w:rFonts w:ascii="TimesNewRomanPSMT" w:hAnsi="TimesNewRomanPSMT" w:cs="TimesNewRomanPSMT"/>
          <w:lang w:bidi="en-US"/>
        </w:rPr>
        <w:t xml:space="preserve">JP Morgan are issuing </w:t>
      </w:r>
      <w:r w:rsidRPr="00FC6115">
        <w:rPr>
          <w:b/>
        </w:rPr>
        <w:t xml:space="preserve">Dual Directional Trigger </w:t>
      </w:r>
      <w:r>
        <w:rPr>
          <w:b/>
        </w:rPr>
        <w:t>jump securities</w:t>
      </w:r>
      <w:r>
        <w:t xml:space="preserve"> </w:t>
      </w:r>
      <w:r w:rsidRPr="00FC6115">
        <w:t xml:space="preserve">contracts </w:t>
      </w:r>
      <w:r>
        <w:t xml:space="preserve">on the </w:t>
      </w:r>
      <w:proofErr w:type="spellStart"/>
      <w:r>
        <w:t>EuroStoxx</w:t>
      </w:r>
      <w:proofErr w:type="spellEnd"/>
      <w:r w:rsidR="00BD616E">
        <w:rPr>
          <w:rStyle w:val="FootnoteReference"/>
        </w:rPr>
        <w:footnoteReference w:id="1"/>
      </w:r>
      <w:r>
        <w:t xml:space="preserve"> index </w:t>
      </w:r>
      <w:r w:rsidRPr="00FC6115">
        <w:rPr>
          <w:u w:val="single"/>
        </w:rPr>
        <w:t xml:space="preserve">documented on Page </w:t>
      </w:r>
      <w:r>
        <w:rPr>
          <w:u w:val="single"/>
        </w:rPr>
        <w:t>4</w:t>
      </w:r>
      <w:r w:rsidRPr="00FC6115">
        <w:t xml:space="preserve"> </w:t>
      </w:r>
      <w:r>
        <w:t xml:space="preserve">I also give you interest rate and option data to help you answer. You have determined that the </w:t>
      </w:r>
      <w:r w:rsidR="00BD616E">
        <w:t xml:space="preserve">continuously compounded </w:t>
      </w:r>
      <w:r>
        <w:t xml:space="preserve">dividend yield is </w:t>
      </w:r>
      <w:r w:rsidR="00BD616E">
        <w:t>1%.</w:t>
      </w:r>
    </w:p>
    <w:p w14:paraId="5764AE89" w14:textId="2FF0739E" w:rsidR="00F57E94" w:rsidRDefault="00F57E94" w:rsidP="00F57E94">
      <w:pPr>
        <w:widowControl w:val="0"/>
        <w:autoSpaceDE w:val="0"/>
        <w:autoSpaceDN w:val="0"/>
        <w:adjustRightInd w:val="0"/>
      </w:pPr>
    </w:p>
    <w:p w14:paraId="4975BEDE" w14:textId="4FA7DFA5" w:rsidR="00F57E94" w:rsidRDefault="00F57E94" w:rsidP="00F57E94">
      <w:pPr>
        <w:pStyle w:val="ListParagraph"/>
        <w:numPr>
          <w:ilvl w:val="0"/>
          <w:numId w:val="6"/>
        </w:numPr>
        <w:ind w:left="360"/>
        <w:contextualSpacing/>
      </w:pPr>
      <w:r>
        <w:t>Find a portfolio of zero-coupon bonds and European options (calls, puts, digitals) that can replicate the payoff of the note. Calculate the estimated value of the Plus</w:t>
      </w:r>
      <w:r w:rsidRPr="00943358">
        <w:t xml:space="preserve"> </w:t>
      </w:r>
      <w:r>
        <w:t>(your answer should be between $9.50 and $9.60</w:t>
      </w:r>
      <w:r w:rsidRPr="00943358">
        <w:t>.</w:t>
      </w:r>
    </w:p>
    <w:p w14:paraId="20B8914F" w14:textId="0E69F4F6" w:rsidR="00F57E94" w:rsidRDefault="00F57E94" w:rsidP="00F57E94">
      <w:pPr>
        <w:widowControl w:val="0"/>
        <w:autoSpaceDE w:val="0"/>
        <w:autoSpaceDN w:val="0"/>
        <w:adjustRightInd w:val="0"/>
      </w:pPr>
    </w:p>
    <w:p w14:paraId="510E2E56" w14:textId="25F5AE95" w:rsidR="000F1289" w:rsidRPr="00BD616E" w:rsidRDefault="00BD616E" w:rsidP="00F351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contextualSpacing/>
      </w:pPr>
      <w:proofErr w:type="spellStart"/>
      <w:proofErr w:type="gramStart"/>
      <w:r>
        <w:t>Your</w:t>
      </w:r>
      <w:proofErr w:type="spellEnd"/>
      <w:r w:rsidR="00F57E94">
        <w:t xml:space="preserve"> would</w:t>
      </w:r>
      <w:proofErr w:type="gramEnd"/>
      <w:r w:rsidR="00F57E94">
        <w:t xml:space="preserve"> like to know the probability that their payoff from this note is less than the face value ($10). What information would you give them?</w:t>
      </w:r>
    </w:p>
    <w:p w14:paraId="28148571" w14:textId="77777777" w:rsidR="000F1289" w:rsidRPr="000F1289" w:rsidRDefault="000F1289" w:rsidP="00F351C8">
      <w:pPr>
        <w:rPr>
          <w:b/>
          <w:sz w:val="24"/>
          <w:szCs w:val="24"/>
          <w:u w:val="single"/>
        </w:rPr>
      </w:pPr>
      <w:r w:rsidRPr="000F1289">
        <w:rPr>
          <w:b/>
          <w:sz w:val="24"/>
          <w:szCs w:val="24"/>
          <w:u w:val="single"/>
        </w:rPr>
        <w:lastRenderedPageBreak/>
        <w:t>Link between binomial model and Black-Scholes PDE (Coming Soon!)</w:t>
      </w:r>
    </w:p>
    <w:p w14:paraId="364FFE9E" w14:textId="77777777" w:rsidR="000F1289" w:rsidRDefault="000F1289" w:rsidP="00F351C8">
      <w:pPr>
        <w:rPr>
          <w:b/>
          <w:sz w:val="24"/>
          <w:szCs w:val="24"/>
        </w:rPr>
      </w:pPr>
    </w:p>
    <w:p w14:paraId="35E7C093" w14:textId="77777777" w:rsidR="00F351C8" w:rsidRDefault="000F1289" w:rsidP="00F351C8">
      <w:pPr>
        <w:rPr>
          <w:i/>
          <w:sz w:val="24"/>
          <w:szCs w:val="24"/>
        </w:rPr>
      </w:pPr>
      <w:r>
        <w:rPr>
          <w:b/>
          <w:sz w:val="24"/>
          <w:szCs w:val="24"/>
        </w:rPr>
        <w:t>2</w:t>
      </w:r>
      <w:r w:rsidR="00B6386A">
        <w:rPr>
          <w:b/>
          <w:sz w:val="24"/>
          <w:szCs w:val="24"/>
        </w:rPr>
        <w:t xml:space="preserve">. </w:t>
      </w:r>
      <w:r w:rsidR="00C77538">
        <w:rPr>
          <w:sz w:val="24"/>
          <w:szCs w:val="24"/>
        </w:rPr>
        <w:t xml:space="preserve"> (3</w:t>
      </w:r>
      <w:r>
        <w:rPr>
          <w:sz w:val="24"/>
          <w:szCs w:val="24"/>
        </w:rPr>
        <w:t xml:space="preserve"> points) Consider</w:t>
      </w:r>
      <w:r w:rsidR="00F351C8" w:rsidRPr="00C12147">
        <w:rPr>
          <w:sz w:val="24"/>
          <w:szCs w:val="24"/>
        </w:rPr>
        <w:t xml:space="preserve"> a simplified bin</w:t>
      </w:r>
      <w:r w:rsidR="00F351C8">
        <w:rPr>
          <w:sz w:val="24"/>
          <w:szCs w:val="24"/>
        </w:rPr>
        <w:t xml:space="preserve">omial model with time step of </w:t>
      </w:r>
      <w:proofErr w:type="spellStart"/>
      <w:r w:rsidR="00F351C8" w:rsidRPr="00DF5140">
        <w:rPr>
          <w:i/>
          <w:sz w:val="24"/>
          <w:szCs w:val="24"/>
        </w:rPr>
        <w:t>dt</w:t>
      </w:r>
      <w:proofErr w:type="spellEnd"/>
      <w:r w:rsidR="00F351C8">
        <w:rPr>
          <w:sz w:val="24"/>
          <w:szCs w:val="24"/>
        </w:rPr>
        <w:t xml:space="preserve"> </w:t>
      </w:r>
      <w:proofErr w:type="gramStart"/>
      <w:r w:rsidR="00F351C8">
        <w:rPr>
          <w:sz w:val="24"/>
          <w:szCs w:val="24"/>
        </w:rPr>
        <w:t xml:space="preserve">where </w:t>
      </w:r>
      <w:proofErr w:type="gramEnd"/>
      <w:r w:rsidR="00F351C8" w:rsidRPr="00DF5140">
        <w:rPr>
          <w:position w:val="-8"/>
        </w:rPr>
        <w:object w:dxaOrig="1320" w:dyaOrig="360" w14:anchorId="2A6780D8">
          <v:shape id="_x0000_i1027" type="#_x0000_t75" style="width:66pt;height:18pt" o:ole="">
            <v:imagedata r:id="rId12" o:title=""/>
          </v:shape>
          <o:OLEObject Type="Embed" ProgID="Equation.3" ShapeID="_x0000_i1027" DrawAspect="Content" ObjectID="_1578745949" r:id="rId13"/>
        </w:object>
      </w:r>
      <w:r w:rsidR="00F351C8" w:rsidRPr="00C12147">
        <w:rPr>
          <w:sz w:val="24"/>
          <w:szCs w:val="24"/>
        </w:rPr>
        <w:t xml:space="preserve">, </w:t>
      </w:r>
      <w:r w:rsidR="00F351C8" w:rsidRPr="00DF5140">
        <w:rPr>
          <w:position w:val="-8"/>
        </w:rPr>
        <w:object w:dxaOrig="1320" w:dyaOrig="360" w14:anchorId="5FC6B1F0">
          <v:shape id="_x0000_i1028" type="#_x0000_t75" style="width:66pt;height:18pt" o:ole="">
            <v:imagedata r:id="rId14" o:title=""/>
          </v:shape>
          <o:OLEObject Type="Embed" ProgID="Equation.3" ShapeID="_x0000_i1028" DrawAspect="Content" ObjectID="_1578745950" r:id="rId15"/>
        </w:object>
      </w:r>
      <w:r>
        <w:t xml:space="preserve">(note that this is the CRR model for very small time steps </w:t>
      </w:r>
      <w:proofErr w:type="spellStart"/>
      <w:r>
        <w:t>dt</w:t>
      </w:r>
      <w:proofErr w:type="spellEnd"/>
      <w:r>
        <w:t>). T</w:t>
      </w:r>
      <w:r w:rsidR="00F351C8" w:rsidRPr="007A00ED">
        <w:rPr>
          <w:sz w:val="24"/>
          <w:szCs w:val="24"/>
        </w:rPr>
        <w:t>he option value today is</w:t>
      </w:r>
      <w:r w:rsidR="00F351C8">
        <w:t xml:space="preserve"> </w:t>
      </w:r>
      <w:r w:rsidR="00F351C8" w:rsidRPr="00DF5140">
        <w:rPr>
          <w:i/>
          <w:sz w:val="24"/>
          <w:szCs w:val="24"/>
        </w:rPr>
        <w:t>V = V(</w:t>
      </w:r>
      <w:proofErr w:type="spellStart"/>
      <w:r w:rsidR="00F351C8" w:rsidRPr="00DF5140">
        <w:rPr>
          <w:i/>
          <w:sz w:val="24"/>
          <w:szCs w:val="24"/>
        </w:rPr>
        <w:t>S,t</w:t>
      </w:r>
      <w:proofErr w:type="spellEnd"/>
      <w:r w:rsidR="00F351C8" w:rsidRPr="00DF5140">
        <w:rPr>
          <w:i/>
          <w:sz w:val="24"/>
          <w:szCs w:val="24"/>
        </w:rPr>
        <w:t>),</w:t>
      </w:r>
      <w:r w:rsidR="00F351C8" w:rsidRPr="00C12147">
        <w:rPr>
          <w:sz w:val="24"/>
          <w:szCs w:val="24"/>
        </w:rPr>
        <w:t xml:space="preserve"> option value in the up-state is </w:t>
      </w:r>
      <w:r w:rsidR="00F351C8" w:rsidRPr="00DF5140">
        <w:rPr>
          <w:i/>
          <w:sz w:val="24"/>
          <w:szCs w:val="24"/>
        </w:rPr>
        <w:t>V</w:t>
      </w:r>
      <w:r w:rsidR="00F351C8" w:rsidRPr="00DF5140">
        <w:rPr>
          <w:i/>
          <w:sz w:val="24"/>
          <w:szCs w:val="24"/>
          <w:vertAlign w:val="superscript"/>
        </w:rPr>
        <w:t>+</w:t>
      </w:r>
      <w:r w:rsidR="00DF62D3">
        <w:rPr>
          <w:i/>
          <w:sz w:val="24"/>
          <w:szCs w:val="24"/>
        </w:rPr>
        <w:t xml:space="preserve"> = V(</w:t>
      </w:r>
      <w:proofErr w:type="spellStart"/>
      <w:r w:rsidR="00DF62D3">
        <w:rPr>
          <w:i/>
          <w:sz w:val="24"/>
          <w:szCs w:val="24"/>
        </w:rPr>
        <w:t>uS</w:t>
      </w:r>
      <w:proofErr w:type="spellEnd"/>
      <w:r w:rsidR="00DF62D3">
        <w:rPr>
          <w:i/>
          <w:sz w:val="24"/>
          <w:szCs w:val="24"/>
        </w:rPr>
        <w:t xml:space="preserve">, </w:t>
      </w:r>
      <w:proofErr w:type="spellStart"/>
      <w:r w:rsidR="00DF62D3">
        <w:rPr>
          <w:i/>
          <w:sz w:val="24"/>
          <w:szCs w:val="24"/>
        </w:rPr>
        <w:t>t+</w:t>
      </w:r>
      <w:r w:rsidR="00F351C8" w:rsidRPr="00DF5140">
        <w:rPr>
          <w:i/>
          <w:sz w:val="24"/>
          <w:szCs w:val="24"/>
        </w:rPr>
        <w:t>dt</w:t>
      </w:r>
      <w:proofErr w:type="spellEnd"/>
      <w:r w:rsidR="00F351C8" w:rsidRPr="00C12147">
        <w:rPr>
          <w:sz w:val="24"/>
          <w:szCs w:val="24"/>
        </w:rPr>
        <w:t xml:space="preserve">), and option value in the down-state is </w:t>
      </w:r>
      <w:r w:rsidR="00F351C8" w:rsidRPr="00DF5140">
        <w:rPr>
          <w:i/>
          <w:sz w:val="24"/>
          <w:szCs w:val="24"/>
        </w:rPr>
        <w:t>V</w:t>
      </w:r>
      <w:r w:rsidR="00F351C8" w:rsidRPr="00DF5140">
        <w:rPr>
          <w:i/>
          <w:sz w:val="24"/>
          <w:szCs w:val="24"/>
          <w:vertAlign w:val="superscript"/>
        </w:rPr>
        <w:t>-</w:t>
      </w:r>
      <w:r w:rsidR="00F351C8" w:rsidRPr="00DF5140">
        <w:rPr>
          <w:i/>
          <w:sz w:val="24"/>
          <w:szCs w:val="24"/>
        </w:rPr>
        <w:t xml:space="preserve"> = V(</w:t>
      </w:r>
      <w:proofErr w:type="spellStart"/>
      <w:r w:rsidR="00F351C8" w:rsidRPr="00DF5140">
        <w:rPr>
          <w:i/>
          <w:sz w:val="24"/>
          <w:szCs w:val="24"/>
        </w:rPr>
        <w:t>dS</w:t>
      </w:r>
      <w:proofErr w:type="spellEnd"/>
      <w:r w:rsidR="00F351C8" w:rsidRPr="00DF5140">
        <w:rPr>
          <w:i/>
          <w:sz w:val="24"/>
          <w:szCs w:val="24"/>
        </w:rPr>
        <w:t xml:space="preserve">, </w:t>
      </w:r>
      <w:proofErr w:type="spellStart"/>
      <w:r w:rsidR="00F351C8" w:rsidRPr="00DF5140">
        <w:rPr>
          <w:i/>
          <w:sz w:val="24"/>
          <w:szCs w:val="24"/>
        </w:rPr>
        <w:t>t+dt</w:t>
      </w:r>
      <w:proofErr w:type="spellEnd"/>
      <w:r w:rsidR="00F351C8" w:rsidRPr="00DF5140">
        <w:rPr>
          <w:i/>
          <w:sz w:val="24"/>
          <w:szCs w:val="24"/>
        </w:rPr>
        <w:t>)</w:t>
      </w:r>
      <w:r w:rsidR="00F351C8" w:rsidRPr="00C12147">
        <w:rPr>
          <w:sz w:val="24"/>
          <w:szCs w:val="24"/>
        </w:rPr>
        <w:t xml:space="preserve"> show that in the limit of </w:t>
      </w:r>
      <w:proofErr w:type="spellStart"/>
      <w:r w:rsidR="00F351C8">
        <w:rPr>
          <w:i/>
          <w:sz w:val="24"/>
          <w:szCs w:val="24"/>
        </w:rPr>
        <w:t>dt</w:t>
      </w:r>
      <w:proofErr w:type="spellEnd"/>
      <w:r w:rsidR="00F351C8" w:rsidRPr="00DF5140">
        <w:rPr>
          <w:i/>
          <w:sz w:val="24"/>
          <w:szCs w:val="24"/>
        </w:rPr>
        <w:t xml:space="preserve"> </w:t>
      </w:r>
      <w:r w:rsidR="00F351C8" w:rsidRPr="00DF5140">
        <w:rPr>
          <w:i/>
          <w:sz w:val="24"/>
          <w:szCs w:val="24"/>
        </w:rPr>
        <w:sym w:font="Wingdings" w:char="F0E0"/>
      </w:r>
      <w:r w:rsidR="00F351C8" w:rsidRPr="00DF5140">
        <w:rPr>
          <w:i/>
          <w:sz w:val="24"/>
          <w:szCs w:val="24"/>
        </w:rPr>
        <w:t xml:space="preserve"> 0</w:t>
      </w:r>
      <w:r w:rsidR="00F351C8" w:rsidRPr="00C12147">
        <w:rPr>
          <w:sz w:val="24"/>
          <w:szCs w:val="24"/>
        </w:rPr>
        <w:t xml:space="preserve"> we recover the Black-Scholes partial differential equation</w:t>
      </w:r>
      <w:r w:rsidR="00F351C8">
        <w:rPr>
          <w:sz w:val="24"/>
          <w:szCs w:val="24"/>
        </w:rPr>
        <w:t>:</w:t>
      </w:r>
      <w:r w:rsidR="00F351C8" w:rsidRPr="00C12147">
        <w:rPr>
          <w:i/>
          <w:sz w:val="24"/>
          <w:szCs w:val="24"/>
        </w:rPr>
        <w:t xml:space="preserve"> </w:t>
      </w:r>
    </w:p>
    <w:p w14:paraId="16D3A4B1" w14:textId="77777777" w:rsidR="00F351C8" w:rsidRDefault="00F351C8" w:rsidP="00F351C8">
      <w:pPr>
        <w:rPr>
          <w:i/>
          <w:sz w:val="24"/>
          <w:szCs w:val="24"/>
        </w:rPr>
      </w:pPr>
    </w:p>
    <w:p w14:paraId="5061D33F" w14:textId="77777777" w:rsidR="00F351C8" w:rsidRPr="00C12147" w:rsidRDefault="00F351C8" w:rsidP="00F351C8">
      <w:pPr>
        <w:jc w:val="center"/>
        <w:rPr>
          <w:sz w:val="24"/>
          <w:szCs w:val="24"/>
        </w:rPr>
      </w:pPr>
      <w:r w:rsidRPr="00DF5140">
        <w:rPr>
          <w:position w:val="-24"/>
        </w:rPr>
        <w:object w:dxaOrig="3540" w:dyaOrig="660" w14:anchorId="64A52B5D">
          <v:shape id="_x0000_i1029" type="#_x0000_t75" style="width:177pt;height:33pt" o:ole="">
            <v:imagedata r:id="rId16" o:title=""/>
          </v:shape>
          <o:OLEObject Type="Embed" ProgID="Equation.3" ShapeID="_x0000_i1029" DrawAspect="Content" ObjectID="_1578745951" r:id="rId17"/>
        </w:object>
      </w:r>
    </w:p>
    <w:p w14:paraId="53F1F386" w14:textId="77777777" w:rsidR="00F351C8" w:rsidRPr="00C12147" w:rsidRDefault="00F351C8" w:rsidP="00F351C8">
      <w:pPr>
        <w:rPr>
          <w:sz w:val="24"/>
          <w:szCs w:val="24"/>
        </w:rPr>
      </w:pPr>
    </w:p>
    <w:p w14:paraId="04183B24" w14:textId="77777777" w:rsidR="000F1289" w:rsidRDefault="00F351C8" w:rsidP="00F351C8">
      <w:pPr>
        <w:rPr>
          <w:sz w:val="24"/>
          <w:szCs w:val="24"/>
        </w:rPr>
      </w:pPr>
      <w:r w:rsidRPr="00C12147">
        <w:rPr>
          <w:i/>
          <w:sz w:val="24"/>
          <w:szCs w:val="24"/>
        </w:rPr>
        <w:t>Hint</w:t>
      </w:r>
      <w:r w:rsidRPr="00C12147">
        <w:rPr>
          <w:sz w:val="24"/>
          <w:szCs w:val="24"/>
        </w:rPr>
        <w:t xml:space="preserve">.  This question is asking you to carry out a small bit of analysis. Expand </w:t>
      </w:r>
      <w:r w:rsidRPr="00C12147">
        <w:rPr>
          <w:i/>
          <w:sz w:val="24"/>
          <w:szCs w:val="24"/>
        </w:rPr>
        <w:t>V</w:t>
      </w:r>
      <w:r w:rsidRPr="00C12147">
        <w:rPr>
          <w:sz w:val="24"/>
          <w:szCs w:val="24"/>
          <w:vertAlign w:val="superscript"/>
        </w:rPr>
        <w:t>+</w:t>
      </w:r>
      <w:r w:rsidRPr="00C12147">
        <w:rPr>
          <w:sz w:val="24"/>
          <w:szCs w:val="24"/>
        </w:rPr>
        <w:t xml:space="preserve"> and </w:t>
      </w:r>
      <w:r w:rsidRPr="00C12147">
        <w:rPr>
          <w:i/>
          <w:sz w:val="24"/>
          <w:szCs w:val="24"/>
        </w:rPr>
        <w:t>V</w:t>
      </w:r>
      <w:r>
        <w:rPr>
          <w:sz w:val="24"/>
          <w:szCs w:val="24"/>
          <w:vertAlign w:val="superscript"/>
        </w:rPr>
        <w:t>-</w:t>
      </w:r>
      <w:r w:rsidRPr="00C12147">
        <w:rPr>
          <w:sz w:val="24"/>
          <w:szCs w:val="24"/>
        </w:rPr>
        <w:t xml:space="preserve"> in Taylor s</w:t>
      </w:r>
      <w:r w:rsidR="000F1289">
        <w:rPr>
          <w:sz w:val="24"/>
          <w:szCs w:val="24"/>
        </w:rPr>
        <w:t>eries (your Taylor series needs to</w:t>
      </w:r>
      <w:r w:rsidRPr="00C12147">
        <w:rPr>
          <w:sz w:val="24"/>
          <w:szCs w:val="24"/>
        </w:rPr>
        <w:t xml:space="preserve"> be second order in </w:t>
      </w:r>
      <w:r w:rsidRPr="00C12147">
        <w:rPr>
          <w:i/>
          <w:sz w:val="24"/>
          <w:szCs w:val="24"/>
        </w:rPr>
        <w:t>S</w:t>
      </w:r>
      <w:r w:rsidRPr="00C12147">
        <w:rPr>
          <w:sz w:val="24"/>
          <w:szCs w:val="24"/>
        </w:rPr>
        <w:t xml:space="preserve"> and first order in </w:t>
      </w:r>
      <w:r w:rsidRPr="00C12147">
        <w:rPr>
          <w:i/>
          <w:sz w:val="24"/>
          <w:szCs w:val="24"/>
        </w:rPr>
        <w:t>t</w:t>
      </w:r>
      <w:r w:rsidRPr="00C12147">
        <w:rPr>
          <w:sz w:val="24"/>
          <w:szCs w:val="24"/>
        </w:rPr>
        <w:t>), substitute the expansions into the standard binomial pricing formula,</w:t>
      </w:r>
    </w:p>
    <w:p w14:paraId="30A1974A" w14:textId="77777777" w:rsidR="000F1289" w:rsidRDefault="000F1289" w:rsidP="00F351C8">
      <w:pPr>
        <w:rPr>
          <w:sz w:val="24"/>
          <w:szCs w:val="24"/>
        </w:rPr>
      </w:pPr>
    </w:p>
    <w:p w14:paraId="4235C919" w14:textId="77777777" w:rsidR="000F1289" w:rsidRDefault="000F1289" w:rsidP="00F351C8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V(S,t)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-rdt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+(1-q)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</m:e>
          </m:d>
        </m:oMath>
      </m:oMathPara>
    </w:p>
    <w:p w14:paraId="2470AE68" w14:textId="77777777" w:rsidR="000F1289" w:rsidRDefault="000F1289" w:rsidP="00F351C8">
      <w:pPr>
        <w:rPr>
          <w:sz w:val="24"/>
          <w:szCs w:val="24"/>
        </w:rPr>
      </w:pPr>
    </w:p>
    <w:p w14:paraId="11DF9BF5" w14:textId="77777777" w:rsidR="00F351C8" w:rsidRPr="00C12147" w:rsidRDefault="00DF62D3" w:rsidP="00F351C8">
      <w:pPr>
        <w:rPr>
          <w:sz w:val="24"/>
          <w:szCs w:val="24"/>
        </w:rPr>
      </w:pPr>
      <w:r>
        <w:rPr>
          <w:sz w:val="24"/>
          <w:szCs w:val="24"/>
        </w:rPr>
        <w:t>substitute</w:t>
      </w:r>
      <w:r w:rsidR="000F1289">
        <w:rPr>
          <w:sz w:val="24"/>
          <w:szCs w:val="24"/>
        </w:rPr>
        <w:t xml:space="preserve"> in the definition of q and expand all of the exponential terms using </w:t>
      </w:r>
      <w:r w:rsidR="000F1289" w:rsidRPr="000F1289">
        <w:rPr>
          <w:i/>
          <w:sz w:val="24"/>
          <w:szCs w:val="24"/>
        </w:rPr>
        <w:t>e</w:t>
      </w:r>
      <w:r w:rsidR="000F1289" w:rsidRPr="000F1289">
        <w:rPr>
          <w:i/>
          <w:sz w:val="24"/>
          <w:szCs w:val="24"/>
          <w:vertAlign w:val="superscript"/>
        </w:rPr>
        <w:t>x</w:t>
      </w:r>
      <w:r w:rsidR="000F1289" w:rsidRPr="000F1289">
        <w:rPr>
          <w:i/>
          <w:sz w:val="24"/>
          <w:szCs w:val="24"/>
        </w:rPr>
        <w:t xml:space="preserve"> = 1 + x</w:t>
      </w:r>
      <w:r w:rsidR="000F1289">
        <w:rPr>
          <w:sz w:val="24"/>
          <w:szCs w:val="24"/>
        </w:rPr>
        <w:t>. With any luck, y</w:t>
      </w:r>
      <w:r w:rsidR="00F351C8" w:rsidRPr="00C12147">
        <w:rPr>
          <w:sz w:val="24"/>
          <w:szCs w:val="24"/>
        </w:rPr>
        <w:t>ou should obtain the part</w:t>
      </w:r>
      <w:r w:rsidR="00F351C8">
        <w:rPr>
          <w:sz w:val="24"/>
          <w:szCs w:val="24"/>
        </w:rPr>
        <w:t>ial differential equation above.</w:t>
      </w:r>
    </w:p>
    <w:p w14:paraId="4A6EC71E" w14:textId="77777777" w:rsidR="00DF62D3" w:rsidRDefault="00DF62D3" w:rsidP="00F351C8">
      <w:pPr>
        <w:rPr>
          <w:b/>
          <w:sz w:val="24"/>
          <w:u w:val="single"/>
        </w:rPr>
      </w:pPr>
    </w:p>
    <w:p w14:paraId="16D99DD2" w14:textId="77777777" w:rsidR="000F1289" w:rsidRPr="000F1289" w:rsidRDefault="000F1289" w:rsidP="00F351C8">
      <w:pPr>
        <w:rPr>
          <w:b/>
          <w:sz w:val="24"/>
          <w:u w:val="single"/>
        </w:rPr>
      </w:pPr>
      <w:r w:rsidRPr="000F1289">
        <w:rPr>
          <w:b/>
          <w:sz w:val="24"/>
          <w:u w:val="single"/>
        </w:rPr>
        <w:t>Practice with the Binomial spreadsheet</w:t>
      </w:r>
    </w:p>
    <w:p w14:paraId="3588458D" w14:textId="77777777" w:rsidR="000F1289" w:rsidRDefault="00927E88" w:rsidP="00927E88">
      <w:pPr>
        <w:tabs>
          <w:tab w:val="left" w:pos="2325"/>
        </w:tabs>
        <w:rPr>
          <w:b/>
          <w:sz w:val="24"/>
        </w:rPr>
      </w:pPr>
      <w:r>
        <w:rPr>
          <w:b/>
          <w:sz w:val="24"/>
        </w:rPr>
        <w:tab/>
      </w:r>
    </w:p>
    <w:p w14:paraId="47E0F7E8" w14:textId="77777777" w:rsidR="00DF62D3" w:rsidRDefault="00D96A0B" w:rsidP="00F351C8">
      <w:pPr>
        <w:rPr>
          <w:sz w:val="24"/>
        </w:rPr>
      </w:pPr>
      <w:r>
        <w:rPr>
          <w:b/>
          <w:sz w:val="24"/>
        </w:rPr>
        <w:t>3</w:t>
      </w:r>
      <w:r w:rsidR="00F351C8" w:rsidRPr="00C12147">
        <w:rPr>
          <w:b/>
          <w:sz w:val="24"/>
        </w:rPr>
        <w:t>.</w:t>
      </w:r>
      <w:r w:rsidR="00F351C8" w:rsidRPr="00C12147">
        <w:rPr>
          <w:sz w:val="24"/>
        </w:rPr>
        <w:t xml:space="preserve"> </w:t>
      </w:r>
      <w:r w:rsidR="00480703">
        <w:rPr>
          <w:sz w:val="24"/>
        </w:rPr>
        <w:t>(</w:t>
      </w:r>
      <w:r w:rsidR="00927CE6">
        <w:rPr>
          <w:sz w:val="24"/>
        </w:rPr>
        <w:t>6</w:t>
      </w:r>
      <w:r w:rsidR="00B84D52">
        <w:rPr>
          <w:sz w:val="24"/>
        </w:rPr>
        <w:t xml:space="preserve"> points) Adapt</w:t>
      </w:r>
      <w:r w:rsidR="00B6386A">
        <w:rPr>
          <w:sz w:val="24"/>
        </w:rPr>
        <w:t xml:space="preserve"> the tree</w:t>
      </w:r>
      <w:r w:rsidR="00FD6601">
        <w:rPr>
          <w:sz w:val="24"/>
        </w:rPr>
        <w:t>s</w:t>
      </w:r>
      <w:r w:rsidR="00B6386A">
        <w:rPr>
          <w:sz w:val="24"/>
        </w:rPr>
        <w:t xml:space="preserve"> from ImpBinomial.</w:t>
      </w:r>
      <w:r w:rsidR="000120BF">
        <w:rPr>
          <w:sz w:val="24"/>
        </w:rPr>
        <w:t xml:space="preserve">xls to value </w:t>
      </w:r>
      <w:r w:rsidR="00DF62D3">
        <w:rPr>
          <w:sz w:val="24"/>
        </w:rPr>
        <w:t>a slightly simplified version of this product:</w:t>
      </w:r>
    </w:p>
    <w:p w14:paraId="1C935647" w14:textId="77777777" w:rsidR="00DF62D3" w:rsidRDefault="00DF62D3" w:rsidP="00F351C8">
      <w:pPr>
        <w:rPr>
          <w:sz w:val="24"/>
        </w:rPr>
      </w:pPr>
    </w:p>
    <w:p w14:paraId="2CFB3B0F" w14:textId="1D7CFBB4" w:rsidR="00A33957" w:rsidRDefault="00BD75C1" w:rsidP="00F351C8">
      <w:hyperlink r:id="rId18" w:history="1">
        <w:r w:rsidR="00A33957" w:rsidRPr="0094458D">
          <w:rPr>
            <w:rStyle w:val="Hyperlink"/>
          </w:rPr>
          <w:t>https://www.sec.gov/Archives/edgar/data/1114446/000091412118000095/ub40996089-424b2.htm</w:t>
        </w:r>
      </w:hyperlink>
    </w:p>
    <w:p w14:paraId="2B1CE2F1" w14:textId="77777777" w:rsidR="00A33957" w:rsidRDefault="00A33957" w:rsidP="00F351C8">
      <w:pPr>
        <w:rPr>
          <w:sz w:val="24"/>
        </w:rPr>
      </w:pPr>
    </w:p>
    <w:p w14:paraId="6DE7497F" w14:textId="12F9A08D" w:rsidR="00DF62D3" w:rsidRDefault="00A33957" w:rsidP="00F351C8">
      <w:pPr>
        <w:rPr>
          <w:sz w:val="24"/>
        </w:rPr>
      </w:pPr>
      <w:r>
        <w:rPr>
          <w:sz w:val="24"/>
        </w:rPr>
        <w:t>Bank of America</w:t>
      </w:r>
      <w:r w:rsidR="00DF62D3">
        <w:rPr>
          <w:sz w:val="24"/>
        </w:rPr>
        <w:t xml:space="preserve"> (</w:t>
      </w:r>
      <w:r>
        <w:rPr>
          <w:sz w:val="24"/>
        </w:rPr>
        <w:t>BAC</w:t>
      </w:r>
      <w:r w:rsidR="00DF62D3">
        <w:rPr>
          <w:sz w:val="24"/>
        </w:rPr>
        <w:t xml:space="preserve">) product. I have tried to match the r, </w:t>
      </w:r>
      <w:r w:rsidR="00DF62D3" w:rsidRPr="00DF62D3">
        <w:rPr>
          <w:rFonts w:ascii="Symbol" w:hAnsi="Symbol"/>
          <w:sz w:val="24"/>
        </w:rPr>
        <w:t></w:t>
      </w:r>
      <w:r w:rsidR="00DF62D3">
        <w:rPr>
          <w:sz w:val="24"/>
        </w:rPr>
        <w:t xml:space="preserve">, and </w:t>
      </w:r>
      <w:r w:rsidR="00DF62D3" w:rsidRPr="00DF62D3">
        <w:rPr>
          <w:rFonts w:ascii="Symbol" w:hAnsi="Symbol"/>
          <w:sz w:val="24"/>
        </w:rPr>
        <w:t></w:t>
      </w:r>
      <w:r w:rsidR="00DF62D3">
        <w:rPr>
          <w:sz w:val="24"/>
        </w:rPr>
        <w:t xml:space="preserve"> as closely as possible!</w:t>
      </w:r>
    </w:p>
    <w:p w14:paraId="5CFB91FC" w14:textId="77777777" w:rsidR="00DF62D3" w:rsidRDefault="00DF62D3" w:rsidP="00F351C8">
      <w:pPr>
        <w:rPr>
          <w:sz w:val="24"/>
        </w:rPr>
      </w:pPr>
    </w:p>
    <w:p w14:paraId="3A1C4C56" w14:textId="77777777" w:rsidR="00C338A8" w:rsidRDefault="00C338A8" w:rsidP="00F351C8">
      <w:pPr>
        <w:rPr>
          <w:sz w:val="24"/>
        </w:rPr>
      </w:pPr>
      <w:r w:rsidRPr="00C637AE">
        <w:rPr>
          <w:sz w:val="24"/>
          <w:u w:val="single"/>
        </w:rPr>
        <w:t>Face value:</w:t>
      </w:r>
      <w:r>
        <w:rPr>
          <w:sz w:val="24"/>
        </w:rPr>
        <w:t xml:space="preserve"> $100</w:t>
      </w:r>
      <w:r w:rsidR="00B84D52">
        <w:rPr>
          <w:sz w:val="24"/>
        </w:rPr>
        <w:t>0</w:t>
      </w:r>
    </w:p>
    <w:p w14:paraId="6AA94646" w14:textId="06B5A4EE" w:rsidR="00C338A8" w:rsidRDefault="000120BF" w:rsidP="00F351C8">
      <w:pPr>
        <w:rPr>
          <w:sz w:val="24"/>
        </w:rPr>
      </w:pPr>
      <w:r w:rsidRPr="00C637AE">
        <w:rPr>
          <w:sz w:val="24"/>
          <w:u w:val="single"/>
        </w:rPr>
        <w:t>Payoff at maturity</w:t>
      </w:r>
      <w:r w:rsidR="00C338A8" w:rsidRPr="00C637AE">
        <w:rPr>
          <w:sz w:val="24"/>
          <w:u w:val="single"/>
        </w:rPr>
        <w:t>:</w:t>
      </w:r>
      <w:r w:rsidR="00C338A8">
        <w:rPr>
          <w:sz w:val="24"/>
        </w:rPr>
        <w:t xml:space="preserve"> </w:t>
      </w:r>
      <w:r>
        <w:rPr>
          <w:sz w:val="24"/>
        </w:rPr>
        <w:t xml:space="preserve">if the stock </w:t>
      </w:r>
      <w:r w:rsidR="004119BA">
        <w:rPr>
          <w:sz w:val="24"/>
        </w:rPr>
        <w:t>price is greater tha</w:t>
      </w:r>
      <w:r w:rsidR="00480703">
        <w:rPr>
          <w:sz w:val="24"/>
        </w:rPr>
        <w:t>n or equal to $</w:t>
      </w:r>
      <w:r w:rsidR="007A0DDE">
        <w:rPr>
          <w:sz w:val="24"/>
        </w:rPr>
        <w:t>31.19</w:t>
      </w:r>
      <w:r w:rsidR="00480703">
        <w:rPr>
          <w:sz w:val="24"/>
        </w:rPr>
        <w:t xml:space="preserve"> then you receive the face value plus the final coupon payment. If the stock price is bel</w:t>
      </w:r>
      <w:r w:rsidR="00DB2981">
        <w:rPr>
          <w:sz w:val="24"/>
        </w:rPr>
        <w:t>ow $ you receive a cash amount equivalent to 1000/</w:t>
      </w:r>
      <w:r w:rsidR="007A0DDE">
        <w:rPr>
          <w:sz w:val="24"/>
        </w:rPr>
        <w:t>31.19</w:t>
      </w:r>
      <w:r w:rsidR="00DB2981">
        <w:rPr>
          <w:sz w:val="24"/>
        </w:rPr>
        <w:t xml:space="preserve"> = </w:t>
      </w:r>
      <w:r w:rsidR="007A0DDE">
        <w:rPr>
          <w:sz w:val="24"/>
        </w:rPr>
        <w:t>35.6252</w:t>
      </w:r>
      <w:r w:rsidR="00DB2981">
        <w:rPr>
          <w:sz w:val="24"/>
        </w:rPr>
        <w:t xml:space="preserve"> stocks plus the </w:t>
      </w:r>
      <w:r w:rsidR="00DF62D3">
        <w:rPr>
          <w:sz w:val="24"/>
        </w:rPr>
        <w:t xml:space="preserve">final </w:t>
      </w:r>
      <w:r w:rsidR="00DB2981">
        <w:rPr>
          <w:sz w:val="24"/>
        </w:rPr>
        <w:t>coupon payment.</w:t>
      </w:r>
    </w:p>
    <w:p w14:paraId="7AF9CCC2" w14:textId="77777777" w:rsidR="00C338A8" w:rsidRDefault="00B84D52" w:rsidP="00F351C8">
      <w:pPr>
        <w:rPr>
          <w:sz w:val="24"/>
        </w:rPr>
      </w:pPr>
      <w:proofErr w:type="spellStart"/>
      <w:r>
        <w:rPr>
          <w:sz w:val="24"/>
          <w:u w:val="single"/>
        </w:rPr>
        <w:t>Autoc</w:t>
      </w:r>
      <w:r w:rsidR="00C338A8" w:rsidRPr="00C637AE">
        <w:rPr>
          <w:sz w:val="24"/>
          <w:u w:val="single"/>
        </w:rPr>
        <w:t>all</w:t>
      </w:r>
      <w:proofErr w:type="spellEnd"/>
      <w:r w:rsidR="00C338A8" w:rsidRPr="00C637AE">
        <w:rPr>
          <w:sz w:val="24"/>
          <w:u w:val="single"/>
        </w:rPr>
        <w:t xml:space="preserve"> feature:</w:t>
      </w:r>
      <w:r w:rsidR="00480703">
        <w:rPr>
          <w:sz w:val="24"/>
        </w:rPr>
        <w:t xml:space="preserve"> If the stock price </w:t>
      </w:r>
      <w:r w:rsidR="004119BA">
        <w:rPr>
          <w:sz w:val="24"/>
        </w:rPr>
        <w:t xml:space="preserve">is greater than or equal to </w:t>
      </w:r>
      <w:r w:rsidR="00480703">
        <w:rPr>
          <w:sz w:val="24"/>
        </w:rPr>
        <w:t xml:space="preserve">the initial price on any of the </w:t>
      </w:r>
      <w:r w:rsidR="00D96A0B">
        <w:rPr>
          <w:sz w:val="24"/>
        </w:rPr>
        <w:t>observation</w:t>
      </w:r>
      <w:r w:rsidR="00480703">
        <w:rPr>
          <w:sz w:val="24"/>
        </w:rPr>
        <w:t xml:space="preserve"> dates </w:t>
      </w:r>
      <w:r w:rsidR="00D96A0B">
        <w:rPr>
          <w:sz w:val="24"/>
        </w:rPr>
        <w:t xml:space="preserve">t = 1/4, 1/2, 3/4 </w:t>
      </w:r>
      <w:r w:rsidR="00480703">
        <w:rPr>
          <w:sz w:val="24"/>
        </w:rPr>
        <w:t>then the notes are immediately called for the face value + coupon.</w:t>
      </w:r>
    </w:p>
    <w:p w14:paraId="5C312CCE" w14:textId="4F5423BF" w:rsidR="00C338A8" w:rsidRDefault="00C338A8" w:rsidP="00F351C8">
      <w:pPr>
        <w:rPr>
          <w:sz w:val="24"/>
        </w:rPr>
      </w:pPr>
      <w:r w:rsidRPr="00C637AE">
        <w:rPr>
          <w:sz w:val="24"/>
          <w:u w:val="single"/>
        </w:rPr>
        <w:t>Coupons:</w:t>
      </w:r>
      <w:r>
        <w:rPr>
          <w:sz w:val="24"/>
        </w:rPr>
        <w:t xml:space="preserve"> there is a </w:t>
      </w:r>
      <w:r w:rsidR="00480703">
        <w:rPr>
          <w:sz w:val="24"/>
        </w:rPr>
        <w:t xml:space="preserve">monthly </w:t>
      </w:r>
      <w:r>
        <w:rPr>
          <w:sz w:val="24"/>
        </w:rPr>
        <w:t xml:space="preserve">coupon </w:t>
      </w:r>
      <w:r w:rsidR="000120BF">
        <w:rPr>
          <w:sz w:val="24"/>
        </w:rPr>
        <w:t xml:space="preserve">of </w:t>
      </w:r>
      <w:r w:rsidR="007A0DDE">
        <w:rPr>
          <w:sz w:val="24"/>
        </w:rPr>
        <w:t>6</w:t>
      </w:r>
      <w:r w:rsidR="00480703">
        <w:rPr>
          <w:sz w:val="24"/>
        </w:rPr>
        <w:t>.</w:t>
      </w:r>
      <w:r w:rsidR="007A0DDE">
        <w:rPr>
          <w:sz w:val="24"/>
        </w:rPr>
        <w:t>40</w:t>
      </w:r>
      <w:r>
        <w:rPr>
          <w:sz w:val="24"/>
        </w:rPr>
        <w:t>%</w:t>
      </w:r>
      <w:r w:rsidR="00480703">
        <w:rPr>
          <w:sz w:val="24"/>
        </w:rPr>
        <w:t xml:space="preserve"> (this is an annual figure)</w:t>
      </w:r>
      <w:r>
        <w:rPr>
          <w:sz w:val="24"/>
        </w:rPr>
        <w:t xml:space="preserve"> of the face value, payab</w:t>
      </w:r>
      <w:r w:rsidR="00480703">
        <w:rPr>
          <w:sz w:val="24"/>
        </w:rPr>
        <w:t xml:space="preserve">le at t = 1/12, 2/12 etc. </w:t>
      </w:r>
    </w:p>
    <w:p w14:paraId="6590BE44" w14:textId="77777777" w:rsidR="00B6386A" w:rsidRDefault="00B6386A" w:rsidP="00F351C8">
      <w:pPr>
        <w:rPr>
          <w:sz w:val="24"/>
        </w:rPr>
      </w:pPr>
    </w:p>
    <w:p w14:paraId="7CE011F6" w14:textId="77777777" w:rsidR="00DF62D3" w:rsidRDefault="00DF62D3" w:rsidP="00F351C8">
      <w:pPr>
        <w:rPr>
          <w:sz w:val="24"/>
        </w:rPr>
      </w:pPr>
      <w:r>
        <w:rPr>
          <w:sz w:val="24"/>
        </w:rPr>
        <w:t>To set up your tree:</w:t>
      </w:r>
    </w:p>
    <w:p w14:paraId="3B1E13B6" w14:textId="77777777" w:rsidR="00DF62D3" w:rsidRDefault="00DF62D3" w:rsidP="00F351C8">
      <w:pPr>
        <w:rPr>
          <w:sz w:val="24"/>
        </w:rPr>
      </w:pPr>
    </w:p>
    <w:p w14:paraId="0BE70503" w14:textId="77777777" w:rsidR="00DB2981" w:rsidRPr="00927CE6" w:rsidRDefault="00DB2981" w:rsidP="00F351C8">
      <w:pPr>
        <w:rPr>
          <w:sz w:val="24"/>
        </w:rPr>
      </w:pPr>
      <w:r w:rsidRPr="00927CE6">
        <w:rPr>
          <w:sz w:val="24"/>
        </w:rPr>
        <w:t>Choose N = 50</w:t>
      </w:r>
      <w:r w:rsidR="00B84D52" w:rsidRPr="00927CE6">
        <w:rPr>
          <w:sz w:val="24"/>
        </w:rPr>
        <w:t xml:space="preserve"> </w:t>
      </w:r>
      <w:r w:rsidR="00DF62D3" w:rsidRPr="00927CE6">
        <w:rPr>
          <w:sz w:val="24"/>
        </w:rPr>
        <w:t>(</w:t>
      </w:r>
      <w:proofErr w:type="spellStart"/>
      <w:r w:rsidR="00DF62D3" w:rsidRPr="00927CE6">
        <w:rPr>
          <w:sz w:val="24"/>
        </w:rPr>
        <w:t>i.e</w:t>
      </w:r>
      <w:proofErr w:type="spellEnd"/>
      <w:r w:rsidR="00DF62D3" w:rsidRPr="00927CE6">
        <w:rPr>
          <w:sz w:val="24"/>
        </w:rPr>
        <w:t xml:space="preserve"> the same as in </w:t>
      </w:r>
      <w:proofErr w:type="spellStart"/>
      <w:r w:rsidR="00DF62D3" w:rsidRPr="00927CE6">
        <w:rPr>
          <w:sz w:val="24"/>
        </w:rPr>
        <w:t>Impbinomial</w:t>
      </w:r>
      <w:proofErr w:type="spellEnd"/>
      <w:r w:rsidR="00DF62D3" w:rsidRPr="00927CE6">
        <w:rPr>
          <w:sz w:val="24"/>
        </w:rPr>
        <w:t>)</w:t>
      </w:r>
    </w:p>
    <w:p w14:paraId="38B7FA0A" w14:textId="6CD73402" w:rsidR="00DF62D3" w:rsidRPr="00927CE6" w:rsidRDefault="00DF62D3" w:rsidP="00F351C8">
      <w:pPr>
        <w:rPr>
          <w:sz w:val="24"/>
        </w:rPr>
      </w:pPr>
      <w:r w:rsidRPr="00927CE6">
        <w:rPr>
          <w:sz w:val="24"/>
        </w:rPr>
        <w:t xml:space="preserve">S0 = </w:t>
      </w:r>
      <w:r w:rsidR="007A0DDE">
        <w:rPr>
          <w:sz w:val="24"/>
        </w:rPr>
        <w:t>31.19</w:t>
      </w:r>
      <w:r w:rsidR="00480703" w:rsidRPr="00927CE6">
        <w:rPr>
          <w:sz w:val="24"/>
        </w:rPr>
        <w:t xml:space="preserve"> </w:t>
      </w:r>
    </w:p>
    <w:p w14:paraId="05002315" w14:textId="77777777" w:rsidR="00480703" w:rsidRPr="00927CE6" w:rsidRDefault="00480703" w:rsidP="00F351C8">
      <w:pPr>
        <w:rPr>
          <w:sz w:val="24"/>
        </w:rPr>
      </w:pPr>
      <w:r w:rsidRPr="00927CE6">
        <w:rPr>
          <w:sz w:val="24"/>
        </w:rPr>
        <w:t>T = 1</w:t>
      </w:r>
      <w:r w:rsidR="00FD6601" w:rsidRPr="00927CE6">
        <w:rPr>
          <w:sz w:val="24"/>
        </w:rPr>
        <w:t>.</w:t>
      </w:r>
    </w:p>
    <w:p w14:paraId="714EA11C" w14:textId="6D5F6E77" w:rsidR="00480703" w:rsidRPr="00927CE6" w:rsidRDefault="00B84D52" w:rsidP="00F351C8">
      <w:pPr>
        <w:rPr>
          <w:sz w:val="24"/>
        </w:rPr>
      </w:pPr>
      <w:r w:rsidRPr="00927CE6">
        <w:rPr>
          <w:sz w:val="24"/>
        </w:rPr>
        <w:lastRenderedPageBreak/>
        <w:t xml:space="preserve">r = </w:t>
      </w:r>
      <w:r w:rsidR="002246A9">
        <w:rPr>
          <w:sz w:val="24"/>
        </w:rPr>
        <w:t>1.96</w:t>
      </w:r>
      <w:r w:rsidR="00927CE6" w:rsidRPr="00927CE6">
        <w:rPr>
          <w:sz w:val="24"/>
        </w:rPr>
        <w:t>6</w:t>
      </w:r>
      <w:r w:rsidR="00FD6601" w:rsidRPr="00927CE6">
        <w:rPr>
          <w:sz w:val="24"/>
        </w:rPr>
        <w:t>%</w:t>
      </w:r>
    </w:p>
    <w:p w14:paraId="7087B01F" w14:textId="6EEF17D8" w:rsidR="00480703" w:rsidRPr="00927CE6" w:rsidRDefault="00FD6601" w:rsidP="00F351C8">
      <w:pPr>
        <w:rPr>
          <w:sz w:val="24"/>
        </w:rPr>
      </w:pPr>
      <w:r w:rsidRPr="00927CE6">
        <w:rPr>
          <w:rFonts w:ascii="Symbol" w:hAnsi="Symbol"/>
          <w:sz w:val="24"/>
        </w:rPr>
        <w:t></w:t>
      </w:r>
      <w:r w:rsidR="00480703" w:rsidRPr="00927CE6">
        <w:rPr>
          <w:sz w:val="24"/>
        </w:rPr>
        <w:t xml:space="preserve"> = </w:t>
      </w:r>
      <w:r w:rsidR="002246A9">
        <w:rPr>
          <w:sz w:val="24"/>
        </w:rPr>
        <w:t>24.650</w:t>
      </w:r>
      <w:r w:rsidRPr="00927CE6">
        <w:rPr>
          <w:sz w:val="24"/>
        </w:rPr>
        <w:t>%</w:t>
      </w:r>
    </w:p>
    <w:p w14:paraId="207C8655" w14:textId="7CEE904B" w:rsidR="00480703" w:rsidRPr="00927CE6" w:rsidRDefault="00DF62D3" w:rsidP="00F351C8">
      <w:pPr>
        <w:rPr>
          <w:sz w:val="24"/>
        </w:rPr>
      </w:pPr>
      <w:r w:rsidRPr="00927CE6">
        <w:rPr>
          <w:sz w:val="24"/>
        </w:rPr>
        <w:t xml:space="preserve">Proportional </w:t>
      </w:r>
      <w:r w:rsidR="00B84D52" w:rsidRPr="00927CE6">
        <w:rPr>
          <w:sz w:val="24"/>
        </w:rPr>
        <w:t xml:space="preserve">Dividends: </w:t>
      </w:r>
      <w:r w:rsidR="002246A9">
        <w:rPr>
          <w:sz w:val="24"/>
        </w:rPr>
        <w:t>1.75</w:t>
      </w:r>
      <w:r w:rsidR="00480703" w:rsidRPr="00927CE6">
        <w:rPr>
          <w:sz w:val="24"/>
        </w:rPr>
        <w:t xml:space="preserve">% </w:t>
      </w:r>
      <w:r w:rsidR="00FD6601" w:rsidRPr="00927CE6">
        <w:rPr>
          <w:sz w:val="24"/>
        </w:rPr>
        <w:t xml:space="preserve">(annual figure) </w:t>
      </w:r>
      <w:r w:rsidR="00480703" w:rsidRPr="00927CE6">
        <w:rPr>
          <w:sz w:val="24"/>
        </w:rPr>
        <w:t>quarte</w:t>
      </w:r>
      <w:r w:rsidR="00462E4A" w:rsidRPr="00927CE6">
        <w:rPr>
          <w:sz w:val="24"/>
        </w:rPr>
        <w:t>rly at t = 0.</w:t>
      </w:r>
      <w:r w:rsidR="003F584E">
        <w:rPr>
          <w:sz w:val="24"/>
        </w:rPr>
        <w:t>15. 0.4, 0.65</w:t>
      </w:r>
      <w:r w:rsidR="00927CE6" w:rsidRPr="00927CE6">
        <w:rPr>
          <w:sz w:val="24"/>
        </w:rPr>
        <w:t>, 0.9</w:t>
      </w:r>
      <w:r w:rsidR="002027A6" w:rsidRPr="00927CE6">
        <w:rPr>
          <w:sz w:val="24"/>
        </w:rPr>
        <w:t xml:space="preserve">, so assume 0.25 x </w:t>
      </w:r>
      <w:r w:rsidR="002246A9">
        <w:rPr>
          <w:sz w:val="24"/>
        </w:rPr>
        <w:t>1.7</w:t>
      </w:r>
      <w:r w:rsidR="00927CE6" w:rsidRPr="00927CE6">
        <w:rPr>
          <w:sz w:val="24"/>
        </w:rPr>
        <w:t>5</w:t>
      </w:r>
      <w:r w:rsidRPr="00927CE6">
        <w:rPr>
          <w:sz w:val="24"/>
        </w:rPr>
        <w:t xml:space="preserve">% </w:t>
      </w:r>
      <w:proofErr w:type="gramStart"/>
      <w:r w:rsidRPr="00927CE6">
        <w:rPr>
          <w:sz w:val="24"/>
        </w:rPr>
        <w:t>is paid</w:t>
      </w:r>
      <w:proofErr w:type="gramEnd"/>
      <w:r w:rsidRPr="00927CE6">
        <w:rPr>
          <w:sz w:val="24"/>
        </w:rPr>
        <w:t xml:space="preserve"> each quarter.</w:t>
      </w:r>
    </w:p>
    <w:p w14:paraId="643A2219" w14:textId="77777777" w:rsidR="008A34AD" w:rsidRPr="008E4728" w:rsidRDefault="00480703" w:rsidP="008A34AD">
      <w:pPr>
        <w:rPr>
          <w:sz w:val="24"/>
        </w:rPr>
      </w:pPr>
      <w:r w:rsidRPr="00927CE6">
        <w:rPr>
          <w:sz w:val="24"/>
        </w:rPr>
        <w:t>U</w:t>
      </w:r>
      <w:r w:rsidR="00B84D52" w:rsidRPr="00927CE6">
        <w:rPr>
          <w:sz w:val="24"/>
        </w:rPr>
        <w:t>se the same u, d formulas as given</w:t>
      </w:r>
      <w:r w:rsidRPr="00927CE6">
        <w:rPr>
          <w:sz w:val="24"/>
        </w:rPr>
        <w:t xml:space="preserve"> in the </w:t>
      </w:r>
      <w:proofErr w:type="spellStart"/>
      <w:r w:rsidRPr="00927CE6">
        <w:rPr>
          <w:sz w:val="24"/>
        </w:rPr>
        <w:t>Imp</w:t>
      </w:r>
      <w:r w:rsidR="00B84D52" w:rsidRPr="00927CE6">
        <w:rPr>
          <w:sz w:val="24"/>
        </w:rPr>
        <w:t>binomial</w:t>
      </w:r>
      <w:proofErr w:type="spellEnd"/>
      <w:r w:rsidR="00B84D52" w:rsidRPr="00927CE6">
        <w:rPr>
          <w:sz w:val="24"/>
        </w:rPr>
        <w:t xml:space="preserve"> spreadsheet</w:t>
      </w:r>
      <w:r w:rsidR="00DB2981" w:rsidRPr="00927CE6">
        <w:rPr>
          <w:sz w:val="24"/>
        </w:rPr>
        <w:t>.</w:t>
      </w:r>
      <w:r w:rsidR="00B84D52" w:rsidRPr="00927CE6">
        <w:rPr>
          <w:sz w:val="24"/>
        </w:rPr>
        <w:t xml:space="preserve">   </w:t>
      </w:r>
      <w:r w:rsidR="008A34AD">
        <w:rPr>
          <w:sz w:val="24"/>
        </w:rPr>
        <w:br w:type="page"/>
      </w:r>
    </w:p>
    <w:p w14:paraId="740C5EA7" w14:textId="77777777" w:rsidR="00F57E94" w:rsidRPr="00FC6115" w:rsidRDefault="00F57E94" w:rsidP="00F57E94">
      <w:pPr>
        <w:jc w:val="center"/>
        <w:rPr>
          <w:b/>
          <w:u w:val="single"/>
        </w:rPr>
      </w:pPr>
      <w:r w:rsidRPr="00FC6115">
        <w:rPr>
          <w:b/>
          <w:u w:val="single"/>
        </w:rPr>
        <w:lastRenderedPageBreak/>
        <w:t>Information for Question 1</w:t>
      </w:r>
    </w:p>
    <w:p w14:paraId="199818CB" w14:textId="77777777" w:rsidR="00F57E94" w:rsidRDefault="00F57E94" w:rsidP="00F57E94"/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8011"/>
      </w:tblGrid>
      <w:tr w:rsidR="00F57E94" w:rsidRPr="003B2A39" w14:paraId="2B1D7023" w14:textId="77777777" w:rsidTr="00DC5AEF">
        <w:tc>
          <w:tcPr>
            <w:tcW w:w="0" w:type="auto"/>
            <w:gridSpan w:val="2"/>
            <w:shd w:val="clear" w:color="auto" w:fill="296DC1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7AFBDB6A" w14:textId="77777777" w:rsidR="00F57E94" w:rsidRPr="003B2A39" w:rsidRDefault="00F57E94" w:rsidP="00DC5AEF">
            <w:pPr>
              <w:rPr>
                <w:rFonts w:ascii="Arial Bold" w:hAnsi="Arial Bold" w:cs="Arial Bold"/>
                <w:b/>
                <w:bCs/>
                <w:color w:val="FFFFFF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FINAL TERMS</w:t>
            </w:r>
          </w:p>
        </w:tc>
      </w:tr>
      <w:tr w:rsidR="00F57E94" w:rsidRPr="003B2A39" w14:paraId="06E2E3AF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hideMark/>
          </w:tcPr>
          <w:p w14:paraId="2363C7A8" w14:textId="77777777" w:rsidR="00F57E94" w:rsidRPr="003B2A39" w:rsidRDefault="00F57E94" w:rsidP="00DC5AEF">
            <w:pPr>
              <w:rPr>
                <w:rFonts w:ascii="Arial Bold" w:hAnsi="Arial Bold" w:cs="Arial Bold"/>
                <w:b/>
                <w:bCs/>
                <w:color w:val="296DC1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Issuer: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45EF42C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JPMorgan Chas</w:t>
            </w:r>
            <w:r>
              <w:rPr>
                <w:rFonts w:ascii="Arial" w:hAnsi="Arial" w:cs="Arial"/>
                <w:sz w:val="16"/>
                <w:szCs w:val="16"/>
              </w:rPr>
              <w:t>e Financial Company LLC</w:t>
            </w:r>
          </w:p>
        </w:tc>
      </w:tr>
      <w:tr w:rsidR="00F57E94" w:rsidRPr="003B2A39" w14:paraId="61BDC596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494553F1" w14:textId="77777777" w:rsidR="00F57E94" w:rsidRPr="003B2A39" w:rsidRDefault="00F57E94" w:rsidP="00DC5AEF">
            <w:pPr>
              <w:rPr>
                <w:rFonts w:ascii="Arial Bold" w:hAnsi="Arial Bold" w:cs="Arial Bold"/>
                <w:b/>
                <w:bCs/>
                <w:color w:val="296DC1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Underlying index: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03B21434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EURO STOXX</w:t>
            </w:r>
            <w:r>
              <w:rPr>
                <w:rFonts w:ascii="Arial" w:hAnsi="Arial" w:cs="Arial"/>
                <w:sz w:val="16"/>
                <w:szCs w:val="16"/>
              </w:rPr>
              <w:t xml:space="preserve"> Banks</w:t>
            </w:r>
            <w:r w:rsidRPr="003B2A39">
              <w:rPr>
                <w:rFonts w:ascii="Arial" w:hAnsi="Arial" w:cs="Arial"/>
                <w:sz w:val="16"/>
                <w:szCs w:val="16"/>
                <w:vertAlign w:val="superscript"/>
              </w:rPr>
              <w:t>®</w:t>
            </w:r>
            <w:r w:rsidRPr="003B2A3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7E94" w:rsidRPr="003B2A39" w14:paraId="2806F028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hideMark/>
          </w:tcPr>
          <w:p w14:paraId="4851FC42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Payment at maturity: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0C4757FB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If the final index value is </w:t>
            </w:r>
            <w:r w:rsidRPr="003B2A39">
              <w:rPr>
                <w:rFonts w:ascii="Arial" w:hAnsi="Arial" w:cs="Arial"/>
                <w:i/>
                <w:iCs/>
                <w:sz w:val="16"/>
                <w:szCs w:val="16"/>
              </w:rPr>
              <w:t>greater than or equal to </w:t>
            </w:r>
            <w:r w:rsidRPr="003B2A39">
              <w:rPr>
                <w:rFonts w:ascii="Arial" w:hAnsi="Arial" w:cs="Arial"/>
                <w:sz w:val="16"/>
                <w:szCs w:val="16"/>
              </w:rPr>
              <w:t>the initial index value, for each $10 stated principal amount security:</w:t>
            </w:r>
          </w:p>
        </w:tc>
      </w:tr>
      <w:tr w:rsidR="00F57E94" w:rsidRPr="003B2A39" w14:paraId="7499AA10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2D37FC4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57D72B01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$10 + upside payment</w:t>
            </w:r>
          </w:p>
        </w:tc>
      </w:tr>
      <w:tr w:rsidR="00F57E94" w:rsidRPr="003B2A39" w14:paraId="27A644E4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461E2CC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hideMark/>
          </w:tcPr>
          <w:p w14:paraId="0EA9EAED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If the final index value is </w:t>
            </w:r>
            <w:r w:rsidRPr="003B2A39">
              <w:rPr>
                <w:rFonts w:ascii="Arial" w:hAnsi="Arial" w:cs="Arial"/>
                <w:i/>
                <w:iCs/>
                <w:sz w:val="16"/>
                <w:szCs w:val="16"/>
              </w:rPr>
              <w:t>less than </w:t>
            </w:r>
            <w:r w:rsidRPr="003B2A39">
              <w:rPr>
                <w:rFonts w:ascii="Arial" w:hAnsi="Arial" w:cs="Arial"/>
                <w:sz w:val="16"/>
                <w:szCs w:val="16"/>
              </w:rPr>
              <w:t>the initial index value but is </w:t>
            </w:r>
            <w:r w:rsidRPr="003B2A39">
              <w:rPr>
                <w:rFonts w:ascii="Arial" w:hAnsi="Arial" w:cs="Arial"/>
                <w:i/>
                <w:iCs/>
                <w:sz w:val="16"/>
                <w:szCs w:val="16"/>
              </w:rPr>
              <w:t>greater than or equal to</w:t>
            </w:r>
            <w:r w:rsidRPr="003B2A39">
              <w:rPr>
                <w:rFonts w:ascii="Arial" w:hAnsi="Arial" w:cs="Arial"/>
                <w:sz w:val="16"/>
                <w:szCs w:val="16"/>
              </w:rPr>
              <w:t> the trigger level, for each $10 stated principal amount security:</w:t>
            </w:r>
          </w:p>
        </w:tc>
      </w:tr>
      <w:tr w:rsidR="00F57E94" w:rsidRPr="003B2A39" w14:paraId="43938217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30AD9A8C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hideMark/>
          </w:tcPr>
          <w:p w14:paraId="0F0EBDC9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$10 + ($10 × absolute index return)</w:t>
            </w:r>
          </w:p>
        </w:tc>
      </w:tr>
      <w:tr w:rsidR="00F57E94" w:rsidRPr="003B2A39" w14:paraId="40726EED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0CF27D6E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hideMark/>
          </w:tcPr>
          <w:p w14:paraId="4DC2ACF7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i/>
                <w:iCs/>
                <w:sz w:val="16"/>
                <w:szCs w:val="16"/>
              </w:rPr>
              <w:t>In this scenario, you will receive a 1% positive return on the securities for each 1% negative return on the underlying index.  In no event will this amount exceed the stated principal amount plus $2.00.</w:t>
            </w:r>
          </w:p>
        </w:tc>
      </w:tr>
      <w:tr w:rsidR="00F57E94" w:rsidRPr="003B2A39" w14:paraId="45AE553E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011642DB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hideMark/>
          </w:tcPr>
          <w:p w14:paraId="4E0F8D58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If the final index value is </w:t>
            </w:r>
            <w:r w:rsidRPr="003B2A39">
              <w:rPr>
                <w:rFonts w:ascii="Arial" w:hAnsi="Arial" w:cs="Arial"/>
                <w:i/>
                <w:iCs/>
                <w:sz w:val="16"/>
                <w:szCs w:val="16"/>
              </w:rPr>
              <w:t>less than </w:t>
            </w:r>
            <w:r w:rsidRPr="003B2A39">
              <w:rPr>
                <w:rFonts w:ascii="Arial" w:hAnsi="Arial" w:cs="Arial"/>
                <w:sz w:val="16"/>
                <w:szCs w:val="16"/>
              </w:rPr>
              <w:t>the trigger level, for each $10 stated principal amount security:</w:t>
            </w:r>
          </w:p>
        </w:tc>
      </w:tr>
      <w:tr w:rsidR="00F57E94" w:rsidRPr="003B2A39" w14:paraId="2ECD9CCC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4C08FC85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0FCC61B9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$10 × index performance factor</w:t>
            </w:r>
          </w:p>
        </w:tc>
      </w:tr>
      <w:tr w:rsidR="00F57E94" w:rsidRPr="003B2A39" w14:paraId="44B96124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2105067E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58D6D515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i/>
                <w:iCs/>
                <w:sz w:val="16"/>
                <w:szCs w:val="16"/>
              </w:rPr>
              <w:t>This amount will be less than the stated principal amount of $10 per security and will represent a loss of more than 20%, and possibly all, of your investment.</w:t>
            </w:r>
          </w:p>
        </w:tc>
      </w:tr>
      <w:tr w:rsidR="00F57E94" w:rsidRPr="003B2A39" w14:paraId="41C0AFC5" w14:textId="77777777" w:rsidTr="00DC5AEF">
        <w:tc>
          <w:tcPr>
            <w:tcW w:w="0" w:type="auto"/>
            <w:shd w:val="clear" w:color="auto" w:fill="DCEBF4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16D08C1B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Upside payment:</w:t>
            </w:r>
          </w:p>
        </w:tc>
        <w:tc>
          <w:tcPr>
            <w:tcW w:w="0" w:type="auto"/>
            <w:shd w:val="clear" w:color="auto" w:fill="DCEBF4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599B9C1B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$3.75 per security (37.50% of the stated principal amount). </w:t>
            </w:r>
          </w:p>
        </w:tc>
      </w:tr>
      <w:tr w:rsidR="00F57E94" w:rsidRPr="003B2A39" w14:paraId="1261B55C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1823EAFE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Index percent change: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34FABE42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(final index value – initial index value) / initial index value</w:t>
            </w:r>
          </w:p>
        </w:tc>
      </w:tr>
      <w:tr w:rsidR="00F57E94" w:rsidRPr="003B2A39" w14:paraId="47CBDF8C" w14:textId="77777777" w:rsidTr="00DC5AEF">
        <w:tc>
          <w:tcPr>
            <w:tcW w:w="0" w:type="auto"/>
            <w:shd w:val="clear" w:color="auto" w:fill="DCEBF4"/>
            <w:tcMar>
              <w:top w:w="20" w:type="dxa"/>
              <w:left w:w="90" w:type="dxa"/>
              <w:bottom w:w="0" w:type="dxa"/>
              <w:right w:w="0" w:type="dxa"/>
            </w:tcMar>
            <w:hideMark/>
          </w:tcPr>
          <w:p w14:paraId="4977338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Absolute index return:</w:t>
            </w:r>
          </w:p>
        </w:tc>
        <w:tc>
          <w:tcPr>
            <w:tcW w:w="0" w:type="auto"/>
            <w:shd w:val="clear" w:color="auto" w:fill="DCEBF4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7D01C412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The absolute value of the index percent change.  For example, a -5% index percent change will result in a +5% absolute index return. </w:t>
            </w:r>
          </w:p>
        </w:tc>
      </w:tr>
      <w:tr w:rsidR="00F57E94" w:rsidRPr="003B2A39" w14:paraId="51AF83E3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734BE52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Initial index value: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41A4286C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The closing level of the underlying index on t</w:t>
            </w:r>
            <w:r>
              <w:rPr>
                <w:rFonts w:ascii="Arial" w:hAnsi="Arial" w:cs="Arial"/>
                <w:sz w:val="16"/>
                <w:szCs w:val="16"/>
              </w:rPr>
              <w:t>he pricing date, which was 150</w:t>
            </w:r>
          </w:p>
        </w:tc>
      </w:tr>
      <w:tr w:rsidR="00F57E94" w:rsidRPr="003B2A39" w14:paraId="4A23C549" w14:textId="77777777" w:rsidTr="00DC5AEF">
        <w:tc>
          <w:tcPr>
            <w:tcW w:w="0" w:type="auto"/>
            <w:shd w:val="clear" w:color="auto" w:fill="DCEBF4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55636E56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Final index value: </w:t>
            </w:r>
          </w:p>
        </w:tc>
        <w:tc>
          <w:tcPr>
            <w:tcW w:w="0" w:type="auto"/>
            <w:shd w:val="clear" w:color="auto" w:fill="DCEBF4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628CAF09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The closing level of the underlying index on the valuation date</w:t>
            </w:r>
          </w:p>
        </w:tc>
      </w:tr>
      <w:tr w:rsidR="00F57E94" w:rsidRPr="003B2A39" w14:paraId="307287EB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59545344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Trigger level: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130B3810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  <w:r w:rsidRPr="003B2A39">
              <w:rPr>
                <w:rFonts w:ascii="Arial" w:hAnsi="Arial" w:cs="Arial"/>
                <w:sz w:val="16"/>
                <w:szCs w:val="16"/>
              </w:rPr>
              <w:t>, which is 80% of the initial index value</w:t>
            </w:r>
          </w:p>
        </w:tc>
      </w:tr>
      <w:tr w:rsidR="00F57E94" w:rsidRPr="003B2A39" w14:paraId="6CEFDF47" w14:textId="77777777" w:rsidTr="00DC5AEF">
        <w:tc>
          <w:tcPr>
            <w:tcW w:w="0" w:type="auto"/>
            <w:shd w:val="clear" w:color="auto" w:fill="DAEEF3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34D50E80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Index performance factor:</w:t>
            </w:r>
          </w:p>
        </w:tc>
        <w:tc>
          <w:tcPr>
            <w:tcW w:w="0" w:type="auto"/>
            <w:shd w:val="clear" w:color="auto" w:fill="DAEEF3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6C9A0CF4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final index value / initial index value</w:t>
            </w:r>
          </w:p>
        </w:tc>
      </w:tr>
      <w:tr w:rsidR="00F57E94" w:rsidRPr="003B2A39" w14:paraId="45889AC5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4955A3B3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Stated principal amount: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7575DC12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$10 per security</w:t>
            </w:r>
          </w:p>
        </w:tc>
      </w:tr>
      <w:tr w:rsidR="00F57E94" w:rsidRPr="003B2A39" w14:paraId="5A36FE58" w14:textId="77777777" w:rsidTr="00DC5AEF">
        <w:tc>
          <w:tcPr>
            <w:tcW w:w="0" w:type="auto"/>
            <w:shd w:val="clear" w:color="auto" w:fill="DAEEF3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24A657B4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Issue price:</w:t>
            </w:r>
          </w:p>
        </w:tc>
        <w:tc>
          <w:tcPr>
            <w:tcW w:w="0" w:type="auto"/>
            <w:shd w:val="clear" w:color="auto" w:fill="DAEEF3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1C7F4998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$10 per security (see “Commissions and issue price” below)</w:t>
            </w:r>
          </w:p>
        </w:tc>
      </w:tr>
      <w:tr w:rsidR="00F57E94" w:rsidRPr="003B2A39" w14:paraId="6D5BA66D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0AC863AB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Pricing date: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44A4479A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November 30, 2017</w:t>
            </w:r>
          </w:p>
        </w:tc>
      </w:tr>
      <w:tr w:rsidR="00F57E94" w:rsidRPr="003B2A39" w14:paraId="32F9FDCB" w14:textId="77777777" w:rsidTr="00DC5AEF">
        <w:tc>
          <w:tcPr>
            <w:tcW w:w="0" w:type="auto"/>
            <w:shd w:val="clear" w:color="auto" w:fill="DAEEF3"/>
            <w:tcMar>
              <w:top w:w="2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14:paraId="700C8860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Original issue date (settlement date): </w:t>
            </w:r>
          </w:p>
        </w:tc>
        <w:tc>
          <w:tcPr>
            <w:tcW w:w="0" w:type="auto"/>
            <w:shd w:val="clear" w:color="auto" w:fill="DAEEF3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2BD8B08E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sz w:val="16"/>
                <w:szCs w:val="16"/>
              </w:rPr>
              <w:t>November 30, 2017</w:t>
            </w:r>
          </w:p>
        </w:tc>
      </w:tr>
      <w:tr w:rsidR="00F57E94" w:rsidRPr="003B2A39" w14:paraId="4B69A59B" w14:textId="77777777" w:rsidTr="00DC5AEF">
        <w:tc>
          <w:tcPr>
            <w:tcW w:w="0" w:type="auto"/>
            <w:tcMar>
              <w:top w:w="20" w:type="dxa"/>
              <w:left w:w="90" w:type="dxa"/>
              <w:bottom w:w="0" w:type="dxa"/>
              <w:right w:w="0" w:type="dxa"/>
            </w:tcMar>
            <w:hideMark/>
          </w:tcPr>
          <w:p w14:paraId="3B8A3627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Valuation date:</w:t>
            </w:r>
          </w:p>
        </w:tc>
        <w:tc>
          <w:tcPr>
            <w:tcW w:w="0" w:type="auto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404C551A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 30</w:t>
            </w:r>
            <w:r w:rsidRPr="003B2A39">
              <w:rPr>
                <w:rFonts w:ascii="Arial" w:hAnsi="Arial" w:cs="Arial"/>
                <w:sz w:val="16"/>
                <w:szCs w:val="16"/>
              </w:rPr>
              <w:t>, 2020</w:t>
            </w:r>
          </w:p>
        </w:tc>
      </w:tr>
      <w:tr w:rsidR="00F57E94" w:rsidRPr="003B2A39" w14:paraId="46CBA36C" w14:textId="77777777" w:rsidTr="00DC5AEF">
        <w:tc>
          <w:tcPr>
            <w:tcW w:w="0" w:type="auto"/>
            <w:shd w:val="clear" w:color="auto" w:fill="DAEEF3"/>
            <w:tcMar>
              <w:top w:w="20" w:type="dxa"/>
              <w:left w:w="90" w:type="dxa"/>
              <w:bottom w:w="0" w:type="dxa"/>
              <w:right w:w="0" w:type="dxa"/>
            </w:tcMar>
            <w:hideMark/>
          </w:tcPr>
          <w:p w14:paraId="2F02F903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 w:rsidRPr="003B2A39">
              <w:rPr>
                <w:rFonts w:ascii="Arial" w:hAnsi="Arial" w:cs="Arial"/>
                <w:b/>
                <w:bCs/>
                <w:color w:val="296DC1"/>
                <w:sz w:val="16"/>
                <w:szCs w:val="16"/>
              </w:rPr>
              <w:t>Maturity date:</w:t>
            </w:r>
          </w:p>
        </w:tc>
        <w:tc>
          <w:tcPr>
            <w:tcW w:w="0" w:type="auto"/>
            <w:shd w:val="clear" w:color="auto" w:fill="DAEEF3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2017A96E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 30</w:t>
            </w:r>
            <w:r w:rsidRPr="003B2A39">
              <w:rPr>
                <w:rFonts w:ascii="Arial" w:hAnsi="Arial" w:cs="Arial"/>
                <w:sz w:val="16"/>
                <w:szCs w:val="16"/>
              </w:rPr>
              <w:t>, 2020</w:t>
            </w:r>
          </w:p>
        </w:tc>
      </w:tr>
      <w:tr w:rsidR="00F57E94" w:rsidRPr="003B2A39" w14:paraId="700D4A57" w14:textId="77777777" w:rsidTr="00DC5AEF">
        <w:tc>
          <w:tcPr>
            <w:tcW w:w="0" w:type="auto"/>
            <w:shd w:val="clear" w:color="auto" w:fill="DAEEF3"/>
            <w:tcMar>
              <w:top w:w="20" w:type="dxa"/>
              <w:left w:w="90" w:type="dxa"/>
              <w:bottom w:w="0" w:type="dxa"/>
              <w:right w:w="0" w:type="dxa"/>
            </w:tcMar>
            <w:hideMark/>
          </w:tcPr>
          <w:p w14:paraId="0D49447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AEEF3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4ED582F2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94" w:rsidRPr="003B2A39" w14:paraId="04B885F3" w14:textId="77777777" w:rsidTr="00DC5AEF">
        <w:tc>
          <w:tcPr>
            <w:tcW w:w="0" w:type="auto"/>
            <w:shd w:val="clear" w:color="auto" w:fill="DAEEF3"/>
            <w:tcMar>
              <w:top w:w="20" w:type="dxa"/>
              <w:left w:w="90" w:type="dxa"/>
              <w:bottom w:w="0" w:type="dxa"/>
              <w:right w:w="0" w:type="dxa"/>
            </w:tcMar>
          </w:tcPr>
          <w:p w14:paraId="48E9CFEF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AEEF3"/>
            <w:tcMar>
              <w:top w:w="20" w:type="dxa"/>
              <w:left w:w="15" w:type="dxa"/>
              <w:bottom w:w="0" w:type="dxa"/>
              <w:right w:w="0" w:type="dxa"/>
            </w:tcMar>
            <w:vAlign w:val="center"/>
          </w:tcPr>
          <w:p w14:paraId="4CDAE60E" w14:textId="77777777" w:rsidR="00F57E94" w:rsidRPr="003B2A39" w:rsidRDefault="00F57E94" w:rsidP="00DC5A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5F76D1B" w14:textId="77777777" w:rsidR="00F57E94" w:rsidRDefault="00F57E94" w:rsidP="00F57E94"/>
    <w:p w14:paraId="702176A1" w14:textId="77777777" w:rsidR="00F57E94" w:rsidRDefault="00F57E94" w:rsidP="00F57E94">
      <w:r>
        <w:rPr>
          <w:rFonts w:ascii="Helvetica" w:hAnsi="Helvetica" w:cs="Helvetica"/>
          <w:noProof/>
        </w:rPr>
        <w:drawing>
          <wp:inline distT="0" distB="0" distL="0" distR="0" wp14:anchorId="0C058871" wp14:editId="4B500954">
            <wp:extent cx="6052842" cy="3517439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90" cy="351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E5D0" w14:textId="77777777" w:rsidR="00F57E94" w:rsidRDefault="00F57E94" w:rsidP="00F57E94">
      <w:pPr>
        <w:rPr>
          <w:noProof/>
        </w:rPr>
      </w:pPr>
    </w:p>
    <w:p w14:paraId="3F0D48FC" w14:textId="77777777" w:rsidR="00F57E94" w:rsidRDefault="00F57E94" w:rsidP="00F57E94">
      <w:pPr>
        <w:rPr>
          <w:b/>
          <w:u w:val="single"/>
        </w:rPr>
      </w:pPr>
    </w:p>
    <w:p w14:paraId="7BB5BF04" w14:textId="77777777" w:rsidR="00F57E94" w:rsidRDefault="00F57E94" w:rsidP="00F57E94">
      <w:pPr>
        <w:rPr>
          <w:b/>
          <w:u w:val="single"/>
        </w:rPr>
      </w:pPr>
    </w:p>
    <w:p w14:paraId="066DE3A2" w14:textId="77777777" w:rsidR="00F57E94" w:rsidRDefault="00F57E94" w:rsidP="00F57E94">
      <w:pPr>
        <w:rPr>
          <w:b/>
          <w:u w:val="single"/>
        </w:rPr>
      </w:pPr>
      <w:r>
        <w:rPr>
          <w:b/>
          <w:u w:val="single"/>
        </w:rPr>
        <w:t>Interest rate data</w:t>
      </w:r>
    </w:p>
    <w:p w14:paraId="40C275F9" w14:textId="77777777" w:rsidR="00F57E94" w:rsidRDefault="00F57E94" w:rsidP="00F57E94">
      <w:pPr>
        <w:rPr>
          <w:b/>
          <w:u w:val="single"/>
        </w:rPr>
      </w:pPr>
    </w:p>
    <w:tbl>
      <w:tblPr>
        <w:tblW w:w="6580" w:type="dxa"/>
        <w:tblInd w:w="93" w:type="dxa"/>
        <w:tblLook w:val="04A0" w:firstRow="1" w:lastRow="0" w:firstColumn="1" w:lastColumn="0" w:noHBand="0" w:noVBand="1"/>
      </w:tblPr>
      <w:tblGrid>
        <w:gridCol w:w="2220"/>
        <w:gridCol w:w="1060"/>
        <w:gridCol w:w="1420"/>
        <w:gridCol w:w="1880"/>
      </w:tblGrid>
      <w:tr w:rsidR="00F57E94" w:rsidRPr="008665D2" w14:paraId="1DDB333B" w14:textId="77777777" w:rsidTr="00F57E94">
        <w:trPr>
          <w:trHeight w:val="2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AD2A" w14:textId="77777777" w:rsidR="00F57E94" w:rsidRPr="008665D2" w:rsidRDefault="00F57E94" w:rsidP="00DC5AEF">
            <w:pPr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date quoted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10D" w14:textId="77777777" w:rsidR="00F57E94" w:rsidRPr="008665D2" w:rsidRDefault="00F57E94" w:rsidP="00DC5AEF">
            <w:pPr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days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7EE4" w14:textId="77777777" w:rsidR="00F57E94" w:rsidRPr="008665D2" w:rsidRDefault="00F57E94" w:rsidP="00DC5AEF">
            <w:pPr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maturity date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A907" w14:textId="68E2BAEE" w:rsidR="00F57E94" w:rsidRPr="008665D2" w:rsidRDefault="00F57E94" w:rsidP="00DC5AEF">
            <w:pPr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USD LIBOR rate</w:t>
            </w:r>
            <w:r w:rsidR="00BD616E">
              <w:rPr>
                <w:rFonts w:ascii="Arial" w:hAnsi="Arial" w:cs="Arial"/>
                <w:b/>
                <w:bCs/>
                <w:sz w:val="20"/>
              </w:rPr>
              <w:t xml:space="preserve"> (Simple interest, Actual/360 day count)</w:t>
            </w:r>
          </w:p>
        </w:tc>
      </w:tr>
      <w:tr w:rsidR="00F57E94" w:rsidRPr="008665D2" w14:paraId="0D5260EA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1DE5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D49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D078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7-Dec-17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7D6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1.0000%</w:t>
            </w:r>
          </w:p>
        </w:tc>
      </w:tr>
      <w:tr w:rsidR="00F57E94" w:rsidRPr="008665D2" w14:paraId="64278D5A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998C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4D99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DA32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31-Dec-17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947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1.0135%</w:t>
            </w:r>
          </w:p>
        </w:tc>
      </w:tr>
      <w:tr w:rsidR="00F57E94" w:rsidRPr="008665D2" w14:paraId="670412BF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9201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282C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0AD6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2-Jan-18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67F7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1.0146%</w:t>
            </w:r>
          </w:p>
        </w:tc>
      </w:tr>
      <w:tr w:rsidR="00F57E94" w:rsidRPr="008665D2" w14:paraId="69CDE89E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21B9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851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40E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6-Feb-18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1E43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1.0342%</w:t>
            </w:r>
          </w:p>
        </w:tc>
      </w:tr>
      <w:tr w:rsidR="00F57E94" w:rsidRPr="008665D2" w14:paraId="63AB00DC" w14:textId="77777777" w:rsidTr="00F57E94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F7C7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42D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139D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6-Mar-18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6D7C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1.0499%</w:t>
            </w:r>
          </w:p>
        </w:tc>
      </w:tr>
      <w:tr w:rsidR="00F57E94" w:rsidRPr="008665D2" w14:paraId="40B196CF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E8C4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6FC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124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326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3-Apr-18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DAA8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1.0656%</w:t>
            </w:r>
          </w:p>
        </w:tc>
      </w:tr>
      <w:tr w:rsidR="00F57E94" w:rsidRPr="008665D2" w14:paraId="5CBBF4D7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63C7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CEA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159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35E3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8-May-18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0F0C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1.0852%</w:t>
            </w:r>
          </w:p>
        </w:tc>
      </w:tr>
      <w:tr w:rsidR="00F57E94" w:rsidRPr="008665D2" w14:paraId="02977A5B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CC20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B04E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187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8184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5-Jun-18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9558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1.1009%</w:t>
            </w:r>
          </w:p>
        </w:tc>
      </w:tr>
      <w:tr w:rsidR="00F57E94" w:rsidRPr="008665D2" w14:paraId="7CC737C0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9A9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B980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2CC6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4-Sep-18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64D9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1.1520%</w:t>
            </w:r>
          </w:p>
        </w:tc>
      </w:tr>
      <w:tr w:rsidR="00F57E94" w:rsidRPr="008665D2" w14:paraId="244EC688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BE2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C73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A23D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4-Dec-18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F3A5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1.2030%</w:t>
            </w:r>
          </w:p>
        </w:tc>
      </w:tr>
      <w:tr w:rsidR="00F57E94" w:rsidRPr="008665D2" w14:paraId="6968FE0A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0E91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D599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460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316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5-Mar-19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7964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1.2540%</w:t>
            </w:r>
          </w:p>
        </w:tc>
      </w:tr>
      <w:tr w:rsidR="00F57E94" w:rsidRPr="008665D2" w14:paraId="710BAADD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B725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0DC3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566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CD7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19-Jun-19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A0C8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1.3135%</w:t>
            </w:r>
          </w:p>
        </w:tc>
      </w:tr>
      <w:tr w:rsidR="00F57E94" w:rsidRPr="008665D2" w14:paraId="23A81B6B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CA9B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92ED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642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2FD2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3-Sep-19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34B9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1.3561%</w:t>
            </w:r>
          </w:p>
        </w:tc>
      </w:tr>
      <w:tr w:rsidR="00F57E94" w:rsidRPr="008665D2" w14:paraId="3B55BB1B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9A43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AD44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733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FB00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3-Dec-19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BC4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1.4071%</w:t>
            </w:r>
          </w:p>
        </w:tc>
      </w:tr>
      <w:tr w:rsidR="00F57E94" w:rsidRPr="008665D2" w14:paraId="61037214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D120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9C0E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824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A05A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3-Mar-20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50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1.4582%</w:t>
            </w:r>
          </w:p>
        </w:tc>
      </w:tr>
      <w:tr w:rsidR="00F57E94" w:rsidRPr="008665D2" w14:paraId="2788D36F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6532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19A4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912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6053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30-May-20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2F63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1.5075%</w:t>
            </w:r>
          </w:p>
        </w:tc>
      </w:tr>
      <w:tr w:rsidR="00F57E94" w:rsidRPr="008665D2" w14:paraId="49F36197" w14:textId="77777777" w:rsidTr="00F57E94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0C3C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20171130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3B81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1013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984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665D2">
              <w:rPr>
                <w:rFonts w:ascii="Arial" w:hAnsi="Arial" w:cs="Arial"/>
                <w:sz w:val="20"/>
              </w:rPr>
              <w:t>8-Sep-20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DD5F" w14:textId="77777777" w:rsidR="00F57E94" w:rsidRPr="008665D2" w:rsidRDefault="00F57E94" w:rsidP="00DC5AEF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8665D2">
              <w:rPr>
                <w:rFonts w:ascii="Arial" w:hAnsi="Arial" w:cs="Arial"/>
                <w:b/>
                <w:bCs/>
                <w:sz w:val="20"/>
              </w:rPr>
              <w:t>1.5642%</w:t>
            </w:r>
          </w:p>
        </w:tc>
      </w:tr>
    </w:tbl>
    <w:p w14:paraId="18F3C7F5" w14:textId="77777777" w:rsidR="00F57E94" w:rsidRDefault="00F57E94" w:rsidP="00F57E94"/>
    <w:p w14:paraId="5B4ABD45" w14:textId="77777777" w:rsidR="00F57E94" w:rsidRDefault="00F57E94" w:rsidP="00F57E94"/>
    <w:p w14:paraId="5D4BF3E7" w14:textId="77777777" w:rsidR="00F57E94" w:rsidRDefault="00F57E94" w:rsidP="00F57E94"/>
    <w:p w14:paraId="45D8DE14" w14:textId="77777777" w:rsidR="00F57E94" w:rsidRDefault="00F57E94" w:rsidP="00F57E94">
      <w:pPr>
        <w:rPr>
          <w:b/>
          <w:u w:val="single"/>
        </w:rPr>
      </w:pPr>
      <w:r w:rsidRPr="00631099">
        <w:rPr>
          <w:b/>
          <w:u w:val="single"/>
        </w:rPr>
        <w:t>Option Price Data</w:t>
      </w:r>
    </w:p>
    <w:p w14:paraId="2BCC7417" w14:textId="77777777" w:rsidR="00F57E94" w:rsidRDefault="00F57E94" w:rsidP="00F57E94">
      <w:pPr>
        <w:rPr>
          <w:b/>
          <w:u w:val="single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200"/>
        <w:gridCol w:w="1060"/>
        <w:gridCol w:w="1060"/>
        <w:gridCol w:w="1060"/>
        <w:gridCol w:w="1060"/>
      </w:tblGrid>
      <w:tr w:rsidR="00F57E94" w:rsidRPr="008719C3" w14:paraId="65BC71D5" w14:textId="77777777" w:rsidTr="00DC5AEF">
        <w:trPr>
          <w:trHeight w:val="2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BC59" w14:textId="77777777" w:rsidR="00F57E94" w:rsidRPr="008719C3" w:rsidRDefault="00F57E94" w:rsidP="00DC5AEF">
            <w:pPr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6851" w14:textId="77777777" w:rsidR="00F57E94" w:rsidRPr="008719C3" w:rsidRDefault="00F57E94" w:rsidP="00DC5AEF">
            <w:pPr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7EE" w14:textId="77777777" w:rsidR="00F57E94" w:rsidRPr="008719C3" w:rsidRDefault="00F57E94" w:rsidP="00DC5AEF">
            <w:pPr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Put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EA65" w14:textId="77777777" w:rsidR="00F57E94" w:rsidRPr="008719C3" w:rsidRDefault="00F57E94" w:rsidP="00DC5AEF">
            <w:pPr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N(d1)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02BA" w14:textId="77777777" w:rsidR="00F57E94" w:rsidRPr="008719C3" w:rsidRDefault="00F57E94" w:rsidP="00DC5AEF">
            <w:pPr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N(d2)</w:t>
            </w:r>
          </w:p>
        </w:tc>
      </w:tr>
      <w:tr w:rsidR="00F57E94" w:rsidRPr="008719C3" w14:paraId="301F444C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F789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F9C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31.85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F064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11.98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BBE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0.72294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C0D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0.57166</w:t>
            </w:r>
          </w:p>
        </w:tc>
      </w:tr>
      <w:tr w:rsidR="00F57E94" w:rsidRPr="008719C3" w14:paraId="436E0A8E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EC94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127.5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C2DB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27.94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2447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15.29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6DAA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0.67151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039A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0.51320</w:t>
            </w:r>
          </w:p>
        </w:tc>
      </w:tr>
      <w:tr w:rsidR="00F57E94" w:rsidRPr="008719C3" w14:paraId="59BDFBEA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BABB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8D46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24.43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7B49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19.00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9CF3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0.61982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F2D1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0.45780</w:t>
            </w:r>
          </w:p>
        </w:tc>
      </w:tr>
      <w:tr w:rsidR="00F57E94" w:rsidRPr="008719C3" w14:paraId="73D1B961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1E7E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BA7E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18.55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2AC5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27.57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ADD8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0.51940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0EFB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0.35855</w:t>
            </w:r>
          </w:p>
        </w:tc>
      </w:tr>
      <w:tr w:rsidR="00F57E94" w:rsidRPr="008719C3" w14:paraId="3900238C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A45D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157.5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73CD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16.12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6E84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32.37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F22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0.47207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CBBE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0.31524</w:t>
            </w:r>
          </w:p>
        </w:tc>
      </w:tr>
      <w:tr w:rsidR="00F57E94" w:rsidRPr="008719C3" w14:paraId="264A7B48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7E6F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5A96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13.99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2CC6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37.46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5A35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0.42729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7886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0.27617</w:t>
            </w:r>
          </w:p>
        </w:tc>
      </w:tr>
      <w:tr w:rsidR="00F57E94" w:rsidRPr="008719C3" w14:paraId="375983F0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4164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172.5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50B3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12.12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C5C8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42.82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2EF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0.38536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F63E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0.24121</w:t>
            </w:r>
          </w:p>
        </w:tc>
      </w:tr>
      <w:tr w:rsidR="00F57E94" w:rsidRPr="008719C3" w14:paraId="5E621B9F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58BF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179.25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409A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10.65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03AC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47.84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0C0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0.35018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D6FB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0.21307</w:t>
            </w:r>
          </w:p>
        </w:tc>
      </w:tr>
      <w:tr w:rsidR="00F57E94" w:rsidRPr="008719C3" w14:paraId="7C5137F4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84B1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187.5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7AA8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9.08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385B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54.22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ACCF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0.31054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726A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0.18265</w:t>
            </w:r>
          </w:p>
        </w:tc>
      </w:tr>
      <w:tr w:rsidR="00F57E94" w:rsidRPr="008719C3" w14:paraId="072BAC34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77C3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195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51DF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7.85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D6A4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60.21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2A85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0.27768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FB18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0.15848</w:t>
            </w:r>
          </w:p>
        </w:tc>
      </w:tr>
      <w:tr w:rsidR="00F57E94" w:rsidRPr="008719C3" w14:paraId="7B279524" w14:textId="77777777" w:rsidTr="00DC5AEF">
        <w:trPr>
          <w:trHeight w:val="2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EA42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 w:rsidRPr="008719C3">
              <w:rPr>
                <w:rFonts w:ascii="Arial" w:hAnsi="Arial" w:cs="Arial"/>
                <w:i/>
                <w:iCs/>
                <w:sz w:val="20"/>
              </w:rPr>
              <w:t>208.5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B5A0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6.03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9830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71.40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33D8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0.22584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A71B" w14:textId="77777777" w:rsidR="00F57E94" w:rsidRPr="008719C3" w:rsidRDefault="00F57E94" w:rsidP="00DC5AEF">
            <w:pPr>
              <w:jc w:val="right"/>
              <w:rPr>
                <w:rFonts w:ascii="Arial" w:hAnsi="Arial" w:cs="Arial"/>
                <w:sz w:val="20"/>
              </w:rPr>
            </w:pPr>
            <w:r w:rsidRPr="008719C3">
              <w:rPr>
                <w:rFonts w:ascii="Arial" w:hAnsi="Arial" w:cs="Arial"/>
                <w:sz w:val="20"/>
              </w:rPr>
              <w:t>0.12229</w:t>
            </w:r>
          </w:p>
        </w:tc>
      </w:tr>
    </w:tbl>
    <w:p w14:paraId="7F44C34E" w14:textId="77777777" w:rsidR="00F57E94" w:rsidRPr="00631099" w:rsidRDefault="00F57E94" w:rsidP="00F57E94">
      <w:pPr>
        <w:rPr>
          <w:b/>
          <w:u w:val="single"/>
        </w:rPr>
      </w:pPr>
      <w:r w:rsidRPr="00631099">
        <w:rPr>
          <w:b/>
          <w:u w:val="single"/>
        </w:rPr>
        <w:br w:type="page"/>
      </w:r>
    </w:p>
    <w:p w14:paraId="173A25BE" w14:textId="77777777" w:rsidR="00C77538" w:rsidRPr="00C77538" w:rsidRDefault="00C77538" w:rsidP="00F57E94">
      <w:pPr>
        <w:jc w:val="center"/>
        <w:rPr>
          <w:sz w:val="24"/>
        </w:rPr>
      </w:pPr>
    </w:p>
    <w:sectPr w:rsidR="00C77538" w:rsidRPr="00C77538" w:rsidSect="00F351C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AE5BC" w14:textId="77777777" w:rsidR="00BD75C1" w:rsidRDefault="00BD75C1">
      <w:r>
        <w:separator/>
      </w:r>
    </w:p>
  </w:endnote>
  <w:endnote w:type="continuationSeparator" w:id="0">
    <w:p w14:paraId="6A450E52" w14:textId="77777777" w:rsidR="00BD75C1" w:rsidRDefault="00BD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CECC7" w14:textId="77777777" w:rsidR="002246A9" w:rsidRDefault="00224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2ED0F" w14:textId="77777777" w:rsidR="002246A9" w:rsidRDefault="002246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09C34" w14:textId="77777777" w:rsidR="002246A9" w:rsidRDefault="00224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3DEDD" w14:textId="77777777" w:rsidR="00BD75C1" w:rsidRDefault="00BD75C1">
      <w:r>
        <w:separator/>
      </w:r>
    </w:p>
  </w:footnote>
  <w:footnote w:type="continuationSeparator" w:id="0">
    <w:p w14:paraId="7DF1CB50" w14:textId="77777777" w:rsidR="00BD75C1" w:rsidRDefault="00BD75C1">
      <w:r>
        <w:continuationSeparator/>
      </w:r>
    </w:p>
  </w:footnote>
  <w:footnote w:id="1">
    <w:p w14:paraId="39CBF437" w14:textId="180855D5" w:rsidR="00BD616E" w:rsidRDefault="00BD616E">
      <w:pPr>
        <w:pStyle w:val="FootnoteText"/>
      </w:pPr>
      <w:r>
        <w:rPr>
          <w:rStyle w:val="FootnoteReference"/>
        </w:rPr>
        <w:footnoteRef/>
      </w:r>
      <w:r>
        <w:t xml:space="preserve"> Technically the </w:t>
      </w:r>
      <w:proofErr w:type="spellStart"/>
      <w:r>
        <w:t>Eurostoxx</w:t>
      </w:r>
      <w:proofErr w:type="spellEnd"/>
      <w:r>
        <w:t xml:space="preserve"> index is denominated in Euros but the payoff of the security is in USD. This makes this product a “</w:t>
      </w:r>
      <w:proofErr w:type="spellStart"/>
      <w:r>
        <w:t>quanto</w:t>
      </w:r>
      <w:proofErr w:type="spellEnd"/>
      <w:r>
        <w:t xml:space="preserve">” which makes the valuation a little more challenging. For now just treat the </w:t>
      </w:r>
      <w:proofErr w:type="spellStart"/>
      <w:r>
        <w:t>Eurostoxx</w:t>
      </w:r>
      <w:proofErr w:type="spellEnd"/>
      <w:r>
        <w:t xml:space="preserve"> product as if it were a regular US index like the S&amp;P 500. We will see </w:t>
      </w:r>
      <w:proofErr w:type="spellStart"/>
      <w:r>
        <w:t>quantos</w:t>
      </w:r>
      <w:proofErr w:type="spellEnd"/>
      <w:r>
        <w:t xml:space="preserve"> later in the course.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4713E" w14:textId="77777777" w:rsidR="002246A9" w:rsidRDefault="00224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EA3AF" w14:textId="276A71C2" w:rsidR="00F351C8" w:rsidRDefault="00F351C8" w:rsidP="00F351C8">
    <w:pPr>
      <w:pStyle w:val="Header"/>
    </w:pPr>
    <w:r>
      <w:t xml:space="preserve">Finance 514                                                                                                             </w:t>
    </w:r>
    <w:r w:rsidR="00C637AE">
      <w:t xml:space="preserve">                     </w:t>
    </w:r>
    <w:r w:rsidR="008D387E">
      <w:t>Fall</w:t>
    </w:r>
    <w:r w:rsidR="000F1289">
      <w:t xml:space="preserve"> 201</w:t>
    </w:r>
    <w:r w:rsidR="00A032CB">
      <w:t>8</w:t>
    </w:r>
    <w:r>
      <w:t xml:space="preserve">                                                                                </w:t>
    </w:r>
  </w:p>
  <w:p w14:paraId="259A3E6D" w14:textId="77777777" w:rsidR="00F351C8" w:rsidRDefault="00F351C8" w:rsidP="00F351C8">
    <w:pPr>
      <w:pStyle w:val="Header"/>
    </w:pPr>
    <w:r>
      <w:t>Financial Engineering II</w:t>
    </w:r>
    <w:r>
      <w:tab/>
      <w:t xml:space="preserve">                                                                                                       Martin Widdicks</w:t>
    </w:r>
    <w:r>
      <w:tab/>
    </w:r>
    <w:r>
      <w:tab/>
    </w:r>
    <w:r>
      <w:tab/>
      <w:t xml:space="preserve">         </w:t>
    </w:r>
    <w:r>
      <w:tab/>
    </w:r>
    <w:r>
      <w:tab/>
      <w:t xml:space="preserve">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659E4" w14:textId="77777777" w:rsidR="002246A9" w:rsidRDefault="00224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189F"/>
    <w:multiLevelType w:val="hybridMultilevel"/>
    <w:tmpl w:val="49E690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9693C"/>
    <w:multiLevelType w:val="hybridMultilevel"/>
    <w:tmpl w:val="E362D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0DC"/>
    <w:multiLevelType w:val="hybridMultilevel"/>
    <w:tmpl w:val="97448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1877"/>
    <w:multiLevelType w:val="hybridMultilevel"/>
    <w:tmpl w:val="1C86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F97"/>
    <w:multiLevelType w:val="hybridMultilevel"/>
    <w:tmpl w:val="6DFCF5A6"/>
    <w:lvl w:ilvl="0" w:tplc="031A67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4587F"/>
    <w:multiLevelType w:val="hybridMultilevel"/>
    <w:tmpl w:val="3CC4AE28"/>
    <w:lvl w:ilvl="0" w:tplc="43180B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640A1D"/>
    <w:multiLevelType w:val="hybridMultilevel"/>
    <w:tmpl w:val="2B667090"/>
    <w:lvl w:ilvl="0" w:tplc="87AA051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5E0DED"/>
    <w:multiLevelType w:val="hybridMultilevel"/>
    <w:tmpl w:val="7C263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0120BF"/>
    <w:rsid w:val="0004609A"/>
    <w:rsid w:val="000F1289"/>
    <w:rsid w:val="001027A7"/>
    <w:rsid w:val="002027A6"/>
    <w:rsid w:val="002246A9"/>
    <w:rsid w:val="00233E12"/>
    <w:rsid w:val="00341122"/>
    <w:rsid w:val="003F24A0"/>
    <w:rsid w:val="003F584E"/>
    <w:rsid w:val="004119BA"/>
    <w:rsid w:val="00424FB2"/>
    <w:rsid w:val="00462E4A"/>
    <w:rsid w:val="00480703"/>
    <w:rsid w:val="004A2419"/>
    <w:rsid w:val="005443D4"/>
    <w:rsid w:val="00613BE8"/>
    <w:rsid w:val="0066783A"/>
    <w:rsid w:val="006D1B43"/>
    <w:rsid w:val="00701249"/>
    <w:rsid w:val="00717CF2"/>
    <w:rsid w:val="007A00ED"/>
    <w:rsid w:val="007A0DDE"/>
    <w:rsid w:val="007A750E"/>
    <w:rsid w:val="00846E77"/>
    <w:rsid w:val="008608E8"/>
    <w:rsid w:val="008A34AD"/>
    <w:rsid w:val="008C09F7"/>
    <w:rsid w:val="008C2136"/>
    <w:rsid w:val="008D387E"/>
    <w:rsid w:val="008E4728"/>
    <w:rsid w:val="009162C3"/>
    <w:rsid w:val="00927CE6"/>
    <w:rsid w:val="00927E88"/>
    <w:rsid w:val="00A032CB"/>
    <w:rsid w:val="00A3213A"/>
    <w:rsid w:val="00A33957"/>
    <w:rsid w:val="00AB48C9"/>
    <w:rsid w:val="00B3145B"/>
    <w:rsid w:val="00B6386A"/>
    <w:rsid w:val="00B84D52"/>
    <w:rsid w:val="00B96EB0"/>
    <w:rsid w:val="00BD616E"/>
    <w:rsid w:val="00BD75C1"/>
    <w:rsid w:val="00C338A8"/>
    <w:rsid w:val="00C449EA"/>
    <w:rsid w:val="00C637AE"/>
    <w:rsid w:val="00C77538"/>
    <w:rsid w:val="00D23ED0"/>
    <w:rsid w:val="00D760C4"/>
    <w:rsid w:val="00D96A0B"/>
    <w:rsid w:val="00DB2981"/>
    <w:rsid w:val="00DF35F5"/>
    <w:rsid w:val="00DF62D3"/>
    <w:rsid w:val="00E01DF8"/>
    <w:rsid w:val="00E47145"/>
    <w:rsid w:val="00E65956"/>
    <w:rsid w:val="00EB27BD"/>
    <w:rsid w:val="00F351C8"/>
    <w:rsid w:val="00F57E94"/>
    <w:rsid w:val="00FC5A57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F51A33"/>
  <w15:docId w15:val="{B41094F2-2FDE-4A2B-BEFA-DE5DF441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2">
    <w:name w:val="heading 2"/>
    <w:basedOn w:val="Normal"/>
    <w:next w:val="Normal"/>
    <w:link w:val="Heading2Char"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2Char">
    <w:name w:val="Heading 2 Char"/>
    <w:link w:val="Heading2"/>
    <w:semiHidden/>
    <w:rsid w:val="0039714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6386A"/>
    <w:pPr>
      <w:ind w:left="720"/>
    </w:pPr>
  </w:style>
  <w:style w:type="character" w:customStyle="1" w:styleId="FooterChar">
    <w:name w:val="Footer Char"/>
    <w:link w:val="Footer"/>
    <w:uiPriority w:val="99"/>
    <w:rsid w:val="00B3145B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145B"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rsid w:val="00B3145B"/>
    <w:rPr>
      <w:vertAlign w:val="superscript"/>
    </w:rPr>
  </w:style>
  <w:style w:type="table" w:styleId="TableGrid">
    <w:name w:val="Table Grid"/>
    <w:basedOn w:val="TableNormal"/>
    <w:rsid w:val="00D96A0B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A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472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32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s://www.sec.gov/Archives/edgar/data/1114446/000091412118000095/ub40996089-424b2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39DEF-E152-42AA-B8D4-68649E35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mil44</dc:creator>
  <cp:lastModifiedBy>Widdicks, Martin</cp:lastModifiedBy>
  <cp:revision>4</cp:revision>
  <cp:lastPrinted>2016-01-28T15:33:00Z</cp:lastPrinted>
  <dcterms:created xsi:type="dcterms:W3CDTF">2018-01-29T21:41:00Z</dcterms:created>
  <dcterms:modified xsi:type="dcterms:W3CDTF">2018-01-29T21:45:00Z</dcterms:modified>
</cp:coreProperties>
</file>