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FCF24" w14:textId="788A572A" w:rsidR="005E3EB9" w:rsidRPr="005E3EB9" w:rsidRDefault="005E3EB9" w:rsidP="005E3EB9">
      <w:pPr>
        <w:jc w:val="center"/>
        <w:rPr>
          <w:b/>
          <w:bCs/>
          <w:sz w:val="24"/>
          <w:szCs w:val="24"/>
        </w:rPr>
      </w:pPr>
      <w:r w:rsidRPr="005E3EB9">
        <w:rPr>
          <w:b/>
          <w:bCs/>
          <w:sz w:val="24"/>
          <w:szCs w:val="24"/>
        </w:rPr>
        <w:t>FIN521: Advanced Corporate Finance</w:t>
      </w:r>
    </w:p>
    <w:p w14:paraId="07EC33FA" w14:textId="4D83395A" w:rsidR="005E3EB9" w:rsidRDefault="005E3EB9" w:rsidP="005E3EB9">
      <w:pPr>
        <w:jc w:val="center"/>
      </w:pPr>
      <w:r>
        <w:t>Case 3: Midland Energy</w:t>
      </w:r>
    </w:p>
    <w:p w14:paraId="6E3EE436" w14:textId="77777777" w:rsidR="005E3EB9" w:rsidRDefault="005E3EB9" w:rsidP="005E3EB9">
      <w:pPr>
        <w:jc w:val="center"/>
      </w:pPr>
    </w:p>
    <w:p w14:paraId="50184105" w14:textId="3E3C180C" w:rsidR="005E3EB9" w:rsidRDefault="005E3EB9" w:rsidP="005E3EB9">
      <w:pPr>
        <w:jc w:val="center"/>
      </w:pPr>
      <w:proofErr w:type="spellStart"/>
      <w:r>
        <w:t>Soyeon</w:t>
      </w:r>
      <w:proofErr w:type="spellEnd"/>
      <w:r>
        <w:t xml:space="preserve"> Chang, </w:t>
      </w:r>
      <w:proofErr w:type="spellStart"/>
      <w:r>
        <w:t>Wanbae</w:t>
      </w:r>
      <w:proofErr w:type="spellEnd"/>
      <w:r>
        <w:t xml:space="preserve"> Park, </w:t>
      </w:r>
      <w:proofErr w:type="spellStart"/>
      <w:r>
        <w:t>Inhyuk</w:t>
      </w:r>
      <w:proofErr w:type="spellEnd"/>
      <w:r>
        <w:t xml:space="preserve"> Lee, </w:t>
      </w:r>
      <w:proofErr w:type="spellStart"/>
      <w:r>
        <w:t>Sangwoo</w:t>
      </w:r>
      <w:proofErr w:type="spellEnd"/>
      <w:r>
        <w:t xml:space="preserve"> Park</w:t>
      </w:r>
    </w:p>
    <w:p w14:paraId="0B92C096" w14:textId="77777777" w:rsidR="005E3EB9" w:rsidRDefault="005E3EB9"/>
    <w:p w14:paraId="1EF2BE7F" w14:textId="77777777" w:rsidR="00CA647A" w:rsidRDefault="00180904">
      <w:r>
        <w:t xml:space="preserve">1. For what types of decisions are Mortensen’s estimates of Midland’s cost of capital used? </w:t>
      </w:r>
    </w:p>
    <w:p w14:paraId="6182D312" w14:textId="77777777" w:rsidR="00CA647A" w:rsidRDefault="00CA647A"/>
    <w:p w14:paraId="72E83792" w14:textId="77777777" w:rsidR="00CA647A" w:rsidRDefault="00180904">
      <w:pPr>
        <w:numPr>
          <w:ilvl w:val="0"/>
          <w:numId w:val="4"/>
        </w:numPr>
        <w:contextualSpacing/>
      </w:pPr>
      <w:r>
        <w:t>Midland’s cost of capital are used in analysis including asset appraisals for both capital budgeting and financial accounting, performance assessments, M&amp;A proposals, and stock repurchase decisions.</w:t>
      </w:r>
    </w:p>
    <w:p w14:paraId="51A8DAAB" w14:textId="77777777" w:rsidR="00CA647A" w:rsidRDefault="00180904">
      <w:r>
        <w:t xml:space="preserve"> </w:t>
      </w:r>
    </w:p>
    <w:p w14:paraId="55D9AB0F" w14:textId="77777777" w:rsidR="00CA647A" w:rsidRDefault="00180904">
      <w:r>
        <w:t xml:space="preserve">2. </w:t>
      </w:r>
    </w:p>
    <w:p w14:paraId="1A844F98" w14:textId="77777777" w:rsidR="00CA647A" w:rsidRDefault="00180904">
      <w:r>
        <w:t xml:space="preserve">a. What is Midland’s current Net Debt and market leverage? (you can assume all cash is excess except “restricted cash”) </w:t>
      </w:r>
    </w:p>
    <w:p w14:paraId="60EE3855" w14:textId="77777777" w:rsidR="00CA647A" w:rsidRDefault="00CA647A"/>
    <w:p w14:paraId="2DF404F9" w14:textId="77777777" w:rsidR="00CA647A" w:rsidRDefault="00180904">
      <w:pPr>
        <w:numPr>
          <w:ilvl w:val="0"/>
          <w:numId w:val="2"/>
        </w:numPr>
        <w:contextualSpacing/>
      </w:pPr>
      <w:r>
        <w:t xml:space="preserve">Net Debt = Current portion of LT debt + LT debt - Cash and Cash Equivalent = </w:t>
      </w:r>
      <w:r>
        <w:rPr>
          <w:sz w:val="20"/>
          <w:szCs w:val="20"/>
        </w:rPr>
        <w:t xml:space="preserve"> 101,845 - 19,206 =  82,639 </w:t>
      </w:r>
    </w:p>
    <w:p w14:paraId="056F941C" w14:textId="77777777" w:rsidR="00CA647A" w:rsidRDefault="00180904">
      <w:pPr>
        <w:numPr>
          <w:ilvl w:val="0"/>
          <w:numId w:val="2"/>
        </w:numPr>
        <w:contextualSpacing/>
      </w:pPr>
      <w:r>
        <w:t xml:space="preserve">Market leverage = Debt/ ($stock * share outstanding)  = </w:t>
      </w:r>
      <w:r>
        <w:rPr>
          <w:sz w:val="20"/>
          <w:szCs w:val="20"/>
        </w:rPr>
        <w:t xml:space="preserve"> 82,639 / 130168.61 = 63.49%</w:t>
      </w:r>
    </w:p>
    <w:p w14:paraId="2491ACDF" w14:textId="77777777" w:rsidR="00CA647A" w:rsidRDefault="00CA647A"/>
    <w:p w14:paraId="03A1B16B" w14:textId="77777777" w:rsidR="00CA647A" w:rsidRDefault="00180904">
      <w:r>
        <w:t>b. Calculate Midland’s current cost of equity, cost of debt, and corporate (firm-level) WACC. Note: To calculate the cost of debt capital you can assume that the firm’s β</w:t>
      </w:r>
      <w:r>
        <w:rPr>
          <w:vertAlign w:val="subscript"/>
        </w:rPr>
        <w:t>D</w:t>
      </w:r>
      <w:r>
        <w:t>=0.05, and that this debt beta stays constant in a reasonable range around the Midland’s target leverage (</w:t>
      </w:r>
      <w:r>
        <w:rPr>
          <w:i/>
        </w:rPr>
        <w:t>i.e.</w:t>
      </w:r>
      <w:r>
        <w:t xml:space="preserve">, </w:t>
      </w:r>
      <w:r>
        <w:rPr>
          <w:i/>
        </w:rPr>
        <w:t xml:space="preserve">ignore </w:t>
      </w:r>
      <w:r>
        <w:t xml:space="preserve">the yield spreads given in Table 1 in the case and the discussion on the bottom of page 5). </w:t>
      </w:r>
    </w:p>
    <w:p w14:paraId="6D201781" w14:textId="77777777" w:rsidR="00CA647A" w:rsidRDefault="00CA647A"/>
    <w:tbl>
      <w:tblPr>
        <w:tblStyle w:val="a"/>
        <w:tblW w:w="3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</w:tblGrid>
      <w:tr w:rsidR="00CA647A" w14:paraId="4ED00889" w14:textId="77777777" w:rsidTr="00C801E6">
        <w:trPr>
          <w:trHeight w:val="300"/>
          <w:jc w:val="center"/>
        </w:trPr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32B491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Risk free rate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45C62A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4.98%</w:t>
            </w:r>
          </w:p>
        </w:tc>
      </w:tr>
      <w:tr w:rsidR="00CA647A" w14:paraId="462CF2EF" w14:textId="77777777" w:rsidTr="00C801E6">
        <w:trPr>
          <w:trHeight w:val="3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E440FF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EMRP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E2637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5.00%</w:t>
            </w:r>
          </w:p>
        </w:tc>
      </w:tr>
      <w:tr w:rsidR="00CA647A" w14:paraId="4DDA9C2F" w14:textId="77777777" w:rsidTr="00C801E6">
        <w:trPr>
          <w:trHeight w:val="3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708454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t>βd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916BA0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</w:tr>
      <w:tr w:rsidR="00CA647A" w14:paraId="623974C8" w14:textId="77777777" w:rsidTr="00C801E6">
        <w:trPr>
          <w:trHeight w:val="3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6A6B7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6AD0C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40.00%</w:t>
            </w:r>
          </w:p>
        </w:tc>
      </w:tr>
      <w:tr w:rsidR="00CA647A" w14:paraId="1D46036A" w14:textId="77777777" w:rsidTr="00C801E6">
        <w:trPr>
          <w:trHeight w:val="3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420B2D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of Debt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3941D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5.23%</w:t>
            </w:r>
          </w:p>
        </w:tc>
      </w:tr>
    </w:tbl>
    <w:p w14:paraId="21FDBC1F" w14:textId="77777777" w:rsidR="00CA647A" w:rsidRDefault="00CA647A"/>
    <w:tbl>
      <w:tblPr>
        <w:tblStyle w:val="a0"/>
        <w:tblW w:w="3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</w:tblGrid>
      <w:tr w:rsidR="00CA647A" w14:paraId="2D31C57B" w14:textId="77777777" w:rsidTr="00C801E6">
        <w:trPr>
          <w:trHeight w:val="300"/>
          <w:jc w:val="center"/>
        </w:trPr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26B719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t>βe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4AF8A6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1.25</w:t>
            </w:r>
          </w:p>
        </w:tc>
      </w:tr>
      <w:tr w:rsidR="00CA647A" w14:paraId="67714C0E" w14:textId="77777777" w:rsidTr="00C801E6">
        <w:trPr>
          <w:trHeight w:val="3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71DCF8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of Equity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6F567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11.23%</w:t>
            </w:r>
          </w:p>
        </w:tc>
      </w:tr>
    </w:tbl>
    <w:p w14:paraId="007F948C" w14:textId="77777777" w:rsidR="00CA647A" w:rsidRDefault="00CA647A"/>
    <w:tbl>
      <w:tblPr>
        <w:tblStyle w:val="a1"/>
        <w:tblW w:w="45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</w:tblGrid>
      <w:tr w:rsidR="00CA647A" w14:paraId="59F03E13" w14:textId="77777777" w:rsidTr="00C801E6">
        <w:trPr>
          <w:trHeight w:val="300"/>
          <w:jc w:val="center"/>
        </w:trPr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728212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Equity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F4C3C1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130168.61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06B8E6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61.17%</w:t>
            </w:r>
          </w:p>
        </w:tc>
      </w:tr>
      <w:tr w:rsidR="00CA647A" w14:paraId="2A98CEDF" w14:textId="77777777" w:rsidTr="00C801E6">
        <w:trPr>
          <w:trHeight w:val="3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A35AB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39C800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82,639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BA6A9D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38.83%</w:t>
            </w:r>
          </w:p>
        </w:tc>
      </w:tr>
      <w:tr w:rsidR="00CA647A" w14:paraId="06EDAF3E" w14:textId="77777777" w:rsidTr="00C801E6">
        <w:trPr>
          <w:trHeight w:val="3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450B14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C6DA17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212807.6808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A98204" w14:textId="77777777" w:rsidR="00CA647A" w:rsidRDefault="00CA647A">
            <w:pPr>
              <w:widowControl w:val="0"/>
              <w:rPr>
                <w:sz w:val="20"/>
                <w:szCs w:val="20"/>
              </w:rPr>
            </w:pPr>
          </w:p>
        </w:tc>
      </w:tr>
      <w:tr w:rsidR="00CA647A" w14:paraId="6C4DD585" w14:textId="77777777" w:rsidTr="00C801E6">
        <w:trPr>
          <w:trHeight w:val="3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8A48E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WACC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DBCEB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8.09%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C55B56" w14:textId="77777777" w:rsidR="00CA647A" w:rsidRDefault="00CA647A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01054303" w14:textId="77777777" w:rsidR="00CA647A" w:rsidRDefault="00CA647A"/>
    <w:p w14:paraId="3541B284" w14:textId="77777777" w:rsidR="000D34E3" w:rsidRDefault="000D34E3"/>
    <w:p w14:paraId="346A4F9D" w14:textId="77777777" w:rsidR="000D34E3" w:rsidRDefault="000D34E3"/>
    <w:p w14:paraId="6D7D15D2" w14:textId="77777777" w:rsidR="000D34E3" w:rsidRDefault="000D34E3"/>
    <w:p w14:paraId="41E86896" w14:textId="77777777" w:rsidR="00CA647A" w:rsidRDefault="00180904">
      <w:r>
        <w:t xml:space="preserve">c. What would Midland’s corporate cost of equity and WACC be if Midland reaches its “target” leverage of 42.2% (net)debt/value? </w:t>
      </w:r>
    </w:p>
    <w:p w14:paraId="0C011990" w14:textId="77777777" w:rsidR="00CA647A" w:rsidRDefault="00CA647A"/>
    <w:tbl>
      <w:tblPr>
        <w:tblStyle w:val="a2"/>
        <w:tblW w:w="7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1290"/>
        <w:gridCol w:w="2295"/>
        <w:gridCol w:w="1170"/>
      </w:tblGrid>
      <w:tr w:rsidR="00CA647A" w14:paraId="2150A79E" w14:textId="77777777" w:rsidTr="00C801E6">
        <w:trPr>
          <w:trHeight w:val="260"/>
          <w:jc w:val="center"/>
        </w:trPr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3E6ACD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 Leverage</w:t>
            </w:r>
          </w:p>
        </w:tc>
        <w:tc>
          <w:tcPr>
            <w:tcW w:w="129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940ADE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42.20%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1E308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Unlevered cost of asset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1F7177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8.90%</w:t>
            </w:r>
          </w:p>
        </w:tc>
      </w:tr>
      <w:tr w:rsidR="00CA647A" w14:paraId="3065F036" w14:textId="77777777" w:rsidTr="00C801E6">
        <w:trPr>
          <w:trHeight w:val="280"/>
          <w:jc w:val="center"/>
        </w:trPr>
        <w:tc>
          <w:tcPr>
            <w:tcW w:w="232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3B1385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spread to treasury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6894DB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1.62%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237098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 cost of equity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A36BA7" w14:textId="77777777" w:rsidR="00CA647A" w:rsidRDefault="00180904">
            <w:pPr>
              <w:widowControl w:val="0"/>
              <w:jc w:val="right"/>
              <w:rPr>
                <w:sz w:val="20"/>
                <w:szCs w:val="20"/>
                <w:shd w:val="clear" w:color="auto" w:fill="FCE5CD"/>
              </w:rPr>
            </w:pPr>
            <w:r>
              <w:rPr>
                <w:sz w:val="20"/>
                <w:szCs w:val="20"/>
                <w:shd w:val="clear" w:color="auto" w:fill="FCE5CD"/>
              </w:rPr>
              <w:t>10.58%</w:t>
            </w:r>
          </w:p>
        </w:tc>
      </w:tr>
      <w:tr w:rsidR="00CA647A" w14:paraId="6AD470E9" w14:textId="77777777" w:rsidTr="00C801E6">
        <w:trPr>
          <w:jc w:val="center"/>
        </w:trPr>
        <w:tc>
          <w:tcPr>
            <w:tcW w:w="232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BD1BE9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 Cost of debt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E4A0BF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6.60%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796D5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 WACC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621BE1" w14:textId="77777777" w:rsidR="00CA647A" w:rsidRDefault="00180904">
            <w:pPr>
              <w:widowControl w:val="0"/>
              <w:jc w:val="right"/>
              <w:rPr>
                <w:sz w:val="20"/>
                <w:szCs w:val="20"/>
                <w:shd w:val="clear" w:color="auto" w:fill="FCE5CD"/>
              </w:rPr>
            </w:pPr>
            <w:r>
              <w:rPr>
                <w:sz w:val="20"/>
                <w:szCs w:val="20"/>
                <w:shd w:val="clear" w:color="auto" w:fill="FCE5CD"/>
              </w:rPr>
              <w:t>7.79%</w:t>
            </w:r>
          </w:p>
        </w:tc>
      </w:tr>
    </w:tbl>
    <w:p w14:paraId="72FC833E" w14:textId="77777777" w:rsidR="00CA647A" w:rsidRDefault="00180904">
      <w:r>
        <w:tab/>
      </w:r>
    </w:p>
    <w:p w14:paraId="5C43D13D" w14:textId="77777777" w:rsidR="00CA647A" w:rsidRDefault="00180904">
      <w:r>
        <w:t xml:space="preserve"> </w:t>
      </w:r>
    </w:p>
    <w:p w14:paraId="30BF0AC5" w14:textId="77777777" w:rsidR="00CA647A" w:rsidRDefault="00180904">
      <w:r>
        <w:t xml:space="preserve">3. Should Midland use a single corporate WACC for evaluating investment opportunities in all of its divisions? Why or why not? </w:t>
      </w:r>
    </w:p>
    <w:p w14:paraId="2C0CF9D7" w14:textId="77777777" w:rsidR="00CA647A" w:rsidRDefault="00CA647A"/>
    <w:p w14:paraId="08D97185" w14:textId="77777777" w:rsidR="00CA647A" w:rsidRDefault="00180904">
      <w:pPr>
        <w:numPr>
          <w:ilvl w:val="0"/>
          <w:numId w:val="10"/>
        </w:numPr>
        <w:contextualSpacing/>
      </w:pPr>
      <w:r>
        <w:t>No, as risk exposure, business characteristics and beta of each divisions are different, separate cost of debt and equity should be used.</w:t>
      </w:r>
    </w:p>
    <w:p w14:paraId="18E4A893" w14:textId="77777777" w:rsidR="00CA647A" w:rsidRDefault="00CA647A"/>
    <w:p w14:paraId="1723DE28" w14:textId="77777777" w:rsidR="00CA647A" w:rsidRDefault="00180904">
      <w:r>
        <w:t>4.</w:t>
      </w:r>
    </w:p>
    <w:p w14:paraId="560E5456" w14:textId="1CBBDAE0" w:rsidR="00CA647A" w:rsidRDefault="00180904">
      <w:r>
        <w:t xml:space="preserve"> a. Using the data provided in Exhibit 5, compute a separate cost of capital</w:t>
      </w:r>
      <w:r w:rsidR="00595FB8">
        <w:t xml:space="preserve"> for the E&amp;P and R&amp;M divisions. </w:t>
      </w:r>
      <w:r>
        <w:rPr>
          <w:vertAlign w:val="superscript"/>
        </w:rPr>
        <w:t xml:space="preserve"> </w:t>
      </w:r>
      <w:r>
        <w:t>Assume the E&amp;P division has a 46% D/V and the R&amp;M division has a 31% D/V. Also assume (following Table 12.3 in the textbook) that at these debt levels, the E&amp;P division’s β</w:t>
      </w:r>
      <w:r>
        <w:rPr>
          <w:vertAlign w:val="subscript"/>
        </w:rPr>
        <w:t>D,E&amp;P</w:t>
      </w:r>
      <w:r>
        <w:t>=0.05 and the R&amp;M division’s β</w:t>
      </w:r>
      <w:r>
        <w:rPr>
          <w:vertAlign w:val="subscript"/>
        </w:rPr>
        <w:t>D,R&amp;M</w:t>
      </w:r>
      <w:r w:rsidR="003C6292">
        <w:t>=0.1</w:t>
      </w:r>
    </w:p>
    <w:p w14:paraId="7EC63CBB" w14:textId="77777777" w:rsidR="00CA647A" w:rsidRDefault="00CA647A">
      <w:bookmarkStart w:id="0" w:name="_GoBack"/>
      <w:bookmarkEnd w:id="0"/>
    </w:p>
    <w:tbl>
      <w:tblPr>
        <w:tblStyle w:val="a3"/>
        <w:tblW w:w="6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</w:tblGrid>
      <w:tr w:rsidR="00CA647A" w14:paraId="7CCC78DE" w14:textId="77777777" w:rsidTr="005E3EB9">
        <w:trPr>
          <w:trHeight w:val="300"/>
          <w:jc w:val="center"/>
        </w:trPr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14DBCE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t>βd (E&amp;P)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4129B4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E9BD41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t>βe (E&amp;P)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0E1872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1.21</w:t>
            </w:r>
          </w:p>
        </w:tc>
      </w:tr>
      <w:tr w:rsidR="00CA647A" w14:paraId="54DD114C" w14:textId="77777777" w:rsidTr="005E3EB9">
        <w:trPr>
          <w:trHeight w:val="2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45EA56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of Debt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3BD1AA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5.23%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E73A3B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of Equity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B1AA3F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11.03%</w:t>
            </w:r>
          </w:p>
        </w:tc>
      </w:tr>
      <w:tr w:rsidR="00CA647A" w14:paraId="6423467E" w14:textId="77777777" w:rsidTr="005E3EB9">
        <w:trPr>
          <w:trHeight w:val="14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ED655B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D/V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56183F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46%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ECE79A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WACC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CE5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7DDA0F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7.40%</w:t>
            </w:r>
          </w:p>
        </w:tc>
      </w:tr>
    </w:tbl>
    <w:p w14:paraId="20384F54" w14:textId="77777777" w:rsidR="000D34E3" w:rsidRDefault="000D34E3"/>
    <w:p w14:paraId="38542FD5" w14:textId="77777777" w:rsidR="00CA647A" w:rsidRDefault="00180904">
      <w:r>
        <w:t>,where equity beta of E&amp;P division is equity beta of Wide Plain Petroleum, with similar capital structure.</w:t>
      </w:r>
    </w:p>
    <w:tbl>
      <w:tblPr>
        <w:tblStyle w:val="a4"/>
        <w:tblW w:w="6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</w:tblGrid>
      <w:tr w:rsidR="00CA647A" w14:paraId="70B37896" w14:textId="77777777" w:rsidTr="005E3EB9">
        <w:trPr>
          <w:trHeight w:val="300"/>
          <w:jc w:val="center"/>
        </w:trPr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BD2FA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t>βd(R&amp;M)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997712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79B47E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t>βe(R&amp;M)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0E4680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1.335</w:t>
            </w:r>
          </w:p>
        </w:tc>
      </w:tr>
      <w:tr w:rsidR="00CA647A" w14:paraId="00863EBF" w14:textId="77777777" w:rsidTr="005E3EB9">
        <w:trPr>
          <w:trHeight w:val="12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25F566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of Debt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441AE7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5.48%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C8E962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of Equity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AE29CC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11.66%</w:t>
            </w:r>
          </w:p>
        </w:tc>
      </w:tr>
      <w:tr w:rsidR="00CA647A" w14:paraId="645520F9" w14:textId="77777777" w:rsidTr="005E3EB9">
        <w:trPr>
          <w:trHeight w:val="16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21CB60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D/V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83FF3C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31%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E3928A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WACC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CE5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7987A2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9.06%</w:t>
            </w:r>
          </w:p>
        </w:tc>
      </w:tr>
    </w:tbl>
    <w:p w14:paraId="45210E8F" w14:textId="77777777" w:rsidR="000D34E3" w:rsidRDefault="000D34E3"/>
    <w:p w14:paraId="30DEE978" w14:textId="77777777" w:rsidR="00CA647A" w:rsidRDefault="00180904">
      <w:r>
        <w:t xml:space="preserve">,where equity beta of R&amp;M is average equity beta of </w:t>
      </w:r>
      <w:proofErr w:type="spellStart"/>
      <w:r>
        <w:t>Arkana</w:t>
      </w:r>
      <w:proofErr w:type="spellEnd"/>
      <w:r>
        <w:t xml:space="preserve"> Petroleum Corp.(1.25) and </w:t>
      </w:r>
      <w:proofErr w:type="spellStart"/>
      <w:r>
        <w:t>Dameron</w:t>
      </w:r>
      <w:proofErr w:type="spellEnd"/>
      <w:r>
        <w:t xml:space="preserve"> Fuel Services(1.42).</w:t>
      </w:r>
    </w:p>
    <w:p w14:paraId="72AF617B" w14:textId="77777777" w:rsidR="00CA647A" w:rsidRDefault="00CA647A"/>
    <w:p w14:paraId="4D3B9110" w14:textId="77777777" w:rsidR="00CA647A" w:rsidRDefault="00180904">
      <w:r>
        <w:t xml:space="preserve">b. What are the drivers that causes these WACCs to differ from one another? </w:t>
      </w:r>
    </w:p>
    <w:p w14:paraId="0138E384" w14:textId="77777777" w:rsidR="00CA647A" w:rsidRDefault="00180904">
      <w:pPr>
        <w:numPr>
          <w:ilvl w:val="0"/>
          <w:numId w:val="8"/>
        </w:numPr>
        <w:contextualSpacing/>
      </w:pPr>
      <w:r>
        <w:t xml:space="preserve">As two divisions of business have different betas as they contains the different risk exposure. As a result, both cost of debt and equity of E&amp;P division are smaller than that of R&amp;M division. </w:t>
      </w:r>
    </w:p>
    <w:p w14:paraId="7E7CE41D" w14:textId="77777777" w:rsidR="00CA647A" w:rsidRDefault="00180904">
      <w:pPr>
        <w:numPr>
          <w:ilvl w:val="0"/>
          <w:numId w:val="8"/>
        </w:numPr>
        <w:contextualSpacing/>
      </w:pPr>
      <w:r>
        <w:t xml:space="preserve">But most of all, Capital structure is the key driver to decide WACC as leverage provides the tax benefit. Highly leveraged company takes more advantage through debt financing </w:t>
      </w:r>
      <w:r>
        <w:lastRenderedPageBreak/>
        <w:t>and lower WACC. Therefore, WACC of E&amp;P with high leverage as 46% is way smaller than that of R&amp;M even though difference in debt cost of capital and equity cost of capital is less than 1%.</w:t>
      </w:r>
    </w:p>
    <w:p w14:paraId="18483057" w14:textId="77777777" w:rsidR="00CA647A" w:rsidRDefault="00CA647A"/>
    <w:p w14:paraId="247325BE" w14:textId="77777777" w:rsidR="00CA647A" w:rsidRDefault="00180904">
      <w:r>
        <w:t xml:space="preserve"> </w:t>
      </w:r>
    </w:p>
    <w:p w14:paraId="707B9CF9" w14:textId="77777777" w:rsidR="00CA647A" w:rsidRDefault="00180904">
      <w:r>
        <w:t xml:space="preserve">5. a. Collect data on </w:t>
      </w:r>
      <w:proofErr w:type="spellStart"/>
      <w:r>
        <w:t>comparables</w:t>
      </w:r>
      <w:proofErr w:type="spellEnd"/>
      <w:r>
        <w:t xml:space="preserve"> (</w:t>
      </w:r>
      <w:r>
        <w:rPr>
          <w:i/>
        </w:rPr>
        <w:t>i.e.</w:t>
      </w:r>
      <w:r>
        <w:t xml:space="preserve">, at least three companies with businesses related to the Petrochemicals industry) from your favorite source of financial information (e.g., </w:t>
      </w:r>
      <w:proofErr w:type="spellStart"/>
      <w:r>
        <w:t>CapitalIQ</w:t>
      </w:r>
      <w:proofErr w:type="spellEnd"/>
      <w:r>
        <w:t>, Bloomberg, Yahoo Finance), and use this data to compute a cost of capital for the Petrochemical division (you would ideally get this data from around the same time in 2007, although that’s not required). Assume the Petrochemicals division has a 40% D/V ratio and β</w:t>
      </w:r>
      <w:r>
        <w:rPr>
          <w:vertAlign w:val="subscript"/>
        </w:rPr>
        <w:t>D</w:t>
      </w:r>
      <w:r>
        <w:t xml:space="preserve">=0.05. </w:t>
      </w:r>
    </w:p>
    <w:p w14:paraId="0A9EB013" w14:textId="77777777" w:rsidR="00812B12" w:rsidRDefault="00812B12"/>
    <w:p w14:paraId="11461FF7" w14:textId="5217823F" w:rsidR="008912E1" w:rsidRDefault="008912E1" w:rsidP="008912E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 picked up 6 petrochemical company as comparable company and take the average of six equity betas to calculate the cost of equity of Midland’s petrochemical division.</w:t>
      </w:r>
    </w:p>
    <w:p w14:paraId="68BDD136" w14:textId="77777777" w:rsidR="00CA647A" w:rsidRPr="008912E1" w:rsidRDefault="00CA647A">
      <w:pPr>
        <w:rPr>
          <w:lang w:val="en-US"/>
        </w:rPr>
      </w:pPr>
    </w:p>
    <w:tbl>
      <w:tblPr>
        <w:tblStyle w:val="a5"/>
        <w:tblW w:w="469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265"/>
      </w:tblGrid>
      <w:tr w:rsidR="00CA647A" w14:paraId="617EEA81" w14:textId="77777777" w:rsidTr="005E3EB9">
        <w:trPr>
          <w:trHeight w:val="180"/>
          <w:jc w:val="center"/>
        </w:trPr>
        <w:tc>
          <w:tcPr>
            <w:tcW w:w="4695" w:type="dxa"/>
            <w:gridSpan w:val="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0FFD8D" w14:textId="77777777" w:rsidR="00CA647A" w:rsidRPr="00812B12" w:rsidRDefault="00180904">
            <w:pPr>
              <w:widowControl w:val="0"/>
              <w:jc w:val="center"/>
            </w:pPr>
            <w:r w:rsidRPr="00812B12">
              <w:t>Beta in 2007</w:t>
            </w:r>
          </w:p>
        </w:tc>
      </w:tr>
      <w:tr w:rsidR="00CA647A" w14:paraId="34A7215A" w14:textId="77777777" w:rsidTr="005E3EB9">
        <w:trPr>
          <w:trHeight w:val="180"/>
          <w:jc w:val="center"/>
        </w:trPr>
        <w:tc>
          <w:tcPr>
            <w:tcW w:w="243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F7405C" w14:textId="77777777" w:rsidR="00CA647A" w:rsidRPr="00812B12" w:rsidRDefault="00180904">
            <w:pPr>
              <w:widowControl w:val="0"/>
              <w:jc w:val="center"/>
            </w:pPr>
            <w:r w:rsidRPr="00812B12">
              <w:t>BASF</w:t>
            </w:r>
          </w:p>
        </w:tc>
        <w:tc>
          <w:tcPr>
            <w:tcW w:w="226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6D0009" w14:textId="77777777" w:rsidR="00CA647A" w:rsidRPr="00812B12" w:rsidRDefault="00180904">
            <w:pPr>
              <w:widowControl w:val="0"/>
              <w:jc w:val="center"/>
            </w:pPr>
            <w:r w:rsidRPr="00812B12">
              <w:t>0.88</w:t>
            </w:r>
          </w:p>
        </w:tc>
      </w:tr>
      <w:tr w:rsidR="00CA647A" w14:paraId="5FCCDB17" w14:textId="77777777" w:rsidTr="005E3EB9">
        <w:trPr>
          <w:trHeight w:val="180"/>
          <w:jc w:val="center"/>
        </w:trPr>
        <w:tc>
          <w:tcPr>
            <w:tcW w:w="243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B7497F" w14:textId="77777777" w:rsidR="00CA647A" w:rsidRPr="00812B12" w:rsidRDefault="00180904">
            <w:pPr>
              <w:widowControl w:val="0"/>
              <w:jc w:val="center"/>
            </w:pPr>
            <w:r w:rsidRPr="00812B12">
              <w:t>Dow Chemical</w:t>
            </w:r>
          </w:p>
        </w:tc>
        <w:tc>
          <w:tcPr>
            <w:tcW w:w="226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8B51C6" w14:textId="77777777" w:rsidR="00CA647A" w:rsidRPr="00812B12" w:rsidRDefault="00180904">
            <w:pPr>
              <w:widowControl w:val="0"/>
              <w:jc w:val="center"/>
            </w:pPr>
            <w:r w:rsidRPr="00812B12">
              <w:t>0.95</w:t>
            </w:r>
          </w:p>
        </w:tc>
      </w:tr>
      <w:tr w:rsidR="00CA647A" w14:paraId="1503E160" w14:textId="77777777" w:rsidTr="005E3EB9">
        <w:trPr>
          <w:trHeight w:val="180"/>
          <w:jc w:val="center"/>
        </w:trPr>
        <w:tc>
          <w:tcPr>
            <w:tcW w:w="243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DEA1B" w14:textId="77777777" w:rsidR="00CA647A" w:rsidRPr="00812B12" w:rsidRDefault="00180904">
            <w:pPr>
              <w:widowControl w:val="0"/>
              <w:jc w:val="center"/>
            </w:pPr>
            <w:proofErr w:type="spellStart"/>
            <w:r w:rsidRPr="00812B12">
              <w:t>Ineos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0AE51A" w14:textId="77777777" w:rsidR="00CA647A" w:rsidRPr="00812B12" w:rsidRDefault="00180904">
            <w:pPr>
              <w:widowControl w:val="0"/>
              <w:jc w:val="center"/>
            </w:pPr>
            <w:r w:rsidRPr="00812B12">
              <w:t>0.56</w:t>
            </w:r>
          </w:p>
        </w:tc>
      </w:tr>
      <w:tr w:rsidR="00CA647A" w14:paraId="3AD29CAD" w14:textId="77777777" w:rsidTr="005E3EB9">
        <w:trPr>
          <w:trHeight w:val="180"/>
          <w:jc w:val="center"/>
        </w:trPr>
        <w:tc>
          <w:tcPr>
            <w:tcW w:w="243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E9EBED" w14:textId="77777777" w:rsidR="00CA647A" w:rsidRPr="00812B12" w:rsidRDefault="00180904">
            <w:pPr>
              <w:widowControl w:val="0"/>
              <w:jc w:val="center"/>
            </w:pPr>
            <w:proofErr w:type="spellStart"/>
            <w:r w:rsidRPr="00812B12">
              <w:t>Dupont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0CCAF3" w14:textId="77777777" w:rsidR="00CA647A" w:rsidRPr="00812B12" w:rsidRDefault="00180904">
            <w:pPr>
              <w:widowControl w:val="0"/>
              <w:jc w:val="center"/>
            </w:pPr>
            <w:r w:rsidRPr="00812B12">
              <w:t>1.15</w:t>
            </w:r>
          </w:p>
        </w:tc>
      </w:tr>
      <w:tr w:rsidR="00CA647A" w14:paraId="413C70A3" w14:textId="77777777" w:rsidTr="005E3EB9">
        <w:trPr>
          <w:trHeight w:val="180"/>
          <w:jc w:val="center"/>
        </w:trPr>
        <w:tc>
          <w:tcPr>
            <w:tcW w:w="243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D16EDE" w14:textId="77777777" w:rsidR="00CA647A" w:rsidRPr="00812B12" w:rsidRDefault="00180904">
            <w:pPr>
              <w:widowControl w:val="0"/>
              <w:jc w:val="center"/>
            </w:pPr>
            <w:r w:rsidRPr="00812B12">
              <w:t>Formosa Plastics</w:t>
            </w:r>
          </w:p>
        </w:tc>
        <w:tc>
          <w:tcPr>
            <w:tcW w:w="226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970234" w14:textId="77777777" w:rsidR="00CA647A" w:rsidRPr="00812B12" w:rsidRDefault="00180904">
            <w:pPr>
              <w:widowControl w:val="0"/>
              <w:jc w:val="center"/>
            </w:pPr>
            <w:r w:rsidRPr="00812B12">
              <w:t>0.71</w:t>
            </w:r>
          </w:p>
        </w:tc>
      </w:tr>
      <w:tr w:rsidR="00CA647A" w14:paraId="32BD0DB7" w14:textId="77777777" w:rsidTr="005E3EB9">
        <w:trPr>
          <w:trHeight w:val="180"/>
          <w:jc w:val="center"/>
        </w:trPr>
        <w:tc>
          <w:tcPr>
            <w:tcW w:w="2430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B9FEB2" w14:textId="77777777" w:rsidR="00CA647A" w:rsidRPr="00812B12" w:rsidRDefault="00180904">
            <w:pPr>
              <w:widowControl w:val="0"/>
              <w:jc w:val="center"/>
            </w:pPr>
            <w:r w:rsidRPr="00812B12">
              <w:t>Mitsubishi Chemical</w:t>
            </w:r>
          </w:p>
        </w:tc>
        <w:tc>
          <w:tcPr>
            <w:tcW w:w="226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6CD890" w14:textId="77777777" w:rsidR="00CA647A" w:rsidRPr="00812B12" w:rsidRDefault="00180904">
            <w:pPr>
              <w:widowControl w:val="0"/>
              <w:jc w:val="center"/>
            </w:pPr>
            <w:r w:rsidRPr="00812B12">
              <w:t>0.91</w:t>
            </w:r>
          </w:p>
        </w:tc>
      </w:tr>
      <w:tr w:rsidR="00CA647A" w14:paraId="3B369D6C" w14:textId="77777777" w:rsidTr="005E3EB9">
        <w:trPr>
          <w:trHeight w:val="180"/>
          <w:jc w:val="center"/>
        </w:trPr>
        <w:tc>
          <w:tcPr>
            <w:tcW w:w="24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C3F38F" w14:textId="77777777" w:rsidR="00CA647A" w:rsidRPr="00812B12" w:rsidRDefault="00180904">
            <w:pPr>
              <w:widowControl w:val="0"/>
              <w:jc w:val="center"/>
            </w:pPr>
            <w:r w:rsidRPr="00812B12">
              <w:t>Average Beta</w:t>
            </w:r>
          </w:p>
        </w:tc>
        <w:tc>
          <w:tcPr>
            <w:tcW w:w="22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6372C5" w14:textId="77777777" w:rsidR="00CA647A" w:rsidRPr="00812B12" w:rsidRDefault="00180904">
            <w:pPr>
              <w:widowControl w:val="0"/>
              <w:jc w:val="center"/>
            </w:pPr>
            <w:r w:rsidRPr="00812B12">
              <w:rPr>
                <w:b/>
              </w:rPr>
              <w:t>0.86</w:t>
            </w:r>
          </w:p>
        </w:tc>
      </w:tr>
    </w:tbl>
    <w:p w14:paraId="3942185E" w14:textId="77777777" w:rsidR="00CA647A" w:rsidRDefault="00CA647A"/>
    <w:p w14:paraId="224CCBE1" w14:textId="4CAEE156" w:rsidR="008912E1" w:rsidRPr="008912E1" w:rsidRDefault="008912E1" w:rsidP="008912E1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eastAsia="Times New Roman"/>
        </w:rPr>
      </w:pPr>
      <w:r w:rsidRPr="008912E1">
        <w:rPr>
          <w:rFonts w:eastAsia="Times New Roman"/>
          <w:lang w:val="en-US"/>
        </w:rPr>
        <w:t>By using the average beta above, cost of equity of petrochemical division of Midland Energy was calculated, and it was 8.</w:t>
      </w:r>
      <w:r>
        <w:rPr>
          <w:rFonts w:eastAsia="Times New Roman"/>
          <w:lang w:val="en-US"/>
        </w:rPr>
        <w:t>30</w:t>
      </w:r>
      <w:r w:rsidRPr="008912E1">
        <w:rPr>
          <w:rFonts w:eastAsia="Times New Roman"/>
          <w:lang w:val="en-US"/>
        </w:rPr>
        <w:t>%. Using debt beta, cost of debt was calculated as 6.</w:t>
      </w:r>
      <w:r>
        <w:rPr>
          <w:rFonts w:eastAsia="Times New Roman"/>
          <w:lang w:val="en-US"/>
        </w:rPr>
        <w:t>05</w:t>
      </w:r>
      <w:r w:rsidRPr="008912E1">
        <w:rPr>
          <w:rFonts w:eastAsia="Times New Roman"/>
          <w:lang w:val="en-US"/>
        </w:rPr>
        <w:t>%. Given D/V = 40%, and tax rate = 40%, WACC is calculated as 6.4344%.</w:t>
      </w:r>
    </w:p>
    <w:p w14:paraId="1C54839C" w14:textId="77777777" w:rsidR="00CA647A" w:rsidRPr="008912E1" w:rsidRDefault="00CA647A">
      <w:pPr>
        <w:rPr>
          <w:lang w:val="en-US"/>
        </w:rPr>
      </w:pPr>
    </w:p>
    <w:p w14:paraId="7149BF00" w14:textId="77777777" w:rsidR="00CA647A" w:rsidRDefault="00180904">
      <w:pPr>
        <w:jc w:val="both"/>
      </w:pPr>
      <w:r>
        <w:t xml:space="preserve">b. How would the equity beta and WACC vary for different levels of leverage for this division? Plot </w:t>
      </w:r>
      <w:proofErr w:type="spellStart"/>
      <w:r>
        <w:t>i</w:t>
      </w:r>
      <w:proofErr w:type="spellEnd"/>
      <w:r>
        <w:t xml:space="preserve">) equity beta on D/V, and ii) WACC on D/V (for each D/V between 0%-100% in 10% increments). </w:t>
      </w:r>
      <w:r>
        <w:rPr>
          <w:i/>
        </w:rPr>
        <w:t xml:space="preserve">Hint: </w:t>
      </w:r>
      <w:r>
        <w:t>You will need to “guesstimate” how β</w:t>
      </w:r>
      <w:r>
        <w:rPr>
          <w:vertAlign w:val="subscript"/>
        </w:rPr>
        <w:t xml:space="preserve">D </w:t>
      </w:r>
      <w:r>
        <w:t>will change with leverage, but you nevertheless know that β</w:t>
      </w:r>
      <w:r>
        <w:rPr>
          <w:vertAlign w:val="subscript"/>
        </w:rPr>
        <w:t xml:space="preserve">E at D/V=0% </w:t>
      </w:r>
      <w:r>
        <w:t>= β</w:t>
      </w:r>
      <w:r>
        <w:rPr>
          <w:vertAlign w:val="subscript"/>
        </w:rPr>
        <w:t xml:space="preserve">D at D/V=100% </w:t>
      </w:r>
      <w:r>
        <w:t>=β</w:t>
      </w:r>
      <w:r>
        <w:rPr>
          <w:vertAlign w:val="subscript"/>
        </w:rPr>
        <w:t>A</w:t>
      </w:r>
      <w:r>
        <w:t xml:space="preserve">. </w:t>
      </w:r>
    </w:p>
    <w:p w14:paraId="46AE1B40" w14:textId="77777777" w:rsidR="009A74F2" w:rsidRDefault="009A74F2">
      <w:pPr>
        <w:jc w:val="both"/>
      </w:pPr>
    </w:p>
    <w:p w14:paraId="20584CFB" w14:textId="7C078856" w:rsidR="009A74F2" w:rsidRDefault="009A74F2" w:rsidP="009A74F2">
      <w:pPr>
        <w:pStyle w:val="ListParagraph"/>
        <w:numPr>
          <w:ilvl w:val="0"/>
          <w:numId w:val="7"/>
        </w:numPr>
        <w:jc w:val="both"/>
      </w:pPr>
      <w:r>
        <w:t>We assumed that debt beta increases linearly from zero to asset beta as D/V increases. It makes equity beta equal to asset beta when D/V = 0, and debt beta equal to asset beta when D/V = 100%.</w:t>
      </w:r>
    </w:p>
    <w:p w14:paraId="35316035" w14:textId="77777777" w:rsidR="00CA647A" w:rsidRDefault="00CA647A">
      <w:pPr>
        <w:jc w:val="both"/>
      </w:pPr>
    </w:p>
    <w:p w14:paraId="424498D0" w14:textId="77777777" w:rsidR="00CA647A" w:rsidRDefault="00180904">
      <w:pPr>
        <w:numPr>
          <w:ilvl w:val="0"/>
          <w:numId w:val="7"/>
        </w:numPr>
        <w:contextualSpacing/>
        <w:jc w:val="both"/>
      </w:pPr>
      <w:r>
        <w:t>The plot below represents equity beta corresponding to D/V ratio. It can be shown that equity beta increases as debt-to-value ratio increases. It is consistent to Modigliani and Miller theorem.</w:t>
      </w:r>
    </w:p>
    <w:p w14:paraId="00A56942" w14:textId="0C503B92" w:rsidR="008912E1" w:rsidRDefault="008912E1" w:rsidP="008912E1">
      <w:pPr>
        <w:ind w:left="720"/>
        <w:contextualSpacing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D0A0C94" wp14:editId="3A0DD05C">
            <wp:extent cx="3231662" cy="1841500"/>
            <wp:effectExtent l="0" t="0" r="19685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CA728F2" w14:textId="6CCA98D8" w:rsidR="00CA647A" w:rsidRDefault="00CA647A">
      <w:pPr>
        <w:jc w:val="center"/>
      </w:pPr>
    </w:p>
    <w:p w14:paraId="13DAAD66" w14:textId="77777777" w:rsidR="00CA647A" w:rsidRDefault="00180904">
      <w:pPr>
        <w:numPr>
          <w:ilvl w:val="0"/>
          <w:numId w:val="1"/>
        </w:numPr>
        <w:contextualSpacing/>
      </w:pPr>
      <w:r>
        <w:t>The plot below shows WACC correspond to D/V ratio. It shows that WACC decreases as debt-to-value ratio increases. It is because increase in debt has a tax shield.</w:t>
      </w:r>
    </w:p>
    <w:p w14:paraId="6D5537E8" w14:textId="77777777" w:rsidR="00595FB8" w:rsidRDefault="00595FB8" w:rsidP="00595FB8">
      <w:pPr>
        <w:ind w:left="720"/>
        <w:contextualSpacing/>
      </w:pPr>
    </w:p>
    <w:p w14:paraId="473AE198" w14:textId="2D619DDF" w:rsidR="00CA647A" w:rsidRDefault="008912E1" w:rsidP="00595FB8">
      <w:pPr>
        <w:ind w:firstLine="360"/>
        <w:jc w:val="center"/>
      </w:pPr>
      <w:r>
        <w:rPr>
          <w:noProof/>
          <w:lang w:val="en-US"/>
        </w:rPr>
        <w:drawing>
          <wp:inline distT="0" distB="0" distL="0" distR="0" wp14:anchorId="14F23F18" wp14:editId="27042294">
            <wp:extent cx="3474915" cy="1863969"/>
            <wp:effectExtent l="0" t="0" r="5080" b="1587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8ED5F42" w14:textId="77777777" w:rsidR="00CA647A" w:rsidRDefault="00180904">
      <w:r>
        <w:t xml:space="preserve"> </w:t>
      </w:r>
    </w:p>
    <w:p w14:paraId="794EA2EF" w14:textId="77777777" w:rsidR="00595FB8" w:rsidRDefault="00595FB8">
      <w:pPr>
        <w:jc w:val="both"/>
      </w:pPr>
    </w:p>
    <w:p w14:paraId="58CD9B24" w14:textId="77777777" w:rsidR="00595FB8" w:rsidRDefault="00595FB8">
      <w:pPr>
        <w:jc w:val="both"/>
      </w:pPr>
    </w:p>
    <w:p w14:paraId="62C598B4" w14:textId="77777777" w:rsidR="00595FB8" w:rsidRDefault="00595FB8">
      <w:pPr>
        <w:jc w:val="both"/>
      </w:pPr>
    </w:p>
    <w:p w14:paraId="51802F6B" w14:textId="77777777" w:rsidR="00595FB8" w:rsidRDefault="00595FB8">
      <w:pPr>
        <w:jc w:val="both"/>
      </w:pPr>
    </w:p>
    <w:p w14:paraId="3DA809A4" w14:textId="77777777" w:rsidR="00595FB8" w:rsidRDefault="00595FB8">
      <w:pPr>
        <w:jc w:val="both"/>
      </w:pPr>
    </w:p>
    <w:p w14:paraId="7286B663" w14:textId="77777777" w:rsidR="00595FB8" w:rsidRDefault="00595FB8">
      <w:pPr>
        <w:jc w:val="both"/>
      </w:pPr>
    </w:p>
    <w:p w14:paraId="350FDDB1" w14:textId="77777777" w:rsidR="00595FB8" w:rsidRDefault="00595FB8">
      <w:pPr>
        <w:jc w:val="both"/>
      </w:pPr>
    </w:p>
    <w:p w14:paraId="3CB88E2B" w14:textId="77777777" w:rsidR="00595FB8" w:rsidRDefault="00595FB8">
      <w:pPr>
        <w:jc w:val="both"/>
      </w:pPr>
    </w:p>
    <w:p w14:paraId="0F32CA50" w14:textId="77777777" w:rsidR="00595FB8" w:rsidRDefault="00595FB8">
      <w:pPr>
        <w:jc w:val="both"/>
      </w:pPr>
    </w:p>
    <w:p w14:paraId="2A880581" w14:textId="77777777" w:rsidR="00595FB8" w:rsidRDefault="00595FB8">
      <w:pPr>
        <w:jc w:val="both"/>
      </w:pPr>
    </w:p>
    <w:p w14:paraId="3F47E04F" w14:textId="77777777" w:rsidR="00595FB8" w:rsidRDefault="00595FB8">
      <w:pPr>
        <w:jc w:val="both"/>
      </w:pPr>
    </w:p>
    <w:p w14:paraId="43750440" w14:textId="77777777" w:rsidR="00595FB8" w:rsidRDefault="00595FB8">
      <w:pPr>
        <w:jc w:val="both"/>
      </w:pPr>
    </w:p>
    <w:p w14:paraId="7B30E503" w14:textId="77777777" w:rsidR="00595FB8" w:rsidRDefault="00595FB8">
      <w:pPr>
        <w:jc w:val="both"/>
      </w:pPr>
    </w:p>
    <w:p w14:paraId="1DCE9529" w14:textId="77777777" w:rsidR="00595FB8" w:rsidRDefault="00595FB8">
      <w:pPr>
        <w:jc w:val="both"/>
      </w:pPr>
    </w:p>
    <w:p w14:paraId="193CFD1F" w14:textId="77777777" w:rsidR="00595FB8" w:rsidRDefault="00595FB8">
      <w:pPr>
        <w:jc w:val="both"/>
      </w:pPr>
    </w:p>
    <w:p w14:paraId="53C73CB7" w14:textId="77777777" w:rsidR="00595FB8" w:rsidRDefault="00595FB8">
      <w:pPr>
        <w:jc w:val="both"/>
      </w:pPr>
    </w:p>
    <w:p w14:paraId="1D712A00" w14:textId="77777777" w:rsidR="00595FB8" w:rsidRDefault="00595FB8">
      <w:pPr>
        <w:jc w:val="both"/>
      </w:pPr>
    </w:p>
    <w:p w14:paraId="1964FC99" w14:textId="77777777" w:rsidR="00595FB8" w:rsidRDefault="00595FB8">
      <w:pPr>
        <w:jc w:val="both"/>
      </w:pPr>
    </w:p>
    <w:p w14:paraId="056C350E" w14:textId="77777777" w:rsidR="00CA647A" w:rsidRDefault="00180904">
      <w:pPr>
        <w:jc w:val="both"/>
      </w:pPr>
      <w:r>
        <w:lastRenderedPageBreak/>
        <w:t xml:space="preserve">6. Bonus question (somewhat difficult): How could you use only data from the case to estimate a WACC for the Petrochemical division? What are potential shortfalls of this method? </w:t>
      </w:r>
      <w:r>
        <w:rPr>
          <w:i/>
        </w:rPr>
        <w:t xml:space="preserve">Hint: </w:t>
      </w:r>
      <w:r>
        <w:t>The beta of a portfolio is a value-weighted average of the betas of the individual assets; to get estimates of the “stand-alone” divisional enterprise values of the E&amp;P and R&amp;M divisions you may, for example, use revenue multiples with their comps.</w:t>
      </w:r>
    </w:p>
    <w:p w14:paraId="233C17E7" w14:textId="77777777" w:rsidR="00CA647A" w:rsidRDefault="00CA647A"/>
    <w:p w14:paraId="536DCD23" w14:textId="77777777" w:rsidR="00CA647A" w:rsidRDefault="00CA647A"/>
    <w:tbl>
      <w:tblPr>
        <w:tblStyle w:val="a6"/>
        <w:tblW w:w="918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1515"/>
        <w:gridCol w:w="1395"/>
        <w:gridCol w:w="1860"/>
        <w:gridCol w:w="990"/>
      </w:tblGrid>
      <w:tr w:rsidR="00CA647A" w14:paraId="147FF19C" w14:textId="77777777">
        <w:trPr>
          <w:trHeight w:val="300"/>
        </w:trPr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6397D9" w14:textId="77777777" w:rsidR="00CA647A" w:rsidRDefault="00180904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Enterprise Value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C53B65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846A2F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EA5467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B4F0A0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</w:tr>
      <w:tr w:rsidR="00CA647A" w14:paraId="4808F544" w14:textId="77777777">
        <w:trPr>
          <w:trHeight w:val="300"/>
        </w:trPr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64AC17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Market Value of Equity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2AAD99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130,169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5285BE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E1CEF3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CCFCBE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</w:tr>
      <w:tr w:rsidR="00CA647A" w14:paraId="209E4FD3" w14:textId="77777777">
        <w:trPr>
          <w:trHeight w:val="300"/>
        </w:trPr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B60F71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Debt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B1E71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82,639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4BBE53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D157DC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24675E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</w:tr>
      <w:tr w:rsidR="00CA647A" w14:paraId="45BC8B1C" w14:textId="77777777">
        <w:trPr>
          <w:trHeight w:val="340"/>
        </w:trPr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6920D9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Enterprise Value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1E24D0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212,808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76FC55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BB0845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391A8E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</w:tr>
      <w:tr w:rsidR="00CA647A" w14:paraId="4F404D3A" w14:textId="77777777">
        <w:trPr>
          <w:trHeight w:val="300"/>
        </w:trPr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317C9F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86DC98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C97E5F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01E377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804E15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</w:tr>
      <w:tr w:rsidR="00CA647A" w14:paraId="5C94DF47" w14:textId="77777777">
        <w:trPr>
          <w:trHeight w:val="300"/>
        </w:trPr>
        <w:tc>
          <w:tcPr>
            <w:tcW w:w="493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7C7D" w14:textId="77777777" w:rsidR="00CA647A" w:rsidRDefault="00180904">
            <w:pPr>
              <w:widowControl w:val="0"/>
              <w:rPr>
                <w:b/>
                <w:i/>
                <w:sz w:val="20"/>
                <w:szCs w:val="20"/>
                <w:u w:val="single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Using Comps, estimate EV of each division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B7C01F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5230B7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23B2F4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</w:tr>
      <w:tr w:rsidR="00CA647A" w14:paraId="7FECDE5F" w14:textId="77777777">
        <w:trPr>
          <w:trHeight w:val="300"/>
        </w:trPr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46A02D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7BC213" w14:textId="77777777" w:rsidR="00CA647A" w:rsidRDefault="00180904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E&amp;P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D14A0A" w14:textId="77777777" w:rsidR="00CA647A" w:rsidRDefault="00180904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R&amp;M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123448" w14:textId="77777777" w:rsidR="00CA647A" w:rsidRDefault="00180904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Petrochemicals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C6F0B" w14:textId="77777777" w:rsidR="00CA647A" w:rsidRDefault="00180904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Whole</w:t>
            </w:r>
          </w:p>
        </w:tc>
      </w:tr>
      <w:tr w:rsidR="00CA647A" w14:paraId="0D77EAB7" w14:textId="77777777">
        <w:trPr>
          <w:trHeight w:val="300"/>
        </w:trPr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1BD980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Revenue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73C80F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22,357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CEC902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202,971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021863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23,189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6E4C74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</w:tr>
      <w:tr w:rsidR="00CA647A" w14:paraId="47ADB65F" w14:textId="77777777">
        <w:trPr>
          <w:trHeight w:val="300"/>
        </w:trPr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742986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 / Revenue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69D89E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3.70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A7DE32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0.51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03F1DD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6292FD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</w:tr>
      <w:tr w:rsidR="00CA647A" w14:paraId="49BA4002" w14:textId="77777777">
        <w:trPr>
          <w:trHeight w:val="300"/>
        </w:trPr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3A38C5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Enterprise Value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A0CABD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82,751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8E812A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103,048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FDED32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27,009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814ED6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</w:tr>
      <w:tr w:rsidR="00CA647A" w14:paraId="6A01BC8D" w14:textId="77777777">
        <w:trPr>
          <w:trHeight w:val="300"/>
        </w:trPr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366585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Weight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E15C29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38.89%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995741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48.42%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B52198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12.69%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D69AE9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</w:tr>
      <w:tr w:rsidR="00CA647A" w14:paraId="7A3F7DDE" w14:textId="77777777">
        <w:trPr>
          <w:trHeight w:val="300"/>
        </w:trPr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AB5A3E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WACC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B1E160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7.40%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200C73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9.06%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A52D3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6.48%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98213A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8.09%</w:t>
            </w:r>
          </w:p>
        </w:tc>
      </w:tr>
    </w:tbl>
    <w:p w14:paraId="70CC98A5" w14:textId="77777777" w:rsidR="00CA647A" w:rsidRDefault="00CA647A"/>
    <w:p w14:paraId="74293C27" w14:textId="6C853ACB" w:rsidR="00300CF3" w:rsidRDefault="00300CF3">
      <w:pPr>
        <w:numPr>
          <w:ilvl w:val="0"/>
          <w:numId w:val="9"/>
        </w:numPr>
        <w:contextualSpacing/>
      </w:pPr>
      <w:r>
        <w:t>We used the following steps to get petrochemicals’ WACC.</w:t>
      </w:r>
    </w:p>
    <w:p w14:paraId="7408DA77" w14:textId="77777777" w:rsidR="00CA647A" w:rsidRDefault="00180904">
      <w:pPr>
        <w:numPr>
          <w:ilvl w:val="0"/>
          <w:numId w:val="9"/>
        </w:numPr>
        <w:contextualSpacing/>
      </w:pPr>
      <w:r>
        <w:t>step1 : Calculate Enterprise Value of comparable companies</w:t>
      </w:r>
    </w:p>
    <w:p w14:paraId="12B1F00F" w14:textId="77777777" w:rsidR="00CA647A" w:rsidRDefault="00180904">
      <w:pPr>
        <w:numPr>
          <w:ilvl w:val="0"/>
          <w:numId w:val="9"/>
        </w:numPr>
        <w:contextualSpacing/>
      </w:pPr>
      <w:r>
        <w:t>step2 : Calculate EV/Sales(multiple)</w:t>
      </w:r>
    </w:p>
    <w:p w14:paraId="4F53276C" w14:textId="77777777" w:rsidR="00CA647A" w:rsidRDefault="00180904">
      <w:pPr>
        <w:numPr>
          <w:ilvl w:val="0"/>
          <w:numId w:val="5"/>
        </w:numPr>
        <w:contextualSpacing/>
      </w:pPr>
      <w:r>
        <w:t>step3 : Petrochemicals EV = Whole EV -  (E&amp;P EV + R&amp;M EV)</w:t>
      </w:r>
    </w:p>
    <w:p w14:paraId="441C2803" w14:textId="77777777" w:rsidR="00CA647A" w:rsidRDefault="00180904">
      <w:pPr>
        <w:numPr>
          <w:ilvl w:val="0"/>
          <w:numId w:val="5"/>
        </w:numPr>
        <w:contextualSpacing/>
      </w:pPr>
      <w:r>
        <w:t>step4 : Calculate each division weight</w:t>
      </w:r>
    </w:p>
    <w:p w14:paraId="0737C366" w14:textId="77777777" w:rsidR="00CA647A" w:rsidRDefault="00180904">
      <w:pPr>
        <w:numPr>
          <w:ilvl w:val="0"/>
          <w:numId w:val="5"/>
        </w:numPr>
        <w:contextualSpacing/>
      </w:pPr>
      <w:r>
        <w:t>step5 : Calculate Petrochemical’s WACC</w:t>
      </w:r>
    </w:p>
    <w:p w14:paraId="014FDE66" w14:textId="77777777" w:rsidR="00CA647A" w:rsidRDefault="00CA647A"/>
    <w:p w14:paraId="7013A753" w14:textId="77777777" w:rsidR="00CA647A" w:rsidRDefault="00CA647A"/>
    <w:sectPr w:rsidR="00CA647A" w:rsidSect="00300CF3">
      <w:footerReference w:type="even" r:id="rId10"/>
      <w:footerReference w:type="default" r:id="rId11"/>
      <w:pgSz w:w="12240" w:h="15840" w:code="1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A532E6" w14:textId="77777777" w:rsidR="002544C9" w:rsidRDefault="002544C9" w:rsidP="00D031CC">
      <w:pPr>
        <w:spacing w:line="240" w:lineRule="auto"/>
      </w:pPr>
      <w:r>
        <w:separator/>
      </w:r>
    </w:p>
  </w:endnote>
  <w:endnote w:type="continuationSeparator" w:id="0">
    <w:p w14:paraId="062C529C" w14:textId="77777777" w:rsidR="002544C9" w:rsidRDefault="002544C9" w:rsidP="00D031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553CE" w14:textId="77777777" w:rsidR="00D031CC" w:rsidRDefault="00D031CC" w:rsidP="0002002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6D67D7" w14:textId="77777777" w:rsidR="00D031CC" w:rsidRDefault="00D031C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9F3AFD" w14:textId="77777777" w:rsidR="00D031CC" w:rsidRDefault="00D031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775400" w14:textId="77777777" w:rsidR="002544C9" w:rsidRDefault="002544C9" w:rsidP="00D031CC">
      <w:pPr>
        <w:spacing w:line="240" w:lineRule="auto"/>
      </w:pPr>
      <w:r>
        <w:separator/>
      </w:r>
    </w:p>
  </w:footnote>
  <w:footnote w:type="continuationSeparator" w:id="0">
    <w:p w14:paraId="7300099C" w14:textId="77777777" w:rsidR="002544C9" w:rsidRDefault="002544C9" w:rsidP="00D031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A6A3F"/>
    <w:multiLevelType w:val="multilevel"/>
    <w:tmpl w:val="9C9459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CF40091"/>
    <w:multiLevelType w:val="multilevel"/>
    <w:tmpl w:val="E02463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0201F2C"/>
    <w:multiLevelType w:val="multilevel"/>
    <w:tmpl w:val="41FC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D05065"/>
    <w:multiLevelType w:val="multilevel"/>
    <w:tmpl w:val="079E9C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320A6A1E"/>
    <w:multiLevelType w:val="multilevel"/>
    <w:tmpl w:val="B76AD9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32B163C6"/>
    <w:multiLevelType w:val="multilevel"/>
    <w:tmpl w:val="ED7A01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478A4BE2"/>
    <w:multiLevelType w:val="multilevel"/>
    <w:tmpl w:val="B9F6A7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4CB86BEE"/>
    <w:multiLevelType w:val="multilevel"/>
    <w:tmpl w:val="D1E279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4DB4448D"/>
    <w:multiLevelType w:val="multilevel"/>
    <w:tmpl w:val="492683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63A738D7"/>
    <w:multiLevelType w:val="hybridMultilevel"/>
    <w:tmpl w:val="BD62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EF7867"/>
    <w:multiLevelType w:val="multilevel"/>
    <w:tmpl w:val="92822A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7AFF5105"/>
    <w:multiLevelType w:val="multilevel"/>
    <w:tmpl w:val="DD48B7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7C0E7D94"/>
    <w:multiLevelType w:val="hybridMultilevel"/>
    <w:tmpl w:val="784C586E"/>
    <w:lvl w:ilvl="0" w:tplc="C29EDAD4">
      <w:numFmt w:val="bullet"/>
      <w:lvlText w:val="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0"/>
  </w:num>
  <w:num w:numId="8">
    <w:abstractNumId w:val="6"/>
  </w:num>
  <w:num w:numId="9">
    <w:abstractNumId w:val="11"/>
  </w:num>
  <w:num w:numId="10">
    <w:abstractNumId w:val="7"/>
  </w:num>
  <w:num w:numId="11">
    <w:abstractNumId w:val="2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A647A"/>
    <w:rsid w:val="000D34E3"/>
    <w:rsid w:val="00175512"/>
    <w:rsid w:val="00180904"/>
    <w:rsid w:val="00246457"/>
    <w:rsid w:val="002544C9"/>
    <w:rsid w:val="00300CF3"/>
    <w:rsid w:val="003C6292"/>
    <w:rsid w:val="00595FB8"/>
    <w:rsid w:val="005E3EB9"/>
    <w:rsid w:val="00812B12"/>
    <w:rsid w:val="008912E1"/>
    <w:rsid w:val="009A74F2"/>
    <w:rsid w:val="00A32161"/>
    <w:rsid w:val="00C801E6"/>
    <w:rsid w:val="00CA647A"/>
    <w:rsid w:val="00D0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76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031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1CC"/>
  </w:style>
  <w:style w:type="character" w:styleId="PageNumber">
    <w:name w:val="page number"/>
    <w:basedOn w:val="DefaultParagraphFont"/>
    <w:uiPriority w:val="99"/>
    <w:semiHidden/>
    <w:unhideWhenUsed/>
    <w:rsid w:val="00D031CC"/>
  </w:style>
  <w:style w:type="paragraph" w:styleId="NormalWeb">
    <w:name w:val="Normal (Web)"/>
    <w:basedOn w:val="Normal"/>
    <w:uiPriority w:val="99"/>
    <w:semiHidden/>
    <w:unhideWhenUsed/>
    <w:rsid w:val="008912E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91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1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wanbaep2/Downloads/question5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wanbaep2/Downloads/question5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200"/>
              <a:t>Equity Beta</a:t>
            </a: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'5번'!$AA$16</c:f>
              <c:strCache>
                <c:ptCount val="1"/>
                <c:pt idx="0">
                  <c:v>Equity Beta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5"/>
            <c:spPr>
              <a:solidFill>
                <a:srgbClr val="4F81BD"/>
              </a:solidFill>
              <a:ln>
                <a:solidFill>
                  <a:srgbClr val="666699"/>
                </a:solidFill>
                <a:prstDash val="solid"/>
              </a:ln>
            </c:spPr>
          </c:marker>
          <c:xVal>
            <c:numRef>
              <c:f>'5번'!$AG$17:$AG$27</c:f>
              <c:numCache>
                <c:formatCode>General</c:formatCode>
                <c:ptCount val="11"/>
                <c:pt idx="0">
                  <c:v>0.0</c:v>
                </c:pt>
                <c:pt idx="1">
                  <c:v>10.0</c:v>
                </c:pt>
                <c:pt idx="2">
                  <c:v>20.0</c:v>
                </c:pt>
                <c:pt idx="3">
                  <c:v>30.0</c:v>
                </c:pt>
                <c:pt idx="4">
                  <c:v>40.0</c:v>
                </c:pt>
                <c:pt idx="5">
                  <c:v>50.0</c:v>
                </c:pt>
                <c:pt idx="6">
                  <c:v>60.0</c:v>
                </c:pt>
                <c:pt idx="7">
                  <c:v>70.0</c:v>
                </c:pt>
                <c:pt idx="8">
                  <c:v>80.0</c:v>
                </c:pt>
                <c:pt idx="9">
                  <c:v>90.0</c:v>
                </c:pt>
                <c:pt idx="10">
                  <c:v>100.0</c:v>
                </c:pt>
              </c:numCache>
            </c:numRef>
          </c:xVal>
          <c:yVal>
            <c:numRef>
              <c:f>'5번'!$AA$17:$AA$26</c:f>
              <c:numCache>
                <c:formatCode>0.000_ </c:formatCode>
                <c:ptCount val="10"/>
                <c:pt idx="0" formatCode="General">
                  <c:v>0.536</c:v>
                </c:pt>
                <c:pt idx="1">
                  <c:v>0.5896</c:v>
                </c:pt>
                <c:pt idx="2">
                  <c:v>0.6432</c:v>
                </c:pt>
                <c:pt idx="3">
                  <c:v>0.6968</c:v>
                </c:pt>
                <c:pt idx="4">
                  <c:v>0.7504</c:v>
                </c:pt>
                <c:pt idx="5">
                  <c:v>0.804</c:v>
                </c:pt>
                <c:pt idx="6">
                  <c:v>0.8576</c:v>
                </c:pt>
                <c:pt idx="7">
                  <c:v>0.9112</c:v>
                </c:pt>
                <c:pt idx="8">
                  <c:v>0.9648</c:v>
                </c:pt>
                <c:pt idx="9">
                  <c:v>1.0184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98055872"/>
        <c:axId val="-1897967616"/>
      </c:scatterChart>
      <c:valAx>
        <c:axId val="-189805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 w="3175">
            <a:solidFill>
              <a:srgbClr val="C0C0C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맑은 고딕"/>
                <a:ea typeface="맑은 고딕"/>
                <a:cs typeface="맑은 고딕"/>
              </a:defRPr>
            </a:pPr>
            <a:endParaRPr lang="en-US"/>
          </a:p>
        </c:txPr>
        <c:crossAx val="-1897967616"/>
        <c:crosses val="autoZero"/>
        <c:crossBetween val="midCat"/>
      </c:valAx>
      <c:valAx>
        <c:axId val="-1897967616"/>
        <c:scaling>
          <c:orientation val="minMax"/>
        </c:scaling>
        <c:delete val="0"/>
        <c:axPos val="l"/>
        <c:majorGridlines>
          <c:spPr>
            <a:ln w="3175">
              <a:solidFill>
                <a:srgbClr val="C0C0C0"/>
              </a:solidFill>
              <a:prstDash val="solid"/>
            </a:ln>
          </c:spPr>
        </c:majorGridlines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98055872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C0C0C0"/>
      </a:solidFill>
      <a:prstDash val="solid"/>
    </a:ln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200"/>
              <a:t>WACC</a:t>
            </a: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'5번'!$AE$16</c:f>
              <c:strCache>
                <c:ptCount val="1"/>
                <c:pt idx="0">
                  <c:v>WACC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5"/>
            <c:spPr>
              <a:solidFill>
                <a:srgbClr val="4F81BD"/>
              </a:solidFill>
              <a:ln>
                <a:solidFill>
                  <a:srgbClr val="666699"/>
                </a:solidFill>
                <a:prstDash val="solid"/>
              </a:ln>
            </c:spPr>
          </c:marker>
          <c:xVal>
            <c:numRef>
              <c:f>'5번'!$AG$17:$AG$27</c:f>
              <c:numCache>
                <c:formatCode>General</c:formatCode>
                <c:ptCount val="11"/>
                <c:pt idx="0">
                  <c:v>0.0</c:v>
                </c:pt>
                <c:pt idx="1">
                  <c:v>10.0</c:v>
                </c:pt>
                <c:pt idx="2">
                  <c:v>20.0</c:v>
                </c:pt>
                <c:pt idx="3">
                  <c:v>30.0</c:v>
                </c:pt>
                <c:pt idx="4">
                  <c:v>40.0</c:v>
                </c:pt>
                <c:pt idx="5">
                  <c:v>50.0</c:v>
                </c:pt>
                <c:pt idx="6">
                  <c:v>60.0</c:v>
                </c:pt>
                <c:pt idx="7">
                  <c:v>70.0</c:v>
                </c:pt>
                <c:pt idx="8">
                  <c:v>80.0</c:v>
                </c:pt>
                <c:pt idx="9">
                  <c:v>90.0</c:v>
                </c:pt>
                <c:pt idx="10">
                  <c:v>100.0</c:v>
                </c:pt>
              </c:numCache>
            </c:numRef>
          </c:xVal>
          <c:yVal>
            <c:numRef>
              <c:f>'5번'!$AE$17:$AE$27</c:f>
              <c:numCache>
                <c:formatCode>0.0000%</c:formatCode>
                <c:ptCount val="11"/>
                <c:pt idx="0">
                  <c:v>0.0766</c:v>
                </c:pt>
                <c:pt idx="1">
                  <c:v>0.073536</c:v>
                </c:pt>
                <c:pt idx="2">
                  <c:v>0.070472</c:v>
                </c:pt>
                <c:pt idx="3">
                  <c:v>0.067408</c:v>
                </c:pt>
                <c:pt idx="4">
                  <c:v>0.064344</c:v>
                </c:pt>
                <c:pt idx="5">
                  <c:v>0.06128</c:v>
                </c:pt>
                <c:pt idx="6">
                  <c:v>0.058216</c:v>
                </c:pt>
                <c:pt idx="7">
                  <c:v>0.055152</c:v>
                </c:pt>
                <c:pt idx="8">
                  <c:v>0.052088</c:v>
                </c:pt>
                <c:pt idx="9">
                  <c:v>0.049024</c:v>
                </c:pt>
                <c:pt idx="10">
                  <c:v>0.04596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58058128"/>
        <c:axId val="-1858056080"/>
      </c:scatterChart>
      <c:valAx>
        <c:axId val="-1858058128"/>
        <c:scaling>
          <c:orientation val="minMax"/>
        </c:scaling>
        <c:delete val="0"/>
        <c:axPos val="b"/>
        <c:majorGridlines>
          <c:spPr>
            <a:ln w="3175">
              <a:solidFill>
                <a:srgbClr val="C0C0C0"/>
              </a:solidFill>
              <a:prstDash val="solid"/>
            </a:ln>
          </c:spPr>
        </c:majorGridlines>
        <c:numFmt formatCode="General" sourceLinked="1"/>
        <c:majorTickMark val="none"/>
        <c:minorTickMark val="none"/>
        <c:tickLblPos val="nextTo"/>
        <c:spPr>
          <a:ln w="3175">
            <a:solidFill>
              <a:srgbClr val="C0C0C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맑은 고딕"/>
                <a:ea typeface="맑은 고딕"/>
                <a:cs typeface="맑은 고딕"/>
              </a:defRPr>
            </a:pPr>
            <a:endParaRPr lang="en-US"/>
          </a:p>
        </c:txPr>
        <c:crossAx val="-1858056080"/>
        <c:crossesAt val="0.0"/>
        <c:crossBetween val="midCat"/>
      </c:valAx>
      <c:valAx>
        <c:axId val="-1858056080"/>
        <c:scaling>
          <c:orientation val="minMax"/>
        </c:scaling>
        <c:delete val="0"/>
        <c:axPos val="l"/>
        <c:majorGridlines>
          <c:spPr>
            <a:ln w="3175">
              <a:solidFill>
                <a:srgbClr val="C0C0C0"/>
              </a:solidFill>
              <a:prstDash val="solid"/>
            </a:ln>
          </c:spPr>
        </c:majorGridlines>
        <c:numFmt formatCode="0.00%" sourceLinked="0"/>
        <c:majorTickMark val="none"/>
        <c:minorTickMark val="none"/>
        <c:tickLblPos val="nextTo"/>
        <c:spPr>
          <a:ln w="3175">
            <a:solidFill>
              <a:srgbClr val="C0C0C0"/>
            </a:solidFill>
            <a:prstDash val="solid"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58058128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C0C0C0"/>
      </a:solidFill>
      <a:prstDash val="solid"/>
    </a:ln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3214E7-CC82-1E42-A9B4-9E139FA3E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933</Words>
  <Characters>5322</Characters>
  <Application>Microsoft Macintosh Word</Application>
  <DocSecurity>0</DocSecurity>
  <Lines>44</Lines>
  <Paragraphs>12</Paragraphs>
  <ScaleCrop>false</ScaleCrop>
  <LinksUpToDate>false</LinksUpToDate>
  <CharactersWithSpaces>6243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cp:lastPrinted>2018-03-13T20:53:00Z</cp:lastPrinted>
  <dcterms:created xsi:type="dcterms:W3CDTF">2018-03-13T20:53:00Z</dcterms:created>
  <dcterms:modified xsi:type="dcterms:W3CDTF">2018-03-14T00:54:00Z</dcterms:modified>
</cp:coreProperties>
</file>