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ASTERION THERAPEUTICS</w:t>
      </w:r>
    </w:p>
    <w:p>
      <w:pPr>
        <w:pStyle w:val="BodyText"/>
      </w:pPr>
      <w:r>
        <w:t xml:space="preserve">El Reloj de la Inscripción</w:t>
      </w:r>
    </w:p>
    <w:p>
      <w:pPr>
        <w:pStyle w:val="BodyText"/>
      </w:pPr>
      <w:r>
        <w:t xml:space="preserve">Un caso de desarrollo clínico sobre evidencia, reclutamiento, seguridad y el costo de esperar</w:t>
      </w:r>
    </w:p>
    <w:p>
      <w:pPr>
        <w:pStyle w:val="BodyText"/>
      </w:pPr>
      <w:r>
        <w:t xml:space="preserve">Este caso es ficticio y está destinado a la discusión instructiva. Los nombres, eventos, productos y datos de la empresa son inventados; las estadísticas públicas se citan en la nota de fuente.</w:t>
      </w:r>
    </w:p>
    <w:bookmarkStart w:id="10" w:name="X5809ec66fb449568f0a50ffc02c26949db3b469"/>
    <w:p>
      <w:pPr>
        <w:pStyle w:val="Heading1"/>
      </w:pPr>
      <w:r>
        <w:t xml:space="preserve">Una Terapia Prometedora Con una Ventana Estrecha</w:t>
      </w:r>
    </w:p>
    <w:p>
      <w:pPr>
        <w:pStyle w:val="FirstParagraph"/>
      </w:pPr>
      <w:r>
        <w:t xml:space="preserve">A las 7:15 de un martes de marzo de 2027, Maya Chen, directora de desarrollo de Asterion Therapeutics, abrió el informe intermedio de AST-417, una terapia inyectable para la fibrosis pulmonar progresiva. La empresa había gastado seis años y $214 million en llevar el compuesto desde el trabajo de laboratorio a través de dos estudios clínicos tempranos. Asterion ahora tenía suficiente evidencia para creer que la terapia podía enlentecer la pérdida de función pulmonar, pero no suficiente evidencia para saber si el beneficio sería clínicamente convincente, duradero o lo bastante amplio como para respaldar la aprobación.</w:t>
      </w:r>
    </w:p>
    <w:p>
      <w:pPr>
        <w:pStyle w:val="BodyText"/>
      </w:pPr>
      <w:r>
        <w:t xml:space="preserve">La decisión no podía separarse del tiempo. Asterion tenía 31 meses de efectivo a su ritmo de gasto actual, pero un programa pivotal completo podría consumir la mayor parte de ese margen. La protección de patente ya se estaba erosionando, un competidor más grande había anunciado un ensayo relacionado, y el fabricante contratado por la empresa necesitaba un compromiso de capacidad dentro de seis semanas. Retrasar produciría más información, pero también costaría dinero, pacientes, opciones de manufactura y quizás posición de mercado.</w:t>
      </w:r>
    </w:p>
    <w:bookmarkStart w:id="9" w:name="X332432d76fdfcb87a79e35d01174d722d39c806"/>
    <w:p>
      <w:pPr>
        <w:pStyle w:val="Heading2"/>
      </w:pPr>
      <w:r>
        <w:t xml:space="preserve">Exhibición 1. Posición de Desarrollo de AST-417</w:t>
      </w:r>
    </w:p>
    <w:tbl>
      <w:tblPr>
        <w:tblStyle w:val="Table"/>
        <w:tblW w:type="pct" w:w="4919"/>
        <w:tblLayout w:type="fixed"/>
        <w:tblLook w:firstRow="1" w:lastRow="0" w:firstColumn="0" w:lastColumn="0" w:noHBand="0" w:noVBand="0" w:val="0020"/>
      </w:tblPr>
      <w:tblGrid>
        <w:gridCol w:w="1674"/>
        <w:gridCol w:w="2124"/>
        <w:gridCol w:w="3992"/>
      </w:tblGrid>
      <w:tr>
        <w:trPr>
          <w:tblHeader w:val="on"/>
        </w:trPr>
        <w:tc>
          <w:tcPr/>
          <w:p>
            <w:pPr>
              <w:pStyle w:val="Compact"/>
              <w:jc w:val="left"/>
            </w:pPr>
            <w:r>
              <w:t xml:space="preserve">Elemento</w:t>
            </w:r>
          </w:p>
        </w:tc>
        <w:tc>
          <w:tcPr/>
          <w:p>
            <w:pPr>
              <w:pStyle w:val="Compact"/>
              <w:jc w:val="left"/>
            </w:pPr>
            <w:r>
              <w:t xml:space="preserve">Posición actual</w:t>
            </w:r>
          </w:p>
        </w:tc>
        <w:tc>
          <w:tcPr/>
          <w:p>
            <w:pPr>
              <w:pStyle w:val="Compact"/>
              <w:jc w:val="left"/>
            </w:pPr>
            <w:r>
              <w:t xml:space="preserve">Preocupación de gestión</w:t>
            </w:r>
          </w:p>
        </w:tc>
      </w:tr>
      <w:tr>
        <w:tc>
          <w:tcPr/>
          <w:p>
            <w:pPr>
              <w:pStyle w:val="Compact"/>
              <w:jc w:val="left"/>
            </w:pPr>
            <w:r>
              <w:t xml:space="preserve">Etapa de desarrollo</w:t>
            </w:r>
          </w:p>
        </w:tc>
        <w:tc>
          <w:tcPr/>
          <w:p>
            <w:pPr>
              <w:pStyle w:val="Compact"/>
              <w:jc w:val="left"/>
            </w:pPr>
            <w:r>
              <w:t xml:space="preserve">Revisión intermedia de Fase IIb</w:t>
            </w:r>
          </w:p>
        </w:tc>
        <w:tc>
          <w:tcPr/>
          <w:p>
            <w:pPr>
              <w:pStyle w:val="Compact"/>
              <w:jc w:val="left"/>
            </w:pPr>
            <w:r>
              <w:t xml:space="preserve">Si la evidencia es suficientemente sólida para diseñar un estudio pivotal</w:t>
            </w:r>
          </w:p>
        </w:tc>
      </w:tr>
      <w:tr>
        <w:tc>
          <w:tcPr/>
          <w:p>
            <w:pPr>
              <w:pStyle w:val="Compact"/>
              <w:jc w:val="left"/>
            </w:pPr>
            <w:r>
              <w:t xml:space="preserve">Pacientes aleatorizados</w:t>
            </w:r>
          </w:p>
        </w:tc>
        <w:tc>
          <w:tcPr/>
          <w:p>
            <w:pPr>
              <w:pStyle w:val="Compact"/>
              <w:jc w:val="left"/>
            </w:pPr>
            <w:r>
              <w:t xml:space="preserve">186 de 240 planificados</w:t>
            </w:r>
          </w:p>
        </w:tc>
        <w:tc>
          <w:tcPr/>
          <w:p>
            <w:pPr>
              <w:pStyle w:val="Compact"/>
              <w:jc w:val="left"/>
            </w:pPr>
            <w:r>
              <w:t xml:space="preserve">El reclutamiento va 7 meses retrasado respecto al plan</w:t>
            </w:r>
          </w:p>
        </w:tc>
      </w:tr>
      <w:tr>
        <w:tc>
          <w:tcPr/>
          <w:p>
            <w:pPr>
              <w:pStyle w:val="Compact"/>
              <w:jc w:val="left"/>
            </w:pPr>
            <w:r>
              <w:t xml:space="preserve">Brazos de tratamiento</w:t>
            </w:r>
          </w:p>
        </w:tc>
        <w:tc>
          <w:tcPr/>
          <w:p>
            <w:pPr>
              <w:pStyle w:val="Compact"/>
              <w:jc w:val="left"/>
            </w:pPr>
            <w:r>
              <w:t xml:space="preserve">Dosis alta, dosis baja, placebo</w:t>
            </w:r>
          </w:p>
        </w:tc>
        <w:tc>
          <w:tcPr/>
          <w:p>
            <w:pPr>
              <w:pStyle w:val="Compact"/>
              <w:jc w:val="left"/>
            </w:pPr>
            <w:r>
              <w:t xml:space="preserve">El patrón de dosis-respuesta aún no está claro</w:t>
            </w:r>
          </w:p>
        </w:tc>
      </w:tr>
      <w:tr>
        <w:tc>
          <w:tcPr/>
          <w:p>
            <w:pPr>
              <w:pStyle w:val="Compact"/>
              <w:jc w:val="left"/>
            </w:pPr>
            <w:r>
              <w:t xml:space="preserve">Efectivo e inversiones</w:t>
            </w:r>
          </w:p>
        </w:tc>
        <w:tc>
          <w:tcPr/>
          <w:p>
            <w:pPr>
              <w:pStyle w:val="Compact"/>
              <w:jc w:val="left"/>
            </w:pPr>
            <w:r>
              <w:t xml:space="preserve">$318 million</w:t>
            </w:r>
          </w:p>
        </w:tc>
        <w:tc>
          <w:tcPr/>
          <w:p>
            <w:pPr>
              <w:pStyle w:val="Compact"/>
              <w:jc w:val="left"/>
            </w:pPr>
            <w:r>
              <w:t xml:space="preserve">Múltiples diseños de ensayo podrían requerir financiamiento adicional</w:t>
            </w:r>
          </w:p>
        </w:tc>
      </w:tr>
      <w:tr>
        <w:tc>
          <w:tcPr/>
          <w:p>
            <w:pPr>
              <w:pStyle w:val="Compact"/>
              <w:jc w:val="left"/>
            </w:pPr>
            <w:r>
              <w:t xml:space="preserve">Vencimiento de patente est</w:t>
            </w:r>
          </w:p>
        </w:tc>
        <w:tc>
          <w:tcPr/>
          <w:p>
            <w:pPr>
              <w:pStyle w:val="Compact"/>
              <w:jc w:val="left"/>
            </w:pPr>
            <w:r>
              <w:t xml:space="preserve">imado 2034</w:t>
            </w:r>
          </w:p>
        </w:tc>
        <w:tc>
          <w:tcPr/>
          <w:p>
            <w:pPr>
              <w:pStyle w:val="Compact"/>
              <w:jc w:val="left"/>
            </w:pPr>
            <w:r>
              <w:t xml:space="preserve">La vida comercial se reduce con cada retraso</w:t>
            </w:r>
          </w:p>
        </w:tc>
      </w:tr>
      <w:tr>
        <w:tc>
          <w:tcPr/>
          <w:p>
            <w:pPr>
              <w:pStyle w:val="Compact"/>
              <w:jc w:val="left"/>
            </w:pPr>
            <w:r>
              <w:t xml:space="preserve">Programas competidores</w:t>
            </w:r>
          </w:p>
        </w:tc>
        <w:tc>
          <w:tcPr/>
          <w:p>
            <w:pPr>
              <w:pStyle w:val="Compact"/>
              <w:jc w:val="left"/>
            </w:pPr>
            <w:r>
              <w:t xml:space="preserve">Tres, incluyendo uno de Fase III</w:t>
            </w:r>
          </w:p>
        </w:tc>
        <w:tc>
          <w:tcPr/>
          <w:p>
            <w:pPr>
              <w:pStyle w:val="Compact"/>
              <w:jc w:val="left"/>
            </w:pPr>
            <w:r>
              <w:t xml:space="preserve">El interés de médicos e investigadores puede desplazarse</w:t>
            </w:r>
          </w:p>
        </w:tc>
      </w:tr>
    </w:tbl>
    <w:p/>
    <w:tbl>
      <w:tblPr>
        <w:tblStyle w:val="Table"/>
        <w:tblW w:type="auto" w:w="0"/>
        <w:tblLook w:firstRow="0" w:lastRow="0" w:firstColumn="0" w:lastColumn="0" w:noHBand="0" w:noVBand="0" w:val="0000"/>
      </w:tblPr>
      <w:tblGrid>
        <w:gridCol w:w="7920"/>
      </w:tblGrid>
      <w:tr>
        <w:tc>
          <w:tcPr/>
          <w:p>
            <w:pPr>
              <w:pStyle w:val="Compact"/>
            </w:pPr>
            <w:r>
              <w:t xml:space="preserve">Asterion tenía que decidir no solo si AST-417 debía continuar, sino qué evidencia recolectar a continuación, dónde recolectarla, cuántos pacientes buscar, y cuánto de la empresa poner en riesgo antes de conocer la respuesta.</w:t>
            </w:r>
          </w:p>
        </w:tc>
      </w:tr>
    </w:tbl>
    <w:p>
      <w:r>
        <w:pict>
          <v:rect style="width:0;height:1.5pt" o:hralign="center" o:hrstd="t" o:hr="t"/>
        </w:pict>
      </w:r>
    </w:p>
    <w:bookmarkEnd w:id="9"/>
    <w:bookmarkEnd w:id="10"/>
    <w:bookmarkStart w:id="12" w:name="la-evidencia-intermedia"/>
    <w:p>
      <w:pPr>
        <w:pStyle w:val="Heading1"/>
      </w:pPr>
      <w:r>
        <w:t xml:space="preserve">La Evidencia Intermedia</w:t>
      </w:r>
    </w:p>
    <w:p>
      <w:pPr>
        <w:pStyle w:val="FirstParagraph"/>
      </w:pPr>
      <w:r>
        <w:t xml:space="preserve">AST-417 estaba destinada a pacientes cuya enfermedad continuaba progresando a pesar de la terapia existente. El protocolo de Fase IIb medía el cambio en la capacidad vital forzada tras 24 semanas, junto con la tolerancia al ejercicio, la dificultad respiratoria reportada por el paciente, las hospitalizaciones, los marcadores de laboratorio y los eventos adversos. Los investigadores habían esperado que la dosis alta mostrara el beneficio más claro. En cambio, el grupo de dosis baja había producido el resultado promedio más fuerte, mientras que el grupo de dosis alta incluía tanto respondedores espectaculares como varios pacientes que discontinuaron el tratamiento.</w:t>
      </w:r>
    </w:p>
    <w:p>
      <w:pPr>
        <w:pStyle w:val="BodyText"/>
      </w:pPr>
      <w:r>
        <w:t xml:space="preserve">Los promedios ocultaban diferencias importantes. Los pacientes diagnosticados en los dos años anteriores parecían mejorar más que los pacientes con enfermedad avanzada. Los resultados también variaban según la región y según si los pacientes permanecían en terapia de fondo. Los hallazgos de subgrupos eran científicamente plausibles, pero el ensayo no había sido diseñado para demostrarlos. Estrechar el siguiente estudio a los aparentes respondedores podría aumentar la probabilidad de un resultado positivo, pero también podría reducir el mercado potencial y dificultar el reclutamiento.</w:t>
      </w:r>
    </w:p>
    <w:bookmarkStart w:id="11" w:name="X37fd63d76ae4de21bbb703da84b7138ce77292f"/>
    <w:p>
      <w:pPr>
        <w:pStyle w:val="Heading2"/>
      </w:pPr>
      <w:r>
        <w:t xml:space="preserve">Exhibición 2. Resultados Intermedios de la Semana 24</w:t>
      </w:r>
    </w:p>
    <w:tbl>
      <w:tblPr>
        <w:tblStyle w:val="Table"/>
        <w:tblW w:type="pct" w:w="4890"/>
        <w:tblLayout w:type="fixed"/>
        <w:tblLook w:firstRow="1" w:lastRow="0" w:firstColumn="0" w:lastColumn="0" w:noHBand="0" w:noVBand="0" w:val="0020"/>
      </w:tblPr>
      <w:tblGrid>
        <w:gridCol w:w="4351"/>
        <w:gridCol w:w="1131"/>
        <w:gridCol w:w="1131"/>
        <w:gridCol w:w="1131"/>
      </w:tblGrid>
      <w:tr>
        <w:trPr>
          <w:tblHeader w:val="on"/>
        </w:trPr>
        <w:tc>
          <w:tcPr/>
          <w:p>
            <w:pPr>
              <w:pStyle w:val="Compact"/>
              <w:jc w:val="left"/>
            </w:pPr>
            <w:r>
              <w:t xml:space="preserve">Medida</w:t>
            </w:r>
          </w:p>
        </w:tc>
        <w:tc>
          <w:tcPr/>
          <w:p>
            <w:pPr>
              <w:pStyle w:val="Compact"/>
              <w:jc w:val="left"/>
            </w:pPr>
            <w:r>
              <w:t xml:space="preserve">Placebo</w:t>
            </w:r>
          </w:p>
        </w:tc>
        <w:tc>
          <w:tcPr/>
          <w:p>
            <w:pPr>
              <w:pStyle w:val="Compact"/>
              <w:jc w:val="left"/>
            </w:pPr>
            <w:r>
              <w:t xml:space="preserve">Dosis baja</w:t>
            </w:r>
          </w:p>
        </w:tc>
        <w:tc>
          <w:tcPr/>
          <w:p>
            <w:pPr>
              <w:pStyle w:val="Compact"/>
              <w:jc w:val="left"/>
            </w:pPr>
            <w:r>
              <w:t xml:space="preserve">Dosis alta</w:t>
            </w:r>
          </w:p>
        </w:tc>
      </w:tr>
      <w:tr>
        <w:tc>
          <w:tcPr/>
          <w:p>
            <w:pPr>
              <w:pStyle w:val="Compact"/>
              <w:jc w:val="left"/>
            </w:pPr>
            <w:r>
              <w:t xml:space="preserve">Cambio medio en la medida de función pulmonar</w:t>
            </w:r>
          </w:p>
        </w:tc>
        <w:tc>
          <w:tcPr/>
          <w:p>
            <w:pPr>
              <w:pStyle w:val="Compact"/>
              <w:jc w:val="left"/>
            </w:pPr>
            <w:r>
              <w:t xml:space="preserve">-126 mL</w:t>
            </w:r>
          </w:p>
        </w:tc>
        <w:tc>
          <w:tcPr/>
          <w:p>
            <w:pPr>
              <w:pStyle w:val="Compact"/>
              <w:jc w:val="left"/>
            </w:pPr>
            <w:r>
              <w:t xml:space="preserve">-71 mL</w:t>
            </w:r>
          </w:p>
        </w:tc>
        <w:tc>
          <w:tcPr/>
          <w:p>
            <w:pPr>
              <w:pStyle w:val="Compact"/>
              <w:jc w:val="left"/>
            </w:pPr>
            <w:r>
              <w:t xml:space="preserve">-82 mL</w:t>
            </w:r>
          </w:p>
        </w:tc>
      </w:tr>
      <w:tr>
        <w:tc>
          <w:tcPr/>
          <w:p>
            <w:pPr>
              <w:pStyle w:val="Compact"/>
              <w:jc w:val="left"/>
            </w:pPr>
            <w:r>
              <w:t xml:space="preserve">Pacientes con mejora clínicamente significativa</w:t>
            </w:r>
          </w:p>
        </w:tc>
        <w:tc>
          <w:tcPr/>
          <w:p>
            <w:pPr>
              <w:pStyle w:val="Compact"/>
              <w:jc w:val="left"/>
            </w:pPr>
            <w:r>
              <w:t xml:space="preserve">14%</w:t>
            </w:r>
          </w:p>
        </w:tc>
        <w:tc>
          <w:tcPr/>
          <w:p>
            <w:pPr>
              <w:pStyle w:val="Compact"/>
              <w:jc w:val="left"/>
            </w:pPr>
            <w:r>
              <w:t xml:space="preserve">28%</w:t>
            </w:r>
          </w:p>
        </w:tc>
        <w:tc>
          <w:tcPr/>
          <w:p>
            <w:pPr>
              <w:pStyle w:val="Compact"/>
              <w:jc w:val="left"/>
            </w:pPr>
            <w:r>
              <w:t xml:space="preserve">25%</w:t>
            </w:r>
          </w:p>
        </w:tc>
      </w:tr>
      <w:tr>
        <w:tc>
          <w:tcPr/>
          <w:p>
            <w:pPr>
              <w:pStyle w:val="Compact"/>
              <w:jc w:val="left"/>
            </w:pPr>
            <w:r>
              <w:t xml:space="preserve">Discontinuaron el tratamiento del estudio</w:t>
            </w:r>
          </w:p>
        </w:tc>
        <w:tc>
          <w:tcPr/>
          <w:p>
            <w:pPr>
              <w:pStyle w:val="Compact"/>
              <w:jc w:val="left"/>
            </w:pPr>
            <w:r>
              <w:t xml:space="preserve">8%</w:t>
            </w:r>
          </w:p>
        </w:tc>
        <w:tc>
          <w:tcPr/>
          <w:p>
            <w:pPr>
              <w:pStyle w:val="Compact"/>
              <w:jc w:val="left"/>
            </w:pPr>
            <w:r>
              <w:t xml:space="preserve">11%</w:t>
            </w:r>
          </w:p>
        </w:tc>
        <w:tc>
          <w:tcPr/>
          <w:p>
            <w:pPr>
              <w:pStyle w:val="Compact"/>
              <w:jc w:val="left"/>
            </w:pPr>
            <w:r>
              <w:t xml:space="preserve">19%</w:t>
            </w:r>
          </w:p>
        </w:tc>
      </w:tr>
      <w:tr>
        <w:tc>
          <w:tcPr/>
          <w:p>
            <w:pPr>
              <w:pStyle w:val="Compact"/>
              <w:jc w:val="left"/>
            </w:pPr>
            <w:r>
              <w:t xml:space="preserve">Eventos adversos graves</w:t>
            </w:r>
          </w:p>
        </w:tc>
        <w:tc>
          <w:tcPr/>
          <w:p>
            <w:pPr>
              <w:pStyle w:val="Compact"/>
              <w:jc w:val="left"/>
            </w:pPr>
            <w:r>
              <w:t xml:space="preserve">7%</w:t>
            </w:r>
          </w:p>
        </w:tc>
        <w:tc>
          <w:tcPr/>
          <w:p>
            <w:pPr>
              <w:pStyle w:val="Compact"/>
              <w:jc w:val="left"/>
            </w:pPr>
            <w:r>
              <w:t xml:space="preserve">8%</w:t>
            </w:r>
          </w:p>
        </w:tc>
        <w:tc>
          <w:tcPr/>
          <w:p>
            <w:pPr>
              <w:pStyle w:val="Compact"/>
              <w:jc w:val="left"/>
            </w:pPr>
            <w:r>
              <w:t xml:space="preserve">12%</w:t>
            </w:r>
          </w:p>
        </w:tc>
      </w:tr>
      <w:tr>
        <w:tc>
          <w:tcPr/>
          <w:p>
            <w:pPr>
              <w:pStyle w:val="Compact"/>
              <w:jc w:val="left"/>
            </w:pPr>
            <w:r>
              <w:t xml:space="preserve">Tiempo promedio de infusión</w:t>
            </w:r>
          </w:p>
        </w:tc>
        <w:tc>
          <w:tcPr/>
          <w:p>
            <w:pPr>
              <w:pStyle w:val="Compact"/>
              <w:jc w:val="left"/>
            </w:pPr>
            <w:r>
              <w:t xml:space="preserve">—</w:t>
            </w:r>
          </w:p>
        </w:tc>
        <w:tc>
          <w:tcPr/>
          <w:p>
            <w:pPr>
              <w:pStyle w:val="Compact"/>
              <w:jc w:val="left"/>
            </w:pPr>
            <w:r>
              <w:t xml:space="preserve">52 minutos</w:t>
            </w:r>
          </w:p>
        </w:tc>
        <w:tc>
          <w:tcPr/>
          <w:p>
            <w:pPr>
              <w:pStyle w:val="Compact"/>
              <w:jc w:val="left"/>
            </w:pPr>
            <w:r>
              <w:t xml:space="preserve">54 minutos</w:t>
            </w:r>
          </w:p>
        </w:tc>
      </w:tr>
    </w:tbl>
    <w:p>
      <w:pPr>
        <w:pStyle w:val="BodyText"/>
      </w:pPr>
      <w:r>
        <w:t xml:space="preserve">El comité independiente de seguridad no había recomendado detener el estudio. Sin embargo, solicitó un monitoreo más cercano de las enzimas hepáticas y las reacciones a la infusión. Siete pacientes de dosis alta habían experimentado anomalías temporales en los laboratorios, y dos habían sido hospitalizados tras reacciones graves. Los investigadores no coincidían en si los eventos reflejaban el fármaco, la enfermedad subyacente de los pacientes, o la interacción con otros medicamentos.</w:t>
      </w:r>
    </w:p>
    <w:bookmarkEnd w:id="11"/>
    <w:bookmarkEnd w:id="12"/>
    <w:bookmarkStart w:id="14" w:name="el-problema-del-reclutamiento"/>
    <w:p>
      <w:pPr>
        <w:pStyle w:val="Heading1"/>
      </w:pPr>
      <w:r>
        <w:t xml:space="preserve">El Problema del Reclutamiento</w:t>
      </w:r>
    </w:p>
    <w:p>
      <w:pPr>
        <w:pStyle w:val="FirstParagraph"/>
      </w:pPr>
      <w:r>
        <w:t xml:space="preserve">El plan original asumía que cada sitio activo inscribiría a 0.55 pacientes por mes. La tasa real fue de 0.31. Algunos hospitales examinaban a muchos pacientes pero inscribían pocos porque las reglas de elegibilidad excluían a personas con enfermedad renal, infecciones recientes, medicación de fondo inestable, o enfermedad demasiado leve o demasiado avanzada. Los neumólogos comunitarios eran reacios a referir pacientes a centros académicos, por temor a perder la relación a largo plazo. Los pacientes enfrentaban viajes repetidos, pruebas invasivas, y una probabilidad de uno en tres de recibir placebo.</w:t>
      </w:r>
    </w:p>
    <w:p>
      <w:pPr>
        <w:pStyle w:val="BodyText"/>
      </w:pPr>
      <w:r>
        <w:t xml:space="preserve">El equipo de operaciones clínicas de Asterion propuso abrir 28 sitios hospitalarios adicionales y ocho centros de investigación dedicados en espacio ambulatorio alquilado. El equipo médico preferían menos sitios, pero más experimentados. Un grupo de defensa de pacientes argumentó por enfermería a domicilio, asistencia de transporte y evaluaciones remotas. Cada enfoque cambiaba la tasa esperada de reclutamiento, la consistencia de los datos y el costo del estudio.</w:t>
      </w:r>
    </w:p>
    <w:bookmarkStart w:id="13" w:name="X9666838f12bef58237b2fb2b7127d89913c5709"/>
    <w:p>
      <w:pPr>
        <w:pStyle w:val="Heading2"/>
      </w:pPr>
      <w:r>
        <w:t xml:space="preserve">Exhibición 3. Embudo de Reclutamiento y Desempeño de Sitios</w:t>
      </w:r>
    </w:p>
    <w:tbl>
      <w:tblPr>
        <w:tblStyle w:val="Table"/>
        <w:tblW w:type="pct" w:w="4882"/>
        <w:tblLayout w:type="fixed"/>
        <w:tblLook w:firstRow="1" w:lastRow="0" w:firstColumn="0" w:lastColumn="0" w:noHBand="0" w:noVBand="0" w:val="0020"/>
      </w:tblPr>
      <w:tblGrid>
        <w:gridCol w:w="4006"/>
        <w:gridCol w:w="1490"/>
        <w:gridCol w:w="2236"/>
      </w:tblGrid>
      <w:tr>
        <w:trPr>
          <w:tblHeader w:val="on"/>
        </w:trPr>
        <w:tc>
          <w:tcPr/>
          <w:p>
            <w:pPr>
              <w:pStyle w:val="Compact"/>
              <w:jc w:val="left"/>
            </w:pPr>
            <w:r>
              <w:t xml:space="preserve">Actividad</w:t>
            </w:r>
          </w:p>
        </w:tc>
        <w:tc>
          <w:tcPr/>
          <w:p>
            <w:pPr>
              <w:pStyle w:val="Compact"/>
            </w:pPr>
            <w:r>
              <w:t xml:space="preserve">Desde el lanzami</w:t>
            </w:r>
          </w:p>
        </w:tc>
        <w:tc>
          <w:tcPr/>
          <w:p>
            <w:pPr>
              <w:pStyle w:val="Compact"/>
            </w:pPr>
            <w:r>
              <w:t xml:space="preserve">ento Porcentaje del paso anterior</w:t>
            </w:r>
          </w:p>
        </w:tc>
      </w:tr>
      <w:tr>
        <w:tc>
          <w:tcPr/>
          <w:p>
            <w:pPr>
              <w:pStyle w:val="Compact"/>
              <w:jc w:val="left"/>
            </w:pPr>
            <w:r>
              <w:t xml:space="preserve">Registros de pacientes identificados prelim</w:t>
            </w:r>
          </w:p>
        </w:tc>
        <w:tc>
          <w:tcPr/>
          <w:p>
            <w:pPr>
              <w:pStyle w:val="Compact"/>
            </w:pPr>
            <w:r>
              <w:t xml:space="preserve">inarmente 4,86</w:t>
            </w:r>
          </w:p>
        </w:tc>
        <w:tc>
          <w:tcPr/>
          <w:p>
            <w:pPr>
              <w:pStyle w:val="Compact"/>
            </w:pPr>
            <w:r>
              <w:t xml:space="preserve">0 —</w:t>
            </w:r>
          </w:p>
        </w:tc>
      </w:tr>
      <w:tr>
        <w:tc>
          <w:tcPr/>
          <w:p>
            <w:pPr>
              <w:pStyle w:val="Compact"/>
              <w:jc w:val="left"/>
            </w:pPr>
            <w:r>
              <w:t xml:space="preserve">Pacientes contactados o referidos</w:t>
            </w:r>
          </w:p>
        </w:tc>
        <w:tc>
          <w:tcPr/>
          <w:p>
            <w:pPr>
              <w:pStyle w:val="Compact"/>
            </w:pPr>
            <w:r>
              <w:t xml:space="preserve">1,940</w:t>
            </w:r>
          </w:p>
        </w:tc>
        <w:tc>
          <w:tcPr/>
          <w:p>
            <w:pPr>
              <w:pStyle w:val="Compact"/>
            </w:pPr>
            <w:r>
              <w:t xml:space="preserve">40%</w:t>
            </w:r>
          </w:p>
        </w:tc>
      </w:tr>
      <w:tr>
        <w:tc>
          <w:tcPr/>
          <w:p>
            <w:pPr>
              <w:pStyle w:val="Compact"/>
              <w:jc w:val="left"/>
            </w:pPr>
            <w:r>
              <w:t xml:space="preserve">Pacientes que consienten al cribado</w:t>
            </w:r>
          </w:p>
        </w:tc>
        <w:tc>
          <w:tcPr/>
          <w:p>
            <w:pPr>
              <w:pStyle w:val="Compact"/>
            </w:pPr>
            <w:r>
              <w:t xml:space="preserve">612</w:t>
            </w:r>
          </w:p>
        </w:tc>
        <w:tc>
          <w:tcPr/>
          <w:p>
            <w:pPr>
              <w:pStyle w:val="Compact"/>
            </w:pPr>
            <w:r>
              <w:t xml:space="preserve">32%</w:t>
            </w:r>
          </w:p>
        </w:tc>
      </w:tr>
      <w:tr>
        <w:tc>
          <w:tcPr/>
          <w:p>
            <w:pPr>
              <w:pStyle w:val="Compact"/>
              <w:jc w:val="left"/>
            </w:pPr>
            <w:r>
              <w:t xml:space="preserve">Pacientes que cumplen criterios de elegibil</w:t>
            </w:r>
          </w:p>
        </w:tc>
        <w:tc>
          <w:tcPr/>
          <w:p>
            <w:pPr>
              <w:pStyle w:val="Compact"/>
            </w:pPr>
            <w:r>
              <w:t xml:space="preserve">idad 274</w:t>
            </w:r>
          </w:p>
        </w:tc>
        <w:tc>
          <w:tcPr/>
          <w:p>
            <w:pPr>
              <w:pStyle w:val="Compact"/>
            </w:pPr>
            <w:r>
              <w:t xml:space="preserve">45%</w:t>
            </w:r>
          </w:p>
        </w:tc>
      </w:tr>
      <w:tr>
        <w:tc>
          <w:tcPr/>
          <w:p>
            <w:pPr>
              <w:pStyle w:val="Compact"/>
              <w:jc w:val="left"/>
            </w:pPr>
            <w:r>
              <w:t xml:space="preserve">Pacientes aleatorizados</w:t>
            </w:r>
          </w:p>
        </w:tc>
        <w:tc>
          <w:tcPr/>
          <w:p>
            <w:pPr>
              <w:pStyle w:val="Compact"/>
            </w:pPr>
            <w:r>
              <w:t xml:space="preserve">186</w:t>
            </w:r>
          </w:p>
        </w:tc>
        <w:tc>
          <w:tcPr/>
          <w:p>
            <w:pPr>
              <w:pStyle w:val="Compact"/>
            </w:pPr>
            <w:r>
              <w:t xml:space="preserve">68%</w:t>
            </w:r>
          </w:p>
        </w:tc>
      </w:tr>
      <w:tr>
        <w:tc>
          <w:tcPr/>
          <w:p>
            <w:pPr>
              <w:pStyle w:val="Compact"/>
              <w:jc w:val="left"/>
            </w:pPr>
            <w:r>
              <w:t xml:space="preserve">Pacientes que completan 24 semanas</w:t>
            </w:r>
          </w:p>
        </w:tc>
        <w:tc>
          <w:tcPr/>
          <w:p>
            <w:pPr>
              <w:pStyle w:val="Compact"/>
            </w:pPr>
            <w:r>
              <w:t xml:space="preserve">151</w:t>
            </w:r>
          </w:p>
        </w:tc>
        <w:tc>
          <w:tcPr/>
          <w:p>
            <w:pPr>
              <w:pStyle w:val="Compact"/>
            </w:pPr>
            <w:r>
              <w:t xml:space="preserve">81% de los aleatorizados</w:t>
            </w:r>
          </w:p>
        </w:tc>
      </w:tr>
    </w:tbl>
    <w:p>
      <w:pPr>
        <w:pStyle w:val="BodyText"/>
      </w:pPr>
      <w:r>
        <w:t xml:space="preserve">Los datos a nivel de sitio de la empresa eran igualmente desiguales. Seis sitios no habían inscrito a ningún paciente, mientras que cuatro centros grandes representaban el 38 por ciento del ensayo. Expandir la red podría aumentar el acceso, pero los nuevos sitios requerirían contratos, revisión ética, capacitación, envíos de fármaco, certificación de laboratorio y monitoreo antes de que pudiera ingresar el primer paciente.</w:t>
      </w:r>
    </w:p>
    <w:bookmarkEnd w:id="13"/>
    <w:bookmarkEnd w:id="14"/>
    <w:bookmarkStart w:id="16" w:name="cuatro-caminos-a-seguir"/>
    <w:p>
      <w:pPr>
        <w:pStyle w:val="Heading1"/>
      </w:pPr>
      <w:r>
        <w:t xml:space="preserve">Cuatro Caminos a Seguir</w:t>
      </w:r>
    </w:p>
    <w:p>
      <w:pPr>
        <w:pStyle w:val="FirstParagraph"/>
      </w:pPr>
      <w:r>
        <w:t xml:space="preserve">El equipo de Chen desarrolló cuatro caminos generales. El primero era completar el estudio de Fase IIb existente sin cambios importantes, usando a los pacientes restantes para aclarar el patrón de dosis y seguridad. Esta era la opción menos costosa a corto plazo, pero postergaría la decisión pivotal por aproximadamente nueve meses.</w:t>
      </w:r>
    </w:p>
    <w:p>
      <w:pPr>
        <w:pStyle w:val="BodyText"/>
      </w:pPr>
      <w:r>
        <w:t xml:space="preserve">El segundo camino era iniciar de inmediato un programa de Fase III grande usando la dosis baja y una población de pacientes amplia. La velocidad podría preservar la vida de la patente y la capacidad de manufactura, pero Asterion comprometería capital sustancial antes de que estuvieran disponibles los resultados finales de la Fase IIb.</w:t>
      </w:r>
    </w:p>
    <w:p>
      <w:pPr>
        <w:pStyle w:val="BodyText"/>
      </w:pPr>
      <w:r>
        <w:t xml:space="preserve">El tercer camino era un ensayo pivotal adaptativo que pudiera alterar la inscripción entre grupos de pacientes pre-especificados tras una revisión intermedia. El diseño podría aprender mientras avanza, pero sería más complejo de explicar a investigadores, reguladores e inversionistas. Los errores estadísticos o la inconsistencia operativa podrían socavar el valor de la flexibilidad.</w:t>
      </w:r>
    </w:p>
    <w:p>
      <w:pPr>
        <w:pStyle w:val="BodyText"/>
      </w:pPr>
      <w:r>
        <w:t xml:space="preserve">El cuarto camino era un estudio confirmatorio más pequeño enfocado en pacientes recientemente diagnosticados, combinado con la búsqueda de un socio farmacéutico. Esto podría reducir la exposición financiera de Asterion, pero un socio podría exigir control, retrasar el programa durante la debida diligencia, o valorar el activo menos tras ver los datos ambiguos de seguridad de la dosis alta.</w:t>
      </w:r>
    </w:p>
    <w:bookmarkStart w:id="15" w:name="Xe367aab9aac42f9f5d879e9b73a0621c527c44a"/>
    <w:p>
      <w:pPr>
        <w:pStyle w:val="Heading2"/>
      </w:pPr>
      <w:r>
        <w:t xml:space="preserve">Exhibición 4. Alternativas de Desarrollo Presentadas a la Junta</w:t>
      </w:r>
    </w:p>
    <w:tbl>
      <w:tblPr>
        <w:tblStyle w:val="Table"/>
        <w:tblW w:type="pct" w:w="4936"/>
        <w:tblLayout w:type="fixed"/>
        <w:tblLook w:firstRow="1" w:lastRow="0" w:firstColumn="0" w:lastColumn="0" w:noHBand="0" w:noVBand="0" w:val="0020"/>
      </w:tblPr>
      <w:tblGrid>
        <w:gridCol w:w="1816"/>
        <w:gridCol w:w="2270"/>
        <w:gridCol w:w="1513"/>
        <w:gridCol w:w="2219"/>
      </w:tblGrid>
      <w:tr>
        <w:trPr>
          <w:tblHeader w:val="on"/>
        </w:trPr>
        <w:tc>
          <w:tcPr/>
          <w:p>
            <w:pPr>
              <w:pStyle w:val="Compact"/>
              <w:jc w:val="left"/>
            </w:pPr>
            <w:r>
              <w:t xml:space="preserve">Alternativa</w:t>
            </w:r>
          </w:p>
        </w:tc>
        <w:tc>
          <w:tcPr/>
          <w:p>
            <w:pPr>
              <w:pStyle w:val="Compact"/>
            </w:pPr>
            <w:r>
              <w:t xml:space="preserve">Costo adicional antes de la próxima decisión</w:t>
            </w:r>
          </w:p>
        </w:tc>
        <w:tc>
          <w:tcPr/>
          <w:p>
            <w:pPr>
              <w:pStyle w:val="Compact"/>
            </w:pPr>
            <w:r>
              <w:t xml:space="preserve">mayor Tiempo hasta la próxim</w:t>
            </w:r>
          </w:p>
        </w:tc>
        <w:tc>
          <w:tcPr/>
          <w:p>
            <w:pPr>
              <w:pStyle w:val="Compact"/>
              <w:jc w:val="left"/>
            </w:pPr>
            <w:r>
              <w:t xml:space="preserve">a decisión mayor Exposición seleccionada</w:t>
            </w:r>
          </w:p>
        </w:tc>
      </w:tr>
      <w:tr>
        <w:tc>
          <w:tcPr/>
          <w:p>
            <w:pPr>
              <w:pStyle w:val="Compact"/>
              <w:jc w:val="left"/>
            </w:pPr>
            <w:r>
              <w:t xml:space="preserve">Terminar la Fase IIb según lo planif</w:t>
            </w:r>
          </w:p>
        </w:tc>
        <w:tc>
          <w:tcPr/>
          <w:p>
            <w:pPr>
              <w:pStyle w:val="Compact"/>
            </w:pPr>
            <w:r>
              <w:t xml:space="preserve">icado $38 million</w:t>
            </w:r>
          </w:p>
        </w:tc>
        <w:tc>
          <w:tcPr/>
          <w:p>
            <w:pPr>
              <w:pStyle w:val="Compact"/>
            </w:pPr>
            <w:r>
              <w:t xml:space="preserve">9 meses</w:t>
            </w:r>
          </w:p>
        </w:tc>
        <w:tc>
          <w:tcPr/>
          <w:p>
            <w:pPr>
              <w:pStyle w:val="Compact"/>
              <w:jc w:val="left"/>
            </w:pPr>
            <w:r>
              <w:t xml:space="preserve">Retraso de competidor y patente</w:t>
            </w:r>
          </w:p>
        </w:tc>
      </w:tr>
      <w:tr>
        <w:tc>
          <w:tcPr/>
          <w:p>
            <w:pPr>
              <w:pStyle w:val="Compact"/>
              <w:jc w:val="left"/>
            </w:pPr>
            <w:r>
              <w:t xml:space="preserve">Lanzar Fase III amplia</w:t>
            </w:r>
          </w:p>
        </w:tc>
        <w:tc>
          <w:tcPr/>
          <w:p>
            <w:pPr>
              <w:pStyle w:val="Compact"/>
            </w:pPr>
            <w:r>
              <w:t xml:space="preserve">$286 million</w:t>
            </w:r>
          </w:p>
        </w:tc>
        <w:tc>
          <w:tcPr/>
          <w:p>
            <w:pPr>
              <w:pStyle w:val="Compact"/>
            </w:pPr>
            <w:r>
              <w:t xml:space="preserve">30–38 meses C</w:t>
            </w:r>
          </w:p>
        </w:tc>
        <w:tc>
          <w:tcPr/>
          <w:p>
            <w:pPr>
              <w:pStyle w:val="Compact"/>
              <w:jc w:val="left"/>
            </w:pPr>
            <w:r>
              <w:t xml:space="preserve">ompromiso grande con evidencia incompleta</w:t>
            </w:r>
          </w:p>
        </w:tc>
      </w:tr>
      <w:tr>
        <w:tc>
          <w:tcPr/>
          <w:p>
            <w:pPr>
              <w:pStyle w:val="Compact"/>
              <w:jc w:val="left"/>
            </w:pPr>
            <w:r>
              <w:t xml:space="preserve">Programa pivotal adaptativo</w:t>
            </w:r>
          </w:p>
        </w:tc>
        <w:tc>
          <w:tcPr/>
          <w:p>
            <w:pPr>
              <w:pStyle w:val="Compact"/>
            </w:pPr>
            <w:r>
              <w:t xml:space="preserve">$244 million</w:t>
            </w:r>
          </w:p>
        </w:tc>
        <w:tc>
          <w:tcPr/>
          <w:p>
            <w:pPr>
              <w:pStyle w:val="Compact"/>
            </w:pPr>
            <w:r>
              <w:t xml:space="preserve">24–34 meses C</w:t>
            </w:r>
          </w:p>
        </w:tc>
        <w:tc>
          <w:tcPr/>
          <w:p>
            <w:pPr>
              <w:pStyle w:val="Compact"/>
              <w:jc w:val="left"/>
            </w:pPr>
            <w:r>
              <w:t xml:space="preserve">omplejidad de diseño y regulatoria</w:t>
            </w:r>
          </w:p>
        </w:tc>
      </w:tr>
      <w:tr>
        <w:tc>
          <w:tcPr/>
          <w:p>
            <w:pPr>
              <w:pStyle w:val="Compact"/>
              <w:jc w:val="left"/>
            </w:pPr>
            <w:r>
              <w:t xml:space="preserve">Estudio enfocado más búsqueda de soc</w:t>
            </w:r>
          </w:p>
        </w:tc>
        <w:tc>
          <w:tcPr/>
          <w:p>
            <w:pPr>
              <w:pStyle w:val="Compact"/>
            </w:pPr>
            <w:r>
              <w:t xml:space="preserve">io $74 million</w:t>
            </w:r>
          </w:p>
        </w:tc>
        <w:tc>
          <w:tcPr/>
          <w:p>
            <w:pPr>
              <w:pStyle w:val="Compact"/>
            </w:pPr>
            <w:r>
              <w:t xml:space="preserve">12–18 meses</w:t>
            </w:r>
          </w:p>
        </w:tc>
        <w:tc>
          <w:tcPr/>
          <w:p>
            <w:pPr>
              <w:pStyle w:val="Compact"/>
              <w:jc w:val="left"/>
            </w:pPr>
            <w:r>
              <w:t xml:space="preserve">Mercado más pequeño; pérdida de control</w:t>
            </w:r>
          </w:p>
        </w:tc>
      </w:tr>
    </w:tbl>
    <w:bookmarkEnd w:id="15"/>
    <w:bookmarkEnd w:id="16"/>
    <w:bookmarkStart w:id="18" w:name="la-pregunta-comercial"/>
    <w:p>
      <w:pPr>
        <w:pStyle w:val="Heading1"/>
      </w:pPr>
      <w:r>
        <w:t xml:space="preserve">La Pregunta Comercial</w:t>
      </w:r>
    </w:p>
    <w:p>
      <w:pPr>
        <w:pStyle w:val="FirstParagraph"/>
      </w:pPr>
      <w:r>
        <w:t xml:space="preserve">Incluso un ensayo exitoso no resolvería el problema de negocio. Los tratamientos existentes se tomaban por vía oral, mientras que AST-417 requería una infusión cada cuatro semanas y distribución refrigerada. Asterion estimó que la manufactura, el empaquetado, la distribución de cadena de frío y el apoyo para la administración costarían $14,600 por paciente tratado por año antes de ventas, descuentos, asistencia al paciente y estudios posteriores a la aprobación. Los médicos entrevistados por la empresa apreciaban la posibilidad de una progresión más lenta de la enfermedad, pero muchos dijeron que reservarían una infusión para pacientes que hubieran fallado con tratamientos más simples.</w:t>
      </w:r>
    </w:p>
    <w:p>
      <w:pPr>
        <w:pStyle w:val="BodyText"/>
      </w:pPr>
      <w:r>
        <w:t xml:space="preserve">Los pronósticos comerciales oscilaban desde un pico conservador de $420 million en ventas anuales hasta más de $1.8 billion. El rango dependía de la población de pacientes aprobada, el precio, la aceptación de los médicos, las restricciones de las aseguradoras, los resultados de los competidores, y si la terapia reducía las hospitalizaciones en lugar de simplemente mejorar una medida de laboratorio. El director de finanzas de Asterion advirtió que la empresa podría gastar cientos de millones demostrando un efecto estadísticamente significativo que el mercado no valorara altamente.</w:t>
      </w:r>
    </w:p>
    <w:bookmarkStart w:id="17" w:name="X5d777ee5496b57a8deeb63bc814daa27d651a6a"/>
    <w:p>
      <w:pPr>
        <w:pStyle w:val="Heading2"/>
      </w:pPr>
      <w:r>
        <w:t xml:space="preserve">Exhibición 5. Fuentes Seleccionadas de Valor Comercial</w:t>
      </w:r>
    </w:p>
    <w:tbl>
      <w:tblPr>
        <w:tblStyle w:val="Table"/>
        <w:tblW w:type="pct" w:w="4875"/>
        <w:tblLayout w:type="fixed"/>
        <w:tblLook w:firstRow="1" w:lastRow="0" w:firstColumn="0" w:lastColumn="0" w:noHBand="0" w:noVBand="0" w:val="0020"/>
      </w:tblPr>
      <w:tblGrid>
        <w:gridCol w:w="3762"/>
        <w:gridCol w:w="1980"/>
        <w:gridCol w:w="1980"/>
      </w:tblGrid>
      <w:tr>
        <w:trPr>
          <w:tblHeader w:val="on"/>
        </w:trPr>
        <w:tc>
          <w:tcPr/>
          <w:p>
            <w:pPr>
              <w:pStyle w:val="Compact"/>
              <w:jc w:val="left"/>
            </w:pPr>
            <w:r>
              <w:t xml:space="preserve">Suposición</w:t>
            </w:r>
          </w:p>
        </w:tc>
        <w:tc>
          <w:tcPr/>
          <w:p>
            <w:pPr>
              <w:pStyle w:val="Compact"/>
              <w:jc w:val="center"/>
            </w:pPr>
            <w:r>
              <w:t xml:space="preserve">Caso conservador</w:t>
            </w:r>
          </w:p>
        </w:tc>
        <w:tc>
          <w:tcPr/>
          <w:p>
            <w:pPr>
              <w:pStyle w:val="Compact"/>
              <w:jc w:val="center"/>
            </w:pPr>
            <w:r>
              <w:t xml:space="preserve">Caso alto</w:t>
            </w:r>
          </w:p>
        </w:tc>
      </w:tr>
      <w:tr>
        <w:tc>
          <w:tcPr/>
          <w:p>
            <w:pPr>
              <w:pStyle w:val="Compact"/>
              <w:jc w:val="left"/>
            </w:pPr>
            <w:r>
              <w:t xml:space="preserve">Pacientes elegibles en EE. UU.</w:t>
            </w:r>
          </w:p>
        </w:tc>
        <w:tc>
          <w:tcPr/>
          <w:p>
            <w:pPr>
              <w:pStyle w:val="Compact"/>
              <w:jc w:val="center"/>
            </w:pPr>
            <w:r>
              <w:t xml:space="preserve">24,000</w:t>
            </w:r>
          </w:p>
        </w:tc>
        <w:tc>
          <w:tcPr/>
          <w:p>
            <w:pPr>
              <w:pStyle w:val="Compact"/>
              <w:jc w:val="center"/>
            </w:pPr>
            <w:r>
              <w:t xml:space="preserve">68,000</w:t>
            </w:r>
          </w:p>
        </w:tc>
      </w:tr>
      <w:tr>
        <w:tc>
          <w:tcPr/>
          <w:p>
            <w:pPr>
              <w:pStyle w:val="Compact"/>
              <w:jc w:val="left"/>
            </w:pPr>
            <w:r>
              <w:t xml:space="preserve">Participación tratada en el pico</w:t>
            </w:r>
          </w:p>
        </w:tc>
        <w:tc>
          <w:tcPr/>
          <w:p>
            <w:pPr>
              <w:pStyle w:val="Compact"/>
              <w:jc w:val="center"/>
            </w:pPr>
            <w:r>
              <w:t xml:space="preserve">12%</w:t>
            </w:r>
          </w:p>
        </w:tc>
        <w:tc>
          <w:tcPr/>
          <w:p>
            <w:pPr>
              <w:pStyle w:val="Compact"/>
              <w:jc w:val="center"/>
            </w:pPr>
            <w:r>
              <w:t xml:space="preserve">28%</w:t>
            </w:r>
          </w:p>
        </w:tc>
      </w:tr>
      <w:tr>
        <w:tc>
          <w:tcPr/>
          <w:p>
            <w:pPr>
              <w:pStyle w:val="Compact"/>
              <w:jc w:val="left"/>
            </w:pPr>
            <w:r>
              <w:t xml:space="preserve">Ingreso neto anual por paciente</w:t>
            </w:r>
          </w:p>
        </w:tc>
        <w:tc>
          <w:tcPr/>
          <w:p>
            <w:pPr>
              <w:pStyle w:val="Compact"/>
              <w:jc w:val="center"/>
            </w:pPr>
            <w:r>
              <w:t xml:space="preserve">$72,000</w:t>
            </w:r>
          </w:p>
        </w:tc>
        <w:tc>
          <w:tcPr/>
          <w:p>
            <w:pPr>
              <w:pStyle w:val="Compact"/>
              <w:jc w:val="center"/>
            </w:pPr>
            <w:r>
              <w:t xml:space="preserve">$94,000</w:t>
            </w:r>
          </w:p>
        </w:tc>
      </w:tr>
      <w:tr>
        <w:tc>
          <w:tcPr/>
          <w:p>
            <w:pPr>
              <w:pStyle w:val="Compact"/>
              <w:jc w:val="left"/>
            </w:pPr>
            <w:r>
              <w:t xml:space="preserve">Discontinuación anual tras el lanzamie</w:t>
            </w:r>
          </w:p>
        </w:tc>
        <w:tc>
          <w:tcPr/>
          <w:p>
            <w:pPr>
              <w:pStyle w:val="Compact"/>
              <w:jc w:val="center"/>
            </w:pPr>
            <w:r>
              <w:t xml:space="preserve">nto 29%</w:t>
            </w:r>
          </w:p>
        </w:tc>
        <w:tc>
          <w:tcPr/>
          <w:p>
            <w:pPr>
              <w:pStyle w:val="Compact"/>
              <w:jc w:val="center"/>
            </w:pPr>
            <w:r>
              <w:t xml:space="preserve">14%</w:t>
            </w:r>
          </w:p>
        </w:tc>
      </w:tr>
      <w:tr>
        <w:tc>
          <w:tcPr/>
          <w:p>
            <w:pPr>
              <w:pStyle w:val="Compact"/>
              <w:jc w:val="left"/>
            </w:pPr>
            <w:r>
              <w:t xml:space="preserve">Tiempo desde el inicio pivotal hasta l</w:t>
            </w:r>
          </w:p>
        </w:tc>
        <w:tc>
          <w:tcPr/>
          <w:p>
            <w:pPr>
              <w:pStyle w:val="Compact"/>
              <w:jc w:val="center"/>
            </w:pPr>
            <w:r>
              <w:t xml:space="preserve">a aprobación 5.0 a</w:t>
            </w:r>
          </w:p>
        </w:tc>
        <w:tc>
          <w:tcPr/>
          <w:p>
            <w:pPr>
              <w:pStyle w:val="Compact"/>
              <w:jc w:val="center"/>
            </w:pPr>
            <w:r>
              <w:t xml:space="preserve">ños 3.6 años</w:t>
            </w:r>
          </w:p>
        </w:tc>
      </w:tr>
      <w:tr>
        <w:tc>
          <w:tcPr/>
          <w:p>
            <w:pPr>
              <w:pStyle w:val="Compact"/>
              <w:jc w:val="left"/>
            </w:pPr>
            <w:r>
              <w:t xml:space="preserve">Estimación de ventas anuales en el pic</w:t>
            </w:r>
          </w:p>
        </w:tc>
        <w:tc>
          <w:tcPr/>
          <w:p>
            <w:pPr>
              <w:pStyle w:val="Compact"/>
              <w:jc w:val="center"/>
            </w:pPr>
            <w:r>
              <w:t xml:space="preserve">o $420 million</w:t>
            </w:r>
          </w:p>
        </w:tc>
        <w:tc>
          <w:tcPr/>
          <w:p>
            <w:pPr>
              <w:pStyle w:val="Compact"/>
              <w:jc w:val="center"/>
            </w:pPr>
            <w:r>
              <w:t xml:space="preserve">$1.8 billion</w:t>
            </w:r>
          </w:p>
        </w:tc>
      </w:tr>
    </w:tbl>
    <w:bookmarkEnd w:id="17"/>
    <w:bookmarkEnd w:id="18"/>
    <w:bookmarkStart w:id="19" w:name="la-reunión-de-la-junta-del-jueves"/>
    <w:p>
      <w:pPr>
        <w:pStyle w:val="Heading1"/>
      </w:pPr>
      <w:r>
        <w:t xml:space="preserve">La Reunión de la Junta del Jueves</w:t>
      </w:r>
    </w:p>
    <w:p>
      <w:pPr>
        <w:pStyle w:val="FirstParagraph"/>
      </w:pPr>
      <w:r>
        <w:t xml:space="preserve">El paquete para la junta debía entregarse el jueves. Chen tenía que recomendar un camino de desarrollo, una población de pacientes, una dosis, una estrategia de sitios, y una postura de financiamiento. También tenía que definir qué evidencia haría que Asterion detuviera, continuara, estrechara, o acelerara el programa en revisiones futuras. Varios directores querían una respuesta clara. Chen creía que la evidencia respaldaba varias respuestas defendibles, cada una de las cuales expondría a la empresa a una forma diferente de fracaso.</w:t>
      </w:r>
    </w:p>
    <w:p>
      <w:pPr>
        <w:pStyle w:val="BodyText"/>
      </w:pPr>
      <w:r>
        <w:t xml:space="preserve">Completar el ensayo actual compraría información pero consumiría tiempo. Iniciar la Fase III compraría velocidad pero comprometería capital. Estrechar la población podría mejorar el efecto de tratamiento observado mientras reducía el acceso y el tamaño del mercado. Abrir más sitios podría mejorar el reclutamiento mientras aumentaba la inconsistencia. Una alianza podría proteger el balance mientras cedía gran parte del potencial de ganancia. Para el miércoles por la noche, Chen todavía no había decidido con qué incertidumbre podía Asterion permitirse convivir.</w:t>
      </w:r>
    </w:p>
    <w:bookmarkEnd w:id="19"/>
    <w:bookmarkStart w:id="20" w:name="preguntas-de-discusión"/>
    <w:p>
      <w:pPr>
        <w:pStyle w:val="Heading1"/>
      </w:pPr>
      <w:r>
        <w:t xml:space="preserve">Preguntas de Discusión</w:t>
      </w:r>
    </w:p>
    <w:p>
      <w:pPr>
        <w:numPr>
          <w:ilvl w:val="0"/>
          <w:numId w:val="1001"/>
        </w:numPr>
      </w:pPr>
      <w:r>
        <w:t xml:space="preserve">¿Qué debería recomendar Chen en la reunión de la junta del jueves?</w:t>
      </w:r>
    </w:p>
    <w:p>
      <w:pPr>
        <w:numPr>
          <w:ilvl w:val="0"/>
          <w:numId w:val="1001"/>
        </w:numPr>
      </w:pPr>
      <w:r>
        <w:t xml:space="preserve">¿Cómo debería Asterion interpretar el resultado más fuerte de la dosis baja y la respuesta desigual de la dosis alta?</w:t>
      </w:r>
    </w:p>
    <w:p>
      <w:pPr>
        <w:numPr>
          <w:ilvl w:val="0"/>
          <w:numId w:val="1001"/>
        </w:numPr>
      </w:pPr>
      <w:r>
        <w:t xml:space="preserve">¿Debería el próximo estudio usar una población amplia o enfocarse en pacientes recientemente diagnosticados?</w:t>
      </w:r>
    </w:p>
    <w:p>
      <w:pPr>
        <w:numPr>
          <w:ilvl w:val="0"/>
          <w:numId w:val="1001"/>
        </w:numPr>
      </w:pPr>
      <w:r>
        <w:t xml:space="preserve">¿Cómo debería la empresa equilibrar la velocidad de reclutamiento con la calidad de los sitios y la consistencia de los datos?</w:t>
      </w:r>
    </w:p>
    <w:p>
      <w:pPr>
        <w:numPr>
          <w:ilvl w:val="0"/>
          <w:numId w:val="1001"/>
        </w:numPr>
      </w:pPr>
      <w:r>
        <w:t xml:space="preserve">¿Cuáles de las inversiones de reclutamiento propuestas tienen mayor probabilidad de producir información útil en lugar de simplemente más actividad?</w:t>
      </w:r>
    </w:p>
    <w:p>
      <w:pPr>
        <w:numPr>
          <w:ilvl w:val="0"/>
          <w:numId w:val="1001"/>
        </w:numPr>
      </w:pPr>
      <w:r>
        <w:t xml:space="preserve">¿Qué evidencia debería desencadenar continuación, expansión, rediseño, alianza, o terminación?</w:t>
      </w:r>
    </w:p>
    <w:p>
      <w:pPr>
        <w:numPr>
          <w:ilvl w:val="0"/>
          <w:numId w:val="1001"/>
        </w:numPr>
      </w:pPr>
      <w:r>
        <w:t xml:space="preserve">¿Cómo deberían incorporarse las señales de seguridad cuando el comité independiente no ha recomendado detener el estudio?</w:t>
      </w:r>
    </w:p>
    <w:p>
      <w:pPr>
        <w:numPr>
          <w:ilvl w:val="0"/>
          <w:numId w:val="1001"/>
        </w:numPr>
      </w:pPr>
      <w:r>
        <w:t xml:space="preserve">¿Cuánto deberían influir los pronósticos comerciales en el diseño y continuación del programa clínico?</w:t>
      </w:r>
    </w:p>
    <w:p>
      <w:pPr>
        <w:numPr>
          <w:ilvl w:val="0"/>
          <w:numId w:val="1001"/>
        </w:numPr>
      </w:pPr>
      <w:r>
        <w:t xml:space="preserve">¿Qué información tendría el mayor valor antes de que Asterion se comprometa con un ensayo pivotal?</w:t>
      </w:r>
    </w:p>
    <w:p>
      <w:pPr>
        <w:numPr>
          <w:ilvl w:val="0"/>
          <w:numId w:val="1001"/>
        </w:numPr>
      </w:pPr>
      <w:r>
        <w:t xml:space="preserve">¿Cómo debería la gerencia comunicar una decisión ambigua a pacientes, investigadores, empleados e inversionistas?</w:t>
      </w:r>
    </w:p>
    <w:bookmarkEnd w:id="20"/>
    <w:bookmarkStart w:id="27" w:name="preguntas-de-encuadre-de-decisión"/>
    <w:p>
      <w:pPr>
        <w:pStyle w:val="Heading1"/>
      </w:pPr>
      <w:r>
        <w:t xml:space="preserve">Preguntas de Encuadre de Decisión</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Use la</w:t>
      </w:r>
      <w:r>
        <w:t xml:space="preserve"> </w:t>
      </w:r>
      <w:hyperlink r:id="rId21">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a minimizar (rojo), un objetivo que es un piso (verde claro) o un techo (rojo claro), o finalmente un objetivo (púrpura).</w:t>
      </w:r>
    </w:p>
    <w:p>
      <w:pPr>
        <w:numPr>
          <w:ilvl w:val="0"/>
          <w:numId w:val="1002"/>
        </w:numPr>
      </w:pPr>
      <w:r>
        <w:t xml:space="preserve">Use la</w:t>
      </w:r>
      <w:r>
        <w:t xml:space="preserve"> </w:t>
      </w:r>
      <w:hyperlink r:id="rId22">
        <w:r>
          <w:rPr>
            <w:rStyle w:val="Hyperlink"/>
          </w:rPr>
          <w:t xml:space="preserve">herramienta de priorización de decisiones</w:t>
        </w:r>
      </w:hyperlink>
      <w:r>
        <w:t xml:space="preserve"> </w:t>
      </w:r>
      <w:r>
        <w:t xml:space="preserve">para primero listar los diferentes tipos de decisiones (use los</w:t>
      </w:r>
      <w:r>
        <w:t xml:space="preserve"> </w:t>
      </w:r>
      <w:hyperlink r:id="rId23">
        <w:r>
          <w:rPr>
            <w:rStyle w:val="Hyperlink"/>
          </w:rPr>
          <w:t xml:space="preserve">tipos de decisiones</w:t>
        </w:r>
      </w:hyperlink>
      <w:r>
        <w:t xml:space="preserve"> </w:t>
      </w:r>
      <w:r>
        <w:t xml:space="preserve">como guía). Estos luego poblarán las filas de la matriz a la derecha, donde las columnas son las métricas de desempeño ordenadas de izquierda a derecha según la prioridad en la pirámide anterior. Haga clic en cada celda para indicar si el impacto de la decisión en cada métrica es alto (rojo), medio (naranja), bajo (amarillo) o nulo (blanco).</w:t>
      </w:r>
    </w:p>
    <w:p>
      <w:pPr>
        <w:numPr>
          <w:ilvl w:val="0"/>
          <w:numId w:val="1002"/>
        </w:numPr>
      </w:pPr>
      <w:r>
        <w:t xml:space="preserve">Puede tomar el manejador (tres barras) más a la izquierda en cada fila para moverlo hacia arriba o abajo. Ordene las filas de modo que las decisiones con mayor impacto en las métricas más importantes estén hacia arriba. Las celdas en la esquina superior izquierda deberían tener la mayor concentración de celdas rojas y naranjas. En este punto, identifique las decisiones que deberían recibir más atención en su estudio. Si no tiene decisiones con impacto medio o alto en las métricas más importantes, revise su lista de decisiones.</w:t>
      </w:r>
    </w:p>
    <w:p>
      <w:pPr>
        <w:numPr>
          <w:ilvl w:val="0"/>
          <w:numId w:val="1002"/>
        </w:numPr>
      </w:pPr>
      <w:r>
        <w:t xml:space="preserve">Repita el proceso para listar y priorizar las incertidumbres usando la</w:t>
      </w:r>
      <w:r>
        <w:t xml:space="preserve"> </w:t>
      </w:r>
      <w:hyperlink r:id="rId24">
        <w:r>
          <w:rPr>
            <w:rStyle w:val="Hyperlink"/>
          </w:rPr>
          <w:t xml:space="preserve">herramienta de priorización de incertidumbres</w:t>
        </w:r>
      </w:hyperlink>
      <w:r>
        <w:t xml:space="preserve">. Use las</w:t>
      </w:r>
      <w:r>
        <w:t xml:space="preserve"> </w:t>
      </w:r>
      <w:hyperlink r:id="rId25">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única decisión que parece tener el mayor impacto en la métrica más importante.</w:t>
      </w:r>
    </w:p>
    <w:p>
      <w:pPr>
        <w:numPr>
          <w:ilvl w:val="1"/>
          <w:numId w:val="1004"/>
        </w:numPr>
      </w:pPr>
      <w:r>
        <w:t xml:space="preserve">¿Qué enfoque considera que usaría para tomar esta decisión?</w:t>
      </w:r>
    </w:p>
    <w:p>
      <w:pPr>
        <w:numPr>
          <w:ilvl w:val="1"/>
          <w:numId w:val="1004"/>
        </w:numPr>
      </w:pPr>
      <w:r>
        <w:t xml:space="preserve">¿Qué datos parecen ser necesarios para tomar esta decisión, incluyendo el cálculo de cualquier métrica de desempeño donde la decisión tendría un impacto alto o medio?</w:t>
      </w:r>
    </w:p>
    <w:p>
      <w:pPr>
        <w:numPr>
          <w:ilvl w:val="0"/>
          <w:numId w:val="1002"/>
        </w:numPr>
      </w:pPr>
      <w:r>
        <w:t xml:space="preserve">Usando la misma decisión identificada en (7), identifique a las personas, departamentos, grupos u organizaciones con los que necesitaría trabajar para implementar la decisión.</w:t>
      </w:r>
    </w:p>
    <w:bookmarkStart w:id="26" w:name="nota-de-fuente"/>
    <w:p>
      <w:pPr>
        <w:pStyle w:val="Heading2"/>
      </w:pPr>
      <w:r>
        <w:t xml:space="preserve">Nota de Fuente</w:t>
      </w:r>
    </w:p>
    <w:p>
      <w:pPr>
        <w:pStyle w:val="FirstParagraph"/>
      </w:pPr>
      <w:r>
        <w:t xml:space="preserve">Contexto público: ClinicalTrials.gov reportó 595,847 estudios registrados a julio de 2026. La Administración de Alimentos y Medicamentos de EE. UU. describe los estudios de Fase III como que comúnmente inscriben entre 300 y 3,000 participantes y duran de uno a cuatro años. Un análisis publicado de ensayos quirúrgicos aleatorizados encontró un retraso medio de finalización de 12.2 meses entre los ensayos completados con retraso, mientras que múltiples estudios identifican el reclutamiento inadecuado como una razón principal por la cual los ensayos se discontinúan o no logran responder su pregunta principal. Fundamento conceptual: Warren B. Powell, Bridging Decision Problems, Volume I, Capítulo 2, sección</w:t>
      </w:r>
      <w:r>
        <w:t xml:space="preserve"> </w:t>
      </w:r>
      <w:r>
        <w:t xml:space="preserve">“Running clinical trials for drug testing.”</w:t>
      </w:r>
      <w:r>
        <w:t xml:space="preserve"> </w:t>
      </w:r>
      <w:r>
        <w:t xml:space="preserve">Fuentes consultadas el 30 de julio de 2026: ClinicalTrials.gov, Trends and Charts on Registered Studies; U.S. Food and Drug Administration, Step 3: Clinical Research; Shadbolt et al., JAMA Network Open (2023); Briel et al., Journal of Clinical Epidemiology (2017).</w:t>
      </w:r>
    </w:p>
    <w:bookmarkEnd w:id="26"/>
    <w:bookmarkEnd w:id="27"/>
    <w:bookmarkStart w:id="29" w:name="resumen-de-chatgpt"/>
    <w:p>
      <w:pPr>
        <w:pStyle w:val="Heading1"/>
      </w:pPr>
      <w:r>
        <w:t xml:space="preserve">Resumen de ChatGPT</w:t>
      </w:r>
    </w:p>
    <w:bookmarkStart w:id="28" w:name="prompt"/>
    <w:p>
      <w:pPr>
        <w:pStyle w:val="Heading2"/>
      </w:pPr>
      <w:r>
        <w:t xml:space="preserve">Prompt</w:t>
      </w:r>
    </w:p>
    <w:p>
      <w:pPr>
        <w:pStyle w:val="FirstParagraph"/>
      </w:pPr>
      <w:r>
        <w:t xml:space="preserve">Write a 4-6 page case study based on the material in the section at https://warrenpowell.org/bridging-vol1/chapter-2/#clinicaltrials. Create a context based on the metrics, decisions and uncertainties in the section, but without explicitly calling attention to them. motivate your case problem with data.</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2026-09-11T15:06:41Z</dcterms:created>
  <dcterms:modified xsi:type="dcterms:W3CDTF">2026-09-11T15:06:41Z</dcterms:modified>
</cp:coreProperties>
</file>

<file path=docProps/custom.xml><?xml version="1.0" encoding="utf-8"?>
<Properties xmlns="http://schemas.openxmlformats.org/officeDocument/2006/custom-properties" xmlns:vt="http://schemas.openxmlformats.org/officeDocument/2006/docPropsVTypes"/>
</file>