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ASTERION THERAPEUTICS</w:t>
      </w:r>
    </w:p>
    <w:p>
      <w:pPr>
        <w:pStyle w:val="BodyText"/>
      </w:pPr>
      <w:r>
        <w:t xml:space="preserve">Die Rekrutierungsuhr</w:t>
      </w:r>
    </w:p>
    <w:p>
      <w:pPr>
        <w:pStyle w:val="BodyText"/>
      </w:pPr>
      <w:r>
        <w:t xml:space="preserve">Ein klinisch-entwicklungsbezogener Fall über Evidenz, Rekrutierung, Sicherheit und die Kosten des Wartens</w:t>
      </w:r>
    </w:p>
    <w:p>
      <w:pPr>
        <w:pStyle w:val="BodyText"/>
      </w:pPr>
      <w:r>
        <w:t xml:space="preserve">Dieser Fall ist fiktiv und für den Einsatz in der Lehre gedacht. Namen, Ereignisse, Produkte und Unternehmensdaten sind erfunden; öffentliche Statistiken werden in der Quellenangabe zitiert.</w:t>
      </w:r>
    </w:p>
    <w:bookmarkStart w:id="10" w:name="X6e00b3fee4e9cd3a60e709e77ed3d7800c08c62"/>
    <w:p>
      <w:pPr>
        <w:pStyle w:val="Heading1"/>
      </w:pPr>
      <w:r>
        <w:t xml:space="preserve">Eine vielversprechende Therapie mit einem engen Zeitfenster</w:t>
      </w:r>
    </w:p>
    <w:p>
      <w:pPr>
        <w:pStyle w:val="FirstParagraph"/>
      </w:pPr>
      <w:r>
        <w:t xml:space="preserve">Um 7:15 Uhr an einem Dienstagmorgen im März 2027 öffnete Maya Chen, Chief Development Officer von Asterion Therapeutics, den Zwischenbericht für AST-417, eine injizierbare Therapie für progressive Lungenfibrose. Das Unternehmen hatte sechs Jahre und 214 Millionen $ investiert, um die Verbindung von der Laborarbeit durch zwei frühe klinische Studien zu bringen. Asterion verfügte nun über genügend Evidenz, um zu glauben, dass die Therapie den Verlust der Lungenfunktion verlangsamen könnte, aber nicht über genügend Evidenz, um zu wissen, ob der Nutzen klinisch überzeugend, dauerhaft oder breit genug sein würde, um eine Zulassung zu unterstützen.</w:t>
      </w:r>
    </w:p>
    <w:p>
      <w:pPr>
        <w:pStyle w:val="BodyText"/>
      </w:pPr>
      <w:r>
        <w:t xml:space="preserve">Die Entscheidung ließ sich nicht von der Zeit trennen. Asterion verfügte bei der aktuellen Ausgabenrate über eine Liquiditätsreichweite von 31 Monaten, aber ein vollständiges pivotales Programm könnte den Großteil dieser Reichweite verbrauchen. Der Patentschutz erodierte bereits, ein größerer Wettbewerber hatte eine verwandte Studie angekündigt, und der Auftragshersteller des Unternehmens benötigte innerhalb von sechs Wochen eine Kapazitätszusage. Eine Verzögerung würde mehr Informationen liefern, aber sie würde auch Geld, Patienten, Fertigungsoptionen und vielleicht Marktposition kosten.</w:t>
      </w:r>
    </w:p>
    <w:bookmarkStart w:id="9" w:name="X59703538fa1ddd38f9cb37224ded0836d7b4145"/>
    <w:p>
      <w:pPr>
        <w:pStyle w:val="Heading2"/>
      </w:pPr>
      <w:r>
        <w:t xml:space="preserve">Exhibit 1. Entwicklungsposition von AST-417</w:t>
      </w:r>
    </w:p>
    <w:tbl>
      <w:tblPr>
        <w:tblStyle w:val="Table"/>
        <w:tblW w:type="pct" w:w="4919"/>
        <w:tblLayout w:type="fixed"/>
        <w:tblLook w:firstRow="1" w:lastRow="0" w:firstColumn="0" w:lastColumn="0" w:noHBand="0" w:noVBand="0" w:val="0020"/>
      </w:tblPr>
      <w:tblGrid>
        <w:gridCol w:w="1674"/>
        <w:gridCol w:w="2124"/>
        <w:gridCol w:w="3992"/>
      </w:tblGrid>
      <w:tr>
        <w:trPr>
          <w:tblHeader w:val="on"/>
        </w:trPr>
        <w:tc>
          <w:tcPr/>
          <w:p>
            <w:pPr>
              <w:pStyle w:val="Compact"/>
              <w:jc w:val="left"/>
            </w:pPr>
            <w:r>
              <w:t xml:space="preserve">Punkt</w:t>
            </w:r>
          </w:p>
        </w:tc>
        <w:tc>
          <w:tcPr/>
          <w:p>
            <w:pPr>
              <w:pStyle w:val="Compact"/>
              <w:jc w:val="left"/>
            </w:pPr>
            <w:r>
              <w:t xml:space="preserve">Aktuelle Position</w:t>
            </w:r>
          </w:p>
        </w:tc>
        <w:tc>
          <w:tcPr/>
          <w:p>
            <w:pPr>
              <w:pStyle w:val="Compact"/>
              <w:jc w:val="left"/>
            </w:pPr>
            <w:r>
              <w:t xml:space="preserve">Bedenken des Managements</w:t>
            </w:r>
          </w:p>
        </w:tc>
      </w:tr>
      <w:tr>
        <w:tc>
          <w:tcPr/>
          <w:p>
            <w:pPr>
              <w:pStyle w:val="Compact"/>
              <w:jc w:val="left"/>
            </w:pPr>
            <w:r>
              <w:t xml:space="preserve">Entwicklungsstadium</w:t>
            </w:r>
          </w:p>
        </w:tc>
        <w:tc>
          <w:tcPr/>
          <w:p>
            <w:pPr>
              <w:pStyle w:val="Compact"/>
              <w:jc w:val="left"/>
            </w:pPr>
            <w:r>
              <w:t xml:space="preserve">Zwischenprüfung Phase IIb</w:t>
            </w:r>
          </w:p>
        </w:tc>
        <w:tc>
          <w:tcPr/>
          <w:p>
            <w:pPr>
              <w:pStyle w:val="Compact"/>
              <w:jc w:val="left"/>
            </w:pPr>
            <w:r>
              <w:t xml:space="preserve">Ob die Evidenz stark genug ist, um eine pivotale Studie zu gestalten</w:t>
            </w:r>
          </w:p>
        </w:tc>
      </w:tr>
      <w:tr>
        <w:tc>
          <w:tcPr/>
          <w:p>
            <w:pPr>
              <w:pStyle w:val="Compact"/>
              <w:jc w:val="left"/>
            </w:pPr>
            <w:r>
              <w:t xml:space="preserve">Randomisierte Patienten</w:t>
            </w:r>
          </w:p>
        </w:tc>
        <w:tc>
          <w:tcPr/>
          <w:p>
            <w:pPr>
              <w:pStyle w:val="Compact"/>
              <w:jc w:val="left"/>
            </w:pPr>
            <w:r>
              <w:t xml:space="preserve">186 von geplanten 240</w:t>
            </w:r>
          </w:p>
        </w:tc>
        <w:tc>
          <w:tcPr/>
          <w:p>
            <w:pPr>
              <w:pStyle w:val="Compact"/>
              <w:jc w:val="left"/>
            </w:pPr>
            <w:r>
              <w:t xml:space="preserve">Rekrutierung liegt 7 Monate hinter dem Plan</w:t>
            </w:r>
          </w:p>
        </w:tc>
      </w:tr>
      <w:tr>
        <w:tc>
          <w:tcPr/>
          <w:p>
            <w:pPr>
              <w:pStyle w:val="Compact"/>
              <w:jc w:val="left"/>
            </w:pPr>
            <w:r>
              <w:t xml:space="preserve">Behandlungsarme</w:t>
            </w:r>
          </w:p>
        </w:tc>
        <w:tc>
          <w:tcPr/>
          <w:p>
            <w:pPr>
              <w:pStyle w:val="Compact"/>
              <w:jc w:val="left"/>
            </w:pPr>
            <w:r>
              <w:t xml:space="preserve">Hohe Dosis, niedrige Dosis, Place</w:t>
            </w:r>
          </w:p>
        </w:tc>
        <w:tc>
          <w:tcPr/>
          <w:p>
            <w:pPr>
              <w:pStyle w:val="Compact"/>
              <w:jc w:val="left"/>
            </w:pPr>
            <w:r>
              <w:t xml:space="preserve">bo Dosis-Wirkungs-Muster ist noch nicht klar</w:t>
            </w:r>
          </w:p>
        </w:tc>
      </w:tr>
      <w:tr>
        <w:tc>
          <w:tcPr/>
          <w:p>
            <w:pPr>
              <w:pStyle w:val="Compact"/>
              <w:jc w:val="left"/>
            </w:pPr>
            <w:r>
              <w:t xml:space="preserve">Kassenbestand und Anlagen</w:t>
            </w:r>
          </w:p>
        </w:tc>
        <w:tc>
          <w:tcPr/>
          <w:p>
            <w:pPr>
              <w:pStyle w:val="Compact"/>
              <w:jc w:val="left"/>
            </w:pPr>
            <w:r>
              <w:t xml:space="preserve">318 Millionen $</w:t>
            </w:r>
          </w:p>
        </w:tc>
        <w:tc>
          <w:tcPr/>
          <w:p>
            <w:pPr>
              <w:pStyle w:val="Compact"/>
              <w:jc w:val="left"/>
            </w:pPr>
            <w:r>
              <w:t xml:space="preserve">Mehrere Studiendesigns könnten zusätzliche Finanzierung erfordern</w:t>
            </w:r>
          </w:p>
        </w:tc>
      </w:tr>
      <w:tr>
        <w:tc>
          <w:tcPr/>
          <w:p>
            <w:pPr>
              <w:pStyle w:val="Compact"/>
              <w:jc w:val="left"/>
            </w:pPr>
            <w:r>
              <w:t xml:space="preserve">Geschätzter Patentablauf</w:t>
            </w:r>
          </w:p>
        </w:tc>
        <w:tc>
          <w:tcPr/>
          <w:p>
            <w:pPr>
              <w:pStyle w:val="Compact"/>
              <w:jc w:val="left"/>
            </w:pPr>
            <w:r>
              <w:t xml:space="preserve">2034</w:t>
            </w:r>
          </w:p>
        </w:tc>
        <w:tc>
          <w:tcPr/>
          <w:p>
            <w:pPr>
              <w:pStyle w:val="Compact"/>
              <w:jc w:val="left"/>
            </w:pPr>
            <w:r>
              <w:t xml:space="preserve">Kommerzielle Lebensdauer schrumpft mit jeder Verzögerung</w:t>
            </w:r>
          </w:p>
        </w:tc>
      </w:tr>
      <w:tr>
        <w:tc>
          <w:tcPr/>
          <w:p>
            <w:pPr>
              <w:pStyle w:val="Compact"/>
              <w:jc w:val="left"/>
            </w:pPr>
            <w:r>
              <w:t xml:space="preserve">Konkurrierende Programme</w:t>
            </w:r>
          </w:p>
        </w:tc>
        <w:tc>
          <w:tcPr/>
          <w:p>
            <w:pPr>
              <w:pStyle w:val="Compact"/>
              <w:jc w:val="left"/>
            </w:pPr>
            <w:r>
              <w:t xml:space="preserve">Drei, darunter eines in Phase III</w:t>
            </w:r>
          </w:p>
        </w:tc>
        <w:tc>
          <w:tcPr/>
          <w:p>
            <w:pPr>
              <w:pStyle w:val="Compact"/>
              <w:jc w:val="left"/>
            </w:pPr>
            <w:r>
              <w:t xml:space="preserve">Aufmerksamkeit von Ärzten und Prüfern könnte sich verlagern</w:t>
            </w:r>
          </w:p>
        </w:tc>
      </w:tr>
    </w:tbl>
    <w:p/>
    <w:tbl>
      <w:tblPr>
        <w:tblStyle w:val="Table"/>
        <w:tblW w:type="auto" w:w="0"/>
        <w:tblLook w:firstRow="0" w:lastRow="0" w:firstColumn="0" w:lastColumn="0" w:noHBand="0" w:noVBand="0" w:val="0000"/>
      </w:tblPr>
      <w:tblGrid>
        <w:gridCol w:w="7920"/>
      </w:tblGrid>
      <w:tr>
        <w:tc>
          <w:tcPr/>
          <w:p>
            <w:pPr>
              <w:pStyle w:val="Compact"/>
            </w:pPr>
            <w:r>
              <w:t xml:space="preserve">Asterion musste nicht nur entscheiden, ob AST-417 fortgesetzt werden sollte, sondern auch, welche Evidenz als Nächstes gesammelt werden sollte, wo sie gesammelt werden sollte, wie viele Patienten gesucht werden sollten und wie viel vom Unternehmen aufs Spiel gesetzt werden sollte, bevor die Antwort bekannt war.</w:t>
            </w:r>
          </w:p>
        </w:tc>
      </w:tr>
    </w:tbl>
    <w:p>
      <w:r>
        <w:pict>
          <v:rect style="width:0;height:1.5pt" o:hralign="center" o:hrstd="t" o:hr="t"/>
        </w:pict>
      </w:r>
    </w:p>
    <w:bookmarkEnd w:id="9"/>
    <w:bookmarkEnd w:id="10"/>
    <w:bookmarkStart w:id="12" w:name="die-zwischenevidenz"/>
    <w:p>
      <w:pPr>
        <w:pStyle w:val="Heading1"/>
      </w:pPr>
      <w:r>
        <w:t xml:space="preserve">Die Zwischenevidenz</w:t>
      </w:r>
    </w:p>
    <w:p>
      <w:pPr>
        <w:pStyle w:val="FirstParagraph"/>
      </w:pPr>
      <w:r>
        <w:t xml:space="preserve">AST-417 war für Patienten gedacht, deren Krankheit trotz bestehender Therapie weiter fortschritt. Das Phase-IIb-Protokoll maß die Veränderung der forcierten Vitalkapazität nach 24 Wochen sowie Belastungstoleranz, von Patienten berichtete Atembeschwerden, Krankenhausaufenthalte, Laborwerte und unerwünschte Ereignisse. Die Prüfer hatten erwartet, dass die hohe Dosis den klarsten Nutzen zeigen würde. Stattdessen hatte die Gruppe mit niedriger Dosis das stärkste durchschnittliche Ergebnis erzielt, während die Gruppe mit hoher Dosis sowohl dramatische Responder als auch mehrere Patienten umfasste, die die Behandlung abbrachen.</w:t>
      </w:r>
    </w:p>
    <w:p>
      <w:pPr>
        <w:pStyle w:val="BodyText"/>
      </w:pPr>
      <w:r>
        <w:t xml:space="preserve">Die Durchschnittswerte verbargen wichtige Unterschiede. Patienten, die innerhalb der vorangegangenen zwei Jahre diagnostiziert worden waren, schienen sich stärker zu verbessern als Patienten mit fortgeschrittener Erkrankung. Die Ergebnisse variierten auch je nach Region und danach, ob die Patienten weiterhin eine Hintergrundtherapie erhielten. Die Subgruppenbefunde waren wissenschaftlich plausibel, aber die Studie war nicht darauf ausgelegt, sie zu belegen. Die nächste Studie auf die scheinbaren Responder zu beschränken, könnte die Wahrscheinlichkeit eines positiven Ergebnisses erhöhen, könnte aber auch den potenziellen Markt verkleinern und die Rekrutierung erschweren.</w:t>
      </w:r>
    </w:p>
    <w:bookmarkStart w:id="11" w:name="X8db2a80849b2f15f7e1caaca813da4faab510a5"/>
    <w:p>
      <w:pPr>
        <w:pStyle w:val="Heading2"/>
      </w:pPr>
      <w:r>
        <w:t xml:space="preserve">Exhibit 2. Zwischenergebnisse in Woche 24</w:t>
      </w:r>
    </w:p>
    <w:tbl>
      <w:tblPr>
        <w:tblStyle w:val="Table"/>
        <w:tblW w:type="pct" w:w="4890"/>
        <w:tblLayout w:type="fixed"/>
        <w:tblLook w:firstRow="1" w:lastRow="0" w:firstColumn="0" w:lastColumn="0" w:noHBand="0" w:noVBand="0" w:val="0020"/>
      </w:tblPr>
      <w:tblGrid>
        <w:gridCol w:w="4351"/>
        <w:gridCol w:w="1131"/>
        <w:gridCol w:w="1131"/>
        <w:gridCol w:w="1131"/>
      </w:tblGrid>
      <w:tr>
        <w:trPr>
          <w:tblHeader w:val="on"/>
        </w:trPr>
        <w:tc>
          <w:tcPr/>
          <w:p>
            <w:pPr>
              <w:pStyle w:val="Compact"/>
              <w:jc w:val="left"/>
            </w:pPr>
            <w:r>
              <w:t xml:space="preserve">Messgröße</w:t>
            </w:r>
          </w:p>
        </w:tc>
        <w:tc>
          <w:tcPr/>
          <w:p>
            <w:pPr>
              <w:pStyle w:val="Compact"/>
              <w:jc w:val="left"/>
            </w:pPr>
            <w:r>
              <w:t xml:space="preserve">Placebo</w:t>
            </w:r>
          </w:p>
        </w:tc>
        <w:tc>
          <w:tcPr/>
          <w:p>
            <w:pPr>
              <w:pStyle w:val="Compact"/>
            </w:pPr>
            <w:r>
              <w:t xml:space="preserve">Niedrige Dosi</w:t>
            </w:r>
          </w:p>
        </w:tc>
        <w:tc>
          <w:tcPr/>
          <w:p>
            <w:pPr>
              <w:pStyle w:val="Compact"/>
            </w:pPr>
            <w:r>
              <w:t xml:space="preserve">s Hohe Dosis</w:t>
            </w:r>
          </w:p>
        </w:tc>
      </w:tr>
      <w:tr>
        <w:tc>
          <w:tcPr/>
          <w:p>
            <w:pPr>
              <w:pStyle w:val="Compact"/>
              <w:jc w:val="left"/>
            </w:pPr>
            <w:r>
              <w:t xml:space="preserve">Mittlere Veränderung der Lungenfunktionsmessung</w:t>
            </w:r>
          </w:p>
        </w:tc>
        <w:tc>
          <w:tcPr/>
          <w:p>
            <w:pPr>
              <w:pStyle w:val="Compact"/>
              <w:jc w:val="left"/>
            </w:pPr>
            <w:r>
              <w:t xml:space="preserve">-126 mL</w:t>
            </w:r>
          </w:p>
        </w:tc>
        <w:tc>
          <w:tcPr/>
          <w:p>
            <w:pPr>
              <w:pStyle w:val="Compact"/>
            </w:pPr>
            <w:r>
              <w:t xml:space="preserve">-71 mL</w:t>
            </w:r>
          </w:p>
        </w:tc>
        <w:tc>
          <w:tcPr/>
          <w:p>
            <w:pPr>
              <w:pStyle w:val="Compact"/>
            </w:pPr>
            <w:r>
              <w:t xml:space="preserve">-82 mL</w:t>
            </w:r>
          </w:p>
        </w:tc>
      </w:tr>
      <w:tr>
        <w:tc>
          <w:tcPr/>
          <w:p>
            <w:pPr>
              <w:pStyle w:val="Compact"/>
              <w:jc w:val="left"/>
            </w:pPr>
            <w:r>
              <w:t xml:space="preserve">Patienten mit klinisch bedeutsamer Verbesserung</w:t>
            </w:r>
          </w:p>
        </w:tc>
        <w:tc>
          <w:tcPr/>
          <w:p>
            <w:pPr>
              <w:pStyle w:val="Compact"/>
              <w:jc w:val="left"/>
            </w:pPr>
            <w:r>
              <w:t xml:space="preserve">14%</w:t>
            </w:r>
          </w:p>
        </w:tc>
        <w:tc>
          <w:tcPr/>
          <w:p>
            <w:pPr>
              <w:pStyle w:val="Compact"/>
            </w:pPr>
            <w:r>
              <w:t xml:space="preserve">28%</w:t>
            </w:r>
          </w:p>
        </w:tc>
        <w:tc>
          <w:tcPr/>
          <w:p>
            <w:pPr>
              <w:pStyle w:val="Compact"/>
            </w:pPr>
            <w:r>
              <w:t xml:space="preserve">25%</w:t>
            </w:r>
          </w:p>
        </w:tc>
      </w:tr>
      <w:tr>
        <w:tc>
          <w:tcPr/>
          <w:p>
            <w:pPr>
              <w:pStyle w:val="Compact"/>
              <w:jc w:val="left"/>
            </w:pPr>
            <w:r>
              <w:t xml:space="preserve">Studienbehandlung abgebrochen</w:t>
            </w:r>
          </w:p>
        </w:tc>
        <w:tc>
          <w:tcPr/>
          <w:p>
            <w:pPr>
              <w:pStyle w:val="Compact"/>
              <w:jc w:val="left"/>
            </w:pPr>
            <w:r>
              <w:t xml:space="preserve">8%</w:t>
            </w:r>
          </w:p>
        </w:tc>
        <w:tc>
          <w:tcPr/>
          <w:p>
            <w:pPr>
              <w:pStyle w:val="Compact"/>
            </w:pPr>
            <w:r>
              <w:t xml:space="preserve">11%</w:t>
            </w:r>
          </w:p>
        </w:tc>
        <w:tc>
          <w:tcPr/>
          <w:p>
            <w:pPr>
              <w:pStyle w:val="Compact"/>
            </w:pPr>
            <w:r>
              <w:t xml:space="preserve">19%</w:t>
            </w:r>
          </w:p>
        </w:tc>
      </w:tr>
      <w:tr>
        <w:tc>
          <w:tcPr/>
          <w:p>
            <w:pPr>
              <w:pStyle w:val="Compact"/>
              <w:jc w:val="left"/>
            </w:pPr>
            <w:r>
              <w:t xml:space="preserve">Schwerwiegende unerwünschte Ereignisse</w:t>
            </w:r>
          </w:p>
        </w:tc>
        <w:tc>
          <w:tcPr/>
          <w:p>
            <w:pPr>
              <w:pStyle w:val="Compact"/>
              <w:jc w:val="left"/>
            </w:pPr>
            <w:r>
              <w:t xml:space="preserve">7%</w:t>
            </w:r>
          </w:p>
        </w:tc>
        <w:tc>
          <w:tcPr/>
          <w:p>
            <w:pPr>
              <w:pStyle w:val="Compact"/>
            </w:pPr>
            <w:r>
              <w:t xml:space="preserve">8%</w:t>
            </w:r>
          </w:p>
        </w:tc>
        <w:tc>
          <w:tcPr/>
          <w:p>
            <w:pPr>
              <w:pStyle w:val="Compact"/>
            </w:pPr>
            <w:r>
              <w:t xml:space="preserve">12%</w:t>
            </w:r>
          </w:p>
        </w:tc>
      </w:tr>
      <w:tr>
        <w:tc>
          <w:tcPr/>
          <w:p>
            <w:pPr>
              <w:pStyle w:val="Compact"/>
              <w:jc w:val="left"/>
            </w:pPr>
            <w:r>
              <w:t xml:space="preserve">Durchschnittliche Infusionsdauer</w:t>
            </w:r>
          </w:p>
        </w:tc>
        <w:tc>
          <w:tcPr/>
          <w:p>
            <w:pPr>
              <w:pStyle w:val="Compact"/>
              <w:jc w:val="left"/>
            </w:pPr>
            <w:r>
              <w:t xml:space="preserve">—</w:t>
            </w:r>
          </w:p>
        </w:tc>
        <w:tc>
          <w:tcPr/>
          <w:p>
            <w:pPr>
              <w:pStyle w:val="Compact"/>
            </w:pPr>
            <w:r>
              <w:t xml:space="preserve">52 Minuten</w:t>
            </w:r>
          </w:p>
        </w:tc>
        <w:tc>
          <w:tcPr/>
          <w:p>
            <w:pPr>
              <w:pStyle w:val="Compact"/>
            </w:pPr>
            <w:r>
              <w:t xml:space="preserve">54 Minuten</w:t>
            </w:r>
          </w:p>
        </w:tc>
      </w:tr>
    </w:tbl>
    <w:p>
      <w:pPr>
        <w:pStyle w:val="BodyText"/>
      </w:pPr>
      <w:r>
        <w:t xml:space="preserve">Der unabhängige Sicherheitsausschuss hatte keinen Studienabbruch empfohlen. Er forderte jedoch eine engmaschigere Überwachung der Leberwerte und Infusionsreaktionen. Sieben Patienten mit hoher Dosis hatten vorübergehende Laborabweichungen erlebt, und zwei waren nach schweren Reaktionen hospitalisiert worden. Die Prüfer waren sich uneinig darüber, ob die Ereignisse auf das Medikament, die zugrundeliegende Erkrankung der Patienten oder die Wechselwirkung mit anderen Medikamenten zurückzuführen waren.</w:t>
      </w:r>
    </w:p>
    <w:bookmarkEnd w:id="11"/>
    <w:bookmarkEnd w:id="12"/>
    <w:bookmarkStart w:id="14" w:name="das-rekrutierungsproblem"/>
    <w:p>
      <w:pPr>
        <w:pStyle w:val="Heading1"/>
      </w:pPr>
      <w:r>
        <w:t xml:space="preserve">Das Rekrutierungsproblem</w:t>
      </w:r>
    </w:p>
    <w:p>
      <w:pPr>
        <w:pStyle w:val="FirstParagraph"/>
      </w:pPr>
      <w:r>
        <w:t xml:space="preserve">Der ursprüngliche Plan ging davon aus, dass jedes aktive Zentrum 0,55 Patienten pro Monat einschreiben würde. Die tatsächliche Rate lag bei 0,31. Manche Krankenhäuser screenten viele Patienten, schrieben aber nur wenige ein, weil die Eignungsregeln Personen mit Nierenerkrankungen, kürzlichen Infektionen, instabiler Hintergrundmedikation oder zu milder oder zu fortgeschrittener Erkrankung ausschlossen. Niedergelassene Pneumologen zögerten, Patienten an akademische Zentren zu überweisen, da sie befürchteten, die langfristige Beziehung zu verlieren. Patienten waren mit wiederholten Reisen, invasiven Tests und einer Ein-zu-drei-Chance konfrontiert, Placebo zu erhalten.</w:t>
      </w:r>
    </w:p>
    <w:p>
      <w:pPr>
        <w:pStyle w:val="BodyText"/>
      </w:pPr>
      <w:r>
        <w:t xml:space="preserve">Asterions Team für klinische Betriebsabläufe schlug vor, 28 zusätzliche Krankenhauszentren und acht dedizierte Forschungszentren in gemieteten Ambulanzräumen zu eröffnen. Das medizinische Team bevorzugte weniger, aber erfahrenere Zentren. Eine Patientenvertretungsgruppe plädierte für häusliche Pflege, Transportunterstützung und Fernbeurteilungen. Jeder Ansatz veränderte die erwartete Rekrutierungsrate, die Konsistenz der Daten und die Kosten der Studie.</w:t>
      </w:r>
    </w:p>
    <w:bookmarkStart w:id="13" w:name="X7ecc1413ddb66f40657381222bf3325f9e6aef0"/>
    <w:p>
      <w:pPr>
        <w:pStyle w:val="Heading2"/>
      </w:pPr>
      <w:r>
        <w:t xml:space="preserve">Exhibit 3. Rekrutierungstrichter und Leistung der Zentren</w:t>
      </w:r>
    </w:p>
    <w:tbl>
      <w:tblPr>
        <w:tblStyle w:val="Table"/>
        <w:tblW w:type="pct" w:w="4882"/>
        <w:tblLayout w:type="fixed"/>
        <w:tblLook w:firstRow="1" w:lastRow="0" w:firstColumn="0" w:lastColumn="0" w:noHBand="0" w:noVBand="0" w:val="0020"/>
      </w:tblPr>
      <w:tblGrid>
        <w:gridCol w:w="4006"/>
        <w:gridCol w:w="1490"/>
        <w:gridCol w:w="2236"/>
      </w:tblGrid>
      <w:tr>
        <w:trPr>
          <w:tblHeader w:val="on"/>
        </w:trPr>
        <w:tc>
          <w:tcPr/>
          <w:p>
            <w:pPr>
              <w:pStyle w:val="Compact"/>
              <w:jc w:val="left"/>
            </w:pPr>
            <w:r>
              <w:t xml:space="preserve">Aktivität</w:t>
            </w:r>
          </w:p>
        </w:tc>
        <w:tc>
          <w:tcPr/>
          <w:p>
            <w:pPr>
              <w:pStyle w:val="Compact"/>
              <w:jc w:val="center"/>
            </w:pPr>
            <w:r>
              <w:t xml:space="preserve">Seit Start</w:t>
            </w:r>
          </w:p>
        </w:tc>
        <w:tc>
          <w:tcPr/>
          <w:p>
            <w:pPr>
              <w:pStyle w:val="Compact"/>
              <w:jc w:val="right"/>
            </w:pPr>
            <w:r>
              <w:t xml:space="preserve">Prozent des vorherigen Schritts</w:t>
            </w:r>
          </w:p>
        </w:tc>
      </w:tr>
      <w:tr>
        <w:tc>
          <w:tcPr/>
          <w:p>
            <w:pPr>
              <w:pStyle w:val="Compact"/>
              <w:jc w:val="left"/>
            </w:pPr>
            <w:r>
              <w:t xml:space="preserve">Vorläufig identifizierte Patientenakten</w:t>
            </w:r>
          </w:p>
        </w:tc>
        <w:tc>
          <w:tcPr/>
          <w:p>
            <w:pPr>
              <w:pStyle w:val="Compact"/>
              <w:jc w:val="center"/>
            </w:pPr>
            <w:r>
              <w:t xml:space="preserve">4.860</w:t>
            </w:r>
          </w:p>
        </w:tc>
        <w:tc>
          <w:tcPr/>
          <w:p>
            <w:pPr>
              <w:pStyle w:val="Compact"/>
              <w:jc w:val="right"/>
            </w:pPr>
            <w:r>
              <w:t xml:space="preserve">—</w:t>
            </w:r>
          </w:p>
        </w:tc>
      </w:tr>
      <w:tr>
        <w:tc>
          <w:tcPr/>
          <w:p>
            <w:pPr>
              <w:pStyle w:val="Compact"/>
              <w:jc w:val="left"/>
            </w:pPr>
            <w:r>
              <w:t xml:space="preserve">Kontaktierte oder überwiesene Patienten</w:t>
            </w:r>
          </w:p>
        </w:tc>
        <w:tc>
          <w:tcPr/>
          <w:p>
            <w:pPr>
              <w:pStyle w:val="Compact"/>
              <w:jc w:val="center"/>
            </w:pPr>
            <w:r>
              <w:t xml:space="preserve">1.940</w:t>
            </w:r>
          </w:p>
        </w:tc>
        <w:tc>
          <w:tcPr/>
          <w:p>
            <w:pPr>
              <w:pStyle w:val="Compact"/>
              <w:jc w:val="right"/>
            </w:pPr>
            <w:r>
              <w:t xml:space="preserve">40%</w:t>
            </w:r>
          </w:p>
        </w:tc>
      </w:tr>
      <w:tr>
        <w:tc>
          <w:tcPr/>
          <w:p>
            <w:pPr>
              <w:pStyle w:val="Compact"/>
              <w:jc w:val="left"/>
            </w:pPr>
            <w:r>
              <w:t xml:space="preserve">Patienten, die dem Screening zustimmten</w:t>
            </w:r>
          </w:p>
        </w:tc>
        <w:tc>
          <w:tcPr/>
          <w:p>
            <w:pPr>
              <w:pStyle w:val="Compact"/>
              <w:jc w:val="center"/>
            </w:pPr>
            <w:r>
              <w:t xml:space="preserve">612</w:t>
            </w:r>
          </w:p>
        </w:tc>
        <w:tc>
          <w:tcPr/>
          <w:p>
            <w:pPr>
              <w:pStyle w:val="Compact"/>
              <w:jc w:val="right"/>
            </w:pPr>
            <w:r>
              <w:t xml:space="preserve">32%</w:t>
            </w:r>
          </w:p>
        </w:tc>
      </w:tr>
      <w:tr>
        <w:tc>
          <w:tcPr/>
          <w:p>
            <w:pPr>
              <w:pStyle w:val="Compact"/>
              <w:jc w:val="left"/>
            </w:pPr>
            <w:r>
              <w:t xml:space="preserve">Patienten, die Eignungskriterien erfüllten</w:t>
            </w:r>
          </w:p>
        </w:tc>
        <w:tc>
          <w:tcPr/>
          <w:p>
            <w:pPr>
              <w:pStyle w:val="Compact"/>
              <w:jc w:val="center"/>
            </w:pPr>
            <w:r>
              <w:t xml:space="preserve">274</w:t>
            </w:r>
          </w:p>
        </w:tc>
        <w:tc>
          <w:tcPr/>
          <w:p>
            <w:pPr>
              <w:pStyle w:val="Compact"/>
              <w:jc w:val="right"/>
            </w:pPr>
            <w:r>
              <w:t xml:space="preserve">45%</w:t>
            </w:r>
          </w:p>
        </w:tc>
      </w:tr>
      <w:tr>
        <w:tc>
          <w:tcPr/>
          <w:p>
            <w:pPr>
              <w:pStyle w:val="Compact"/>
              <w:jc w:val="left"/>
            </w:pPr>
            <w:r>
              <w:t xml:space="preserve">Randomisierte Patienten</w:t>
            </w:r>
          </w:p>
        </w:tc>
        <w:tc>
          <w:tcPr/>
          <w:p>
            <w:pPr>
              <w:pStyle w:val="Compact"/>
              <w:jc w:val="center"/>
            </w:pPr>
            <w:r>
              <w:t xml:space="preserve">186</w:t>
            </w:r>
          </w:p>
        </w:tc>
        <w:tc>
          <w:tcPr/>
          <w:p>
            <w:pPr>
              <w:pStyle w:val="Compact"/>
              <w:jc w:val="right"/>
            </w:pPr>
            <w:r>
              <w:t xml:space="preserve">68%</w:t>
            </w:r>
          </w:p>
        </w:tc>
      </w:tr>
      <w:tr>
        <w:tc>
          <w:tcPr/>
          <w:p>
            <w:pPr>
              <w:pStyle w:val="Compact"/>
              <w:jc w:val="left"/>
            </w:pPr>
            <w:r>
              <w:t xml:space="preserve">Patienten, die 24 Wochen abschlossen</w:t>
            </w:r>
          </w:p>
        </w:tc>
        <w:tc>
          <w:tcPr/>
          <w:p>
            <w:pPr>
              <w:pStyle w:val="Compact"/>
              <w:jc w:val="center"/>
            </w:pPr>
            <w:r>
              <w:t xml:space="preserve">151</w:t>
            </w:r>
          </w:p>
        </w:tc>
        <w:tc>
          <w:tcPr/>
          <w:p>
            <w:pPr>
              <w:pStyle w:val="Compact"/>
              <w:jc w:val="right"/>
            </w:pPr>
            <w:r>
              <w:t xml:space="preserve">81% der Randomisierten</w:t>
            </w:r>
          </w:p>
        </w:tc>
      </w:tr>
    </w:tbl>
    <w:p>
      <w:pPr>
        <w:pStyle w:val="BodyText"/>
      </w:pPr>
      <w:r>
        <w:t xml:space="preserve">Auch die Daten auf Zentrumsebene des Unternehmens waren ungleichmäßig. Sechs Zentren hatten keine Patienten eingeschrieben, während vier große Zentren 38 Prozent der Studie ausmachten. Die Erweiterung des Netzwerks könnte den Zugang erhöhen, aber neue Zentren würden Verträge, Ethikprüfung, Schulung, Medikamentenlieferungen, Laborzertifizierung und Überwachung erfordern, bevor der erste Patient eintreten könnte.</w:t>
      </w:r>
    </w:p>
    <w:bookmarkEnd w:id="13"/>
    <w:bookmarkEnd w:id="14"/>
    <w:bookmarkStart w:id="16" w:name="vier-wege-nach-vorn"/>
    <w:p>
      <w:pPr>
        <w:pStyle w:val="Heading1"/>
      </w:pPr>
      <w:r>
        <w:t xml:space="preserve">Vier Wege nach vorn</w:t>
      </w:r>
    </w:p>
    <w:p>
      <w:pPr>
        <w:pStyle w:val="FirstParagraph"/>
      </w:pPr>
      <w:r>
        <w:t xml:space="preserve">Chens Team entwickelte vier grobe Wege. Der erste bestand darin, die bestehende Phase-IIb-Studie ohne größere Änderungen abzuschließen und die verbleibenden Patienten zu nutzen, um das Dosis- und Sicherheitsmuster zu klären. Dies war die kostengünstigste kurzfristige Wahl, würde aber die pivotale Entscheidung um etwa neun Monate verschieben.</w:t>
      </w:r>
    </w:p>
    <w:p>
      <w:pPr>
        <w:pStyle w:val="BodyText"/>
      </w:pPr>
      <w:r>
        <w:t xml:space="preserve">Der zweite Weg bestand darin, sofort ein großes Phase-III-Programm mit der niedrigen Dosis und einer breiten Patientenpopulation zu beginnen. Geschwindigkeit könnte die Patentlebensdauer und die Fertigungskapazität erhalten, aber Asterion würde erhebliches Kapital binden, bevor die endgültigen Phase-IIb-Ergebnisse vorlägen.</w:t>
      </w:r>
    </w:p>
    <w:p>
      <w:pPr>
        <w:pStyle w:val="BodyText"/>
      </w:pPr>
      <w:r>
        <w:t xml:space="preserve">Der dritte Weg war eine adaptive pivotale Studie, die die Einschreibung zwischen vorab festgelegten Patientengruppen nach einer Zwischenprüfung ändern könnte. Das Design könnte im Verlauf dazulernen, wäre aber komplexer, Prüfern, Aufsichtsbehörden und Investoren zu erklären. Statistische Fehler oder operative Inkonsistenz könnten den Wert der Flexibilität untergraben.</w:t>
      </w:r>
    </w:p>
    <w:p>
      <w:pPr>
        <w:pStyle w:val="BodyText"/>
      </w:pPr>
      <w:r>
        <w:t xml:space="preserve">Der vierte Weg war eine kleinere bestätigende Studie, die sich auf kürzlich diagnostizierte Patienten konzentrierte, gepaart mit der Suche nach einem pharmazeutischen Partner. Dies könnte Asterions finanzielles Risiko verringern, aber ein Partner könnte Kontrolle verlangen, das Programm während der Due Diligence verzögern oder den Vermögenswert nach Sichtung der uneindeutigen Sicherheitsdaten der hohen Dosis geringer bewerten.</w:t>
      </w:r>
    </w:p>
    <w:bookmarkStart w:id="15" w:name="Xf5cdbb6359976cf807462903b89b8b4ee744112"/>
    <w:p>
      <w:pPr>
        <w:pStyle w:val="Heading2"/>
      </w:pPr>
      <w:r>
        <w:t xml:space="preserve">Exhibit 4. Dem Vorstand vorgelegte Entwicklungsalternativen</w:t>
      </w:r>
    </w:p>
    <w:tbl>
      <w:tblPr>
        <w:tblStyle w:val="Table"/>
        <w:tblW w:type="pct" w:w="4936"/>
        <w:tblLayout w:type="fixed"/>
        <w:tblLook w:firstRow="1" w:lastRow="0" w:firstColumn="0" w:lastColumn="0" w:noHBand="0" w:noVBand="0" w:val="0020"/>
      </w:tblPr>
      <w:tblGrid>
        <w:gridCol w:w="1816"/>
        <w:gridCol w:w="2270"/>
        <w:gridCol w:w="1513"/>
        <w:gridCol w:w="2219"/>
      </w:tblGrid>
      <w:tr>
        <w:trPr>
          <w:tblHeader w:val="on"/>
        </w:trPr>
        <w:tc>
          <w:tcPr/>
          <w:p>
            <w:pPr>
              <w:pStyle w:val="Compact"/>
              <w:jc w:val="left"/>
            </w:pPr>
            <w:r>
              <w:t xml:space="preserve">Alternative</w:t>
            </w:r>
          </w:p>
        </w:tc>
        <w:tc>
          <w:tcPr/>
          <w:p>
            <w:pPr>
              <w:pStyle w:val="Compact"/>
            </w:pPr>
            <w:r>
              <w:t xml:space="preserve">Zusätzliche Kosten vor der nächsten großen En</w:t>
            </w:r>
          </w:p>
        </w:tc>
        <w:tc>
          <w:tcPr/>
          <w:p>
            <w:pPr>
              <w:pStyle w:val="Compact"/>
            </w:pPr>
            <w:r>
              <w:t xml:space="preserve">tscheidung Zeit bis zur näch</w:t>
            </w:r>
          </w:p>
        </w:tc>
        <w:tc>
          <w:tcPr/>
          <w:p>
            <w:pPr>
              <w:pStyle w:val="Compact"/>
            </w:pPr>
            <w:r>
              <w:t xml:space="preserve">sten großen Entscheidung Ausgewähltes Risiko</w:t>
            </w:r>
          </w:p>
        </w:tc>
      </w:tr>
      <w:tr>
        <w:tc>
          <w:tcPr/>
          <w:p>
            <w:pPr>
              <w:pStyle w:val="Compact"/>
              <w:jc w:val="left"/>
            </w:pPr>
            <w:r>
              <w:t xml:space="preserve">Phase IIb wie geplant abschließen</w:t>
            </w:r>
          </w:p>
        </w:tc>
        <w:tc>
          <w:tcPr/>
          <w:p>
            <w:pPr>
              <w:pStyle w:val="Compact"/>
            </w:pPr>
            <w:r>
              <w:t xml:space="preserve">38 Millionen $</w:t>
            </w:r>
          </w:p>
        </w:tc>
        <w:tc>
          <w:tcPr/>
          <w:p>
            <w:pPr>
              <w:pStyle w:val="Compact"/>
            </w:pPr>
            <w:r>
              <w:t xml:space="preserve">9 Monate</w:t>
            </w:r>
          </w:p>
        </w:tc>
        <w:tc>
          <w:tcPr/>
          <w:p>
            <w:pPr>
              <w:pStyle w:val="Compact"/>
            </w:pPr>
            <w:r>
              <w:t xml:space="preserve">Wettbewerber- und Patentverzögerung</w:t>
            </w:r>
          </w:p>
        </w:tc>
      </w:tr>
      <w:tr>
        <w:tc>
          <w:tcPr/>
          <w:p>
            <w:pPr>
              <w:pStyle w:val="Compact"/>
              <w:jc w:val="left"/>
            </w:pPr>
            <w:r>
              <w:t xml:space="preserve">Breite Phase III starten</w:t>
            </w:r>
          </w:p>
        </w:tc>
        <w:tc>
          <w:tcPr/>
          <w:p>
            <w:pPr>
              <w:pStyle w:val="Compact"/>
            </w:pPr>
            <w:r>
              <w:t xml:space="preserve">286 Millionen $</w:t>
            </w:r>
          </w:p>
        </w:tc>
        <w:tc>
          <w:tcPr/>
          <w:p>
            <w:pPr>
              <w:pStyle w:val="Compact"/>
            </w:pPr>
            <w:r>
              <w:t xml:space="preserve">30–38 Monate</w:t>
            </w:r>
          </w:p>
        </w:tc>
        <w:tc>
          <w:tcPr/>
          <w:p>
            <w:pPr>
              <w:pStyle w:val="Compact"/>
            </w:pPr>
            <w:r>
              <w:t xml:space="preserve">Große Verpflichtung bei unvollständiger Evidenz</w:t>
            </w:r>
          </w:p>
        </w:tc>
      </w:tr>
      <w:tr>
        <w:tc>
          <w:tcPr/>
          <w:p>
            <w:pPr>
              <w:pStyle w:val="Compact"/>
              <w:jc w:val="left"/>
            </w:pPr>
            <w:r>
              <w:t xml:space="preserve">Adaptives pivotales Programm</w:t>
            </w:r>
          </w:p>
        </w:tc>
        <w:tc>
          <w:tcPr/>
          <w:p>
            <w:pPr>
              <w:pStyle w:val="Compact"/>
            </w:pPr>
            <w:r>
              <w:t xml:space="preserve">244 Millionen $</w:t>
            </w:r>
          </w:p>
        </w:tc>
        <w:tc>
          <w:tcPr/>
          <w:p>
            <w:pPr>
              <w:pStyle w:val="Compact"/>
            </w:pPr>
            <w:r>
              <w:t xml:space="preserve">24–34 Monate</w:t>
            </w:r>
          </w:p>
        </w:tc>
        <w:tc>
          <w:tcPr/>
          <w:p>
            <w:pPr>
              <w:pStyle w:val="Compact"/>
            </w:pPr>
            <w:r>
              <w:t xml:space="preserve">Design- und regulatorische Komplexität</w:t>
            </w:r>
          </w:p>
        </w:tc>
      </w:tr>
      <w:tr>
        <w:tc>
          <w:tcPr/>
          <w:p>
            <w:pPr>
              <w:pStyle w:val="Compact"/>
              <w:jc w:val="left"/>
            </w:pPr>
            <w:r>
              <w:t xml:space="preserve">Fokussierte Studie plus Partnersuche</w:t>
            </w:r>
          </w:p>
        </w:tc>
        <w:tc>
          <w:tcPr/>
          <w:p>
            <w:pPr>
              <w:pStyle w:val="Compact"/>
            </w:pPr>
            <w:r>
              <w:t xml:space="preserve">74 Millionen $</w:t>
            </w:r>
          </w:p>
        </w:tc>
        <w:tc>
          <w:tcPr/>
          <w:p>
            <w:pPr>
              <w:pStyle w:val="Compact"/>
            </w:pPr>
            <w:r>
              <w:t xml:space="preserve">12–18 Monate</w:t>
            </w:r>
          </w:p>
        </w:tc>
        <w:tc>
          <w:tcPr/>
          <w:p>
            <w:pPr>
              <w:pStyle w:val="Compact"/>
            </w:pPr>
            <w:r>
              <w:t xml:space="preserve">Kleinerer Markt; Verlust der Kontrolle</w:t>
            </w:r>
          </w:p>
        </w:tc>
      </w:tr>
    </w:tbl>
    <w:bookmarkEnd w:id="15"/>
    <w:bookmarkEnd w:id="16"/>
    <w:bookmarkStart w:id="18" w:name="die-kommerzielle-frage"/>
    <w:p>
      <w:pPr>
        <w:pStyle w:val="Heading1"/>
      </w:pPr>
      <w:r>
        <w:t xml:space="preserve">Die kommerzielle Frage</w:t>
      </w:r>
    </w:p>
    <w:p>
      <w:pPr>
        <w:pStyle w:val="FirstParagraph"/>
      </w:pPr>
      <w:r>
        <w:t xml:space="preserve">Selbst eine erfolgreiche Studie würde das geschäftliche Problem nicht lösen. Bestehende Behandlungen wurden oral eingenommen, während AST-417 alle vier Wochen eine Infusion und eine gekühlte Distribution erforderte. Asterion schätzte, dass Herstellung, Verpackung, Kühlkettenvertrieb und Verabreichungsunterstützung 14.600 $ pro behandeltem Patienten und Jahr kosten würden, vor Verkäufen, Rabatten, Patientenunterstützung und Studien nach der Zulassung. Von dem Unternehmen befragte Ärzte mochten die Möglichkeit eines langsameren Krankheitsfortschritts, aber viele sagten, sie würden eine Infusion für Patienten reservieren, die bei einfacheren Behandlungen versagt hatten.</w:t>
      </w:r>
    </w:p>
    <w:p>
      <w:pPr>
        <w:pStyle w:val="BodyText"/>
      </w:pPr>
      <w:r>
        <w:t xml:space="preserve">Die kommerziellen Prognosen reichten von einem konservativen Spitzenwert von 420 Millionen $ an Jahresumsatz bis zu mehr als 1,8 Milliarden $. Die Spanne hing von der zugelassenen Patientenpopulation, dem Preis, der Akzeptanz durch Ärzte, den Einschränkungen der Versicherer, den Ergebnissen der Wettbewerber und davon ab, ob die Therapie Krankenhausaufenthalte reduzierte, statt lediglich einen Laborwert zu verbessern. Asterions Finanzchef warnte, dass das Unternehmen Hunderte von Millionen ausgeben könnte, um einen statistisch signifikanten Effekt nachzuweisen, den der Markt nicht hoch bewertete.</w:t>
      </w:r>
    </w:p>
    <w:bookmarkStart w:id="17" w:name="X56e9393dec5cba3f105b59e5853d55e6bed0de0"/>
    <w:p>
      <w:pPr>
        <w:pStyle w:val="Heading2"/>
      </w:pPr>
      <w:r>
        <w:t xml:space="preserve">Exhibit 5. Ausgewählte Quellen des kommerziellen Werts</w:t>
      </w:r>
    </w:p>
    <w:tbl>
      <w:tblPr>
        <w:tblStyle w:val="Table"/>
        <w:tblW w:type="pct" w:w="4875"/>
        <w:tblLayout w:type="fixed"/>
        <w:tblLook w:firstRow="1" w:lastRow="0" w:firstColumn="0" w:lastColumn="0" w:noHBand="0" w:noVBand="0" w:val="0020"/>
      </w:tblPr>
      <w:tblGrid>
        <w:gridCol w:w="3762"/>
        <w:gridCol w:w="1980"/>
        <w:gridCol w:w="1980"/>
      </w:tblGrid>
      <w:tr>
        <w:trPr>
          <w:tblHeader w:val="on"/>
        </w:trPr>
        <w:tc>
          <w:tcPr/>
          <w:p>
            <w:pPr>
              <w:pStyle w:val="Compact"/>
              <w:jc w:val="left"/>
            </w:pPr>
            <w:r>
              <w:t xml:space="preserve">Annahme</w:t>
            </w:r>
          </w:p>
        </w:tc>
        <w:tc>
          <w:tcPr/>
          <w:p>
            <w:pPr>
              <w:pStyle w:val="Compact"/>
              <w:jc w:val="right"/>
            </w:pPr>
            <w:r>
              <w:t xml:space="preserve">Konservativer Fall</w:t>
            </w:r>
          </w:p>
        </w:tc>
        <w:tc>
          <w:tcPr/>
          <w:p>
            <w:pPr>
              <w:pStyle w:val="Compact"/>
              <w:jc w:val="center"/>
            </w:pPr>
            <w:r>
              <w:t xml:space="preserve">Hoher Fall</w:t>
            </w:r>
          </w:p>
        </w:tc>
      </w:tr>
      <w:tr>
        <w:tc>
          <w:tcPr/>
          <w:p>
            <w:pPr>
              <w:pStyle w:val="Compact"/>
              <w:jc w:val="left"/>
            </w:pPr>
            <w:r>
              <w:t xml:space="preserve">Adressierbare US-Patienten</w:t>
            </w:r>
          </w:p>
        </w:tc>
        <w:tc>
          <w:tcPr/>
          <w:p>
            <w:pPr>
              <w:pStyle w:val="Compact"/>
              <w:jc w:val="right"/>
            </w:pPr>
            <w:r>
              <w:t xml:space="preserve">24.000</w:t>
            </w:r>
          </w:p>
        </w:tc>
        <w:tc>
          <w:tcPr/>
          <w:p>
            <w:pPr>
              <w:pStyle w:val="Compact"/>
              <w:jc w:val="center"/>
            </w:pPr>
            <w:r>
              <w:t xml:space="preserve">68.000</w:t>
            </w:r>
          </w:p>
        </w:tc>
      </w:tr>
      <w:tr>
        <w:tc>
          <w:tcPr/>
          <w:p>
            <w:pPr>
              <w:pStyle w:val="Compact"/>
              <w:jc w:val="left"/>
            </w:pPr>
            <w:r>
              <w:t xml:space="preserve">Behandelter Anteil auf dem Höhepunkt</w:t>
            </w:r>
          </w:p>
        </w:tc>
        <w:tc>
          <w:tcPr/>
          <w:p>
            <w:pPr>
              <w:pStyle w:val="Compact"/>
              <w:jc w:val="right"/>
            </w:pPr>
            <w:r>
              <w:t xml:space="preserve">12%</w:t>
            </w:r>
          </w:p>
        </w:tc>
        <w:tc>
          <w:tcPr/>
          <w:p>
            <w:pPr>
              <w:pStyle w:val="Compact"/>
              <w:jc w:val="center"/>
            </w:pPr>
            <w:r>
              <w:t xml:space="preserve">28%</w:t>
            </w:r>
          </w:p>
        </w:tc>
      </w:tr>
      <w:tr>
        <w:tc>
          <w:tcPr/>
          <w:p>
            <w:pPr>
              <w:pStyle w:val="Compact"/>
              <w:jc w:val="left"/>
            </w:pPr>
            <w:r>
              <w:t xml:space="preserve">Jährlicher Nettoumsatz pro Patient</w:t>
            </w:r>
          </w:p>
        </w:tc>
        <w:tc>
          <w:tcPr/>
          <w:p>
            <w:pPr>
              <w:pStyle w:val="Compact"/>
              <w:jc w:val="right"/>
            </w:pPr>
            <w:r>
              <w:t xml:space="preserve">72.000 $</w:t>
            </w:r>
          </w:p>
        </w:tc>
        <w:tc>
          <w:tcPr/>
          <w:p>
            <w:pPr>
              <w:pStyle w:val="Compact"/>
              <w:jc w:val="center"/>
            </w:pPr>
            <w:r>
              <w:t xml:space="preserve">94.000 $</w:t>
            </w:r>
          </w:p>
        </w:tc>
      </w:tr>
      <w:tr>
        <w:tc>
          <w:tcPr/>
          <w:p>
            <w:pPr>
              <w:pStyle w:val="Compact"/>
              <w:jc w:val="left"/>
            </w:pPr>
            <w:r>
              <w:t xml:space="preserve">Jährliche Abbruchrate nach Markteinfüh</w:t>
            </w:r>
          </w:p>
        </w:tc>
        <w:tc>
          <w:tcPr/>
          <w:p>
            <w:pPr>
              <w:pStyle w:val="Compact"/>
              <w:jc w:val="right"/>
            </w:pPr>
            <w:r>
              <w:t xml:space="preserve">rung 29%</w:t>
            </w:r>
          </w:p>
        </w:tc>
        <w:tc>
          <w:tcPr/>
          <w:p>
            <w:pPr>
              <w:pStyle w:val="Compact"/>
              <w:jc w:val="center"/>
            </w:pPr>
            <w:r>
              <w:t xml:space="preserve">14%</w:t>
            </w:r>
          </w:p>
        </w:tc>
      </w:tr>
      <w:tr>
        <w:tc>
          <w:tcPr/>
          <w:p>
            <w:pPr>
              <w:pStyle w:val="Compact"/>
              <w:jc w:val="left"/>
            </w:pPr>
            <w:r>
              <w:t xml:space="preserve">Zeit vom Beginn der pivotalen Studie b</w:t>
            </w:r>
          </w:p>
        </w:tc>
        <w:tc>
          <w:tcPr/>
          <w:p>
            <w:pPr>
              <w:pStyle w:val="Compact"/>
              <w:jc w:val="right"/>
            </w:pPr>
            <w:r>
              <w:t xml:space="preserve">is zur Zulassung 5,</w:t>
            </w:r>
          </w:p>
        </w:tc>
        <w:tc>
          <w:tcPr/>
          <w:p>
            <w:pPr>
              <w:pStyle w:val="Compact"/>
              <w:jc w:val="center"/>
            </w:pPr>
            <w:r>
              <w:t xml:space="preserve">0 Jahre 3,6 Jahre</w:t>
            </w:r>
          </w:p>
        </w:tc>
      </w:tr>
      <w:tr>
        <w:tc>
          <w:tcPr/>
          <w:p>
            <w:pPr>
              <w:pStyle w:val="Compact"/>
              <w:jc w:val="left"/>
            </w:pPr>
            <w:r>
              <w:t xml:space="preserve">Geschätzter Spitzenjahresumsatz</w:t>
            </w:r>
          </w:p>
        </w:tc>
        <w:tc>
          <w:tcPr/>
          <w:p>
            <w:pPr>
              <w:pStyle w:val="Compact"/>
              <w:jc w:val="right"/>
            </w:pPr>
            <w:r>
              <w:t xml:space="preserve">420 Millionen $</w:t>
            </w:r>
          </w:p>
        </w:tc>
        <w:tc>
          <w:tcPr/>
          <w:p>
            <w:pPr>
              <w:pStyle w:val="Compact"/>
              <w:jc w:val="center"/>
            </w:pPr>
            <w:r>
              <w:t xml:space="preserve">1,8 Milliarden $</w:t>
            </w:r>
          </w:p>
        </w:tc>
      </w:tr>
    </w:tbl>
    <w:bookmarkEnd w:id="17"/>
    <w:bookmarkEnd w:id="18"/>
    <w:bookmarkStart w:id="19" w:name="die-vorstandssitzung-am-donnerstag"/>
    <w:p>
      <w:pPr>
        <w:pStyle w:val="Heading1"/>
      </w:pPr>
      <w:r>
        <w:t xml:space="preserve">Die Vorstandssitzung am Donnerstag</w:t>
      </w:r>
    </w:p>
    <w:p>
      <w:pPr>
        <w:pStyle w:val="FirstParagraph"/>
      </w:pPr>
      <w:r>
        <w:t xml:space="preserve">Das Vorstandspaket war bis Donnerstag fällig. Chen musste einen Entwicklungsweg, eine Patientenpopulation, eine Dosis, eine Zentrenstrategie und eine Finanzierungshaltung empfehlen. Sie musste auch definieren, welche Evidenz Asterion veranlassen würde, das Programm bei künftigen Überprüfungen zu stoppen, fortzusetzen, einzuschränken oder zu beschleunigen. Mehrere Direktoren wollten eine klare Antwort. Chen glaubte, dass die Evidenz mehrere vertretbare Antworten stützte, von denen jede das Unternehmen einer anderen Form des Scheiterns aussetzte.</w:t>
      </w:r>
    </w:p>
    <w:p>
      <w:pPr>
        <w:pStyle w:val="BodyText"/>
      </w:pPr>
      <w:r>
        <w:t xml:space="preserve">Den laufenden Versuch abzuschließen würde Informationen kaufen, aber Zeit kosten. Phase III zu beginnen würde Geschwindigkeit kaufen, aber Kapital binden. Die Population einzuengen könnte den beobachteten Behandlungseffekt verbessern, während Zugang und Marktgröße verringert würden. Mehr Zentren zu eröffnen könnte die Rekrutierung verbessern, während die Inkonsistenz zunimmt. Eine Partnerschaft könnte die Bilanz schützen, während ein Großteil des Aufwärtspotenzials abgegeben wird. Bis Mittwochabend hatte Chen immer noch nicht entschieden, mit welcher Unsicherheit Asterion am ehesten leben könnte.</w:t>
      </w:r>
    </w:p>
    <w:bookmarkEnd w:id="19"/>
    <w:bookmarkStart w:id="20" w:name="diskussionsfragen"/>
    <w:p>
      <w:pPr>
        <w:pStyle w:val="Heading1"/>
      </w:pPr>
      <w:r>
        <w:t xml:space="preserve">Diskussionsfragen</w:t>
      </w:r>
    </w:p>
    <w:p>
      <w:pPr>
        <w:numPr>
          <w:ilvl w:val="0"/>
          <w:numId w:val="1001"/>
        </w:numPr>
      </w:pPr>
      <w:r>
        <w:t xml:space="preserve">Was sollte Chen bei der Vorstandssitzung am Donnerstag empfehlen?</w:t>
      </w:r>
    </w:p>
    <w:p>
      <w:pPr>
        <w:numPr>
          <w:ilvl w:val="0"/>
          <w:numId w:val="1001"/>
        </w:numPr>
      </w:pPr>
      <w:r>
        <w:t xml:space="preserve">Wie sollte Asterion das stärkere Ergebnis der niedrigen Dosis und das uneinheitliche Ansprechen auf die hohe Dosis interpretieren?</w:t>
      </w:r>
    </w:p>
    <w:p>
      <w:pPr>
        <w:numPr>
          <w:ilvl w:val="0"/>
          <w:numId w:val="1001"/>
        </w:numPr>
      </w:pPr>
      <w:r>
        <w:t xml:space="preserve">Sollte die nächste Studie eine breite Population verwenden oder sich auf kürzlich diagnostizierte Patienten konzentrieren?</w:t>
      </w:r>
    </w:p>
    <w:p>
      <w:pPr>
        <w:numPr>
          <w:ilvl w:val="0"/>
          <w:numId w:val="1001"/>
        </w:numPr>
      </w:pPr>
      <w:r>
        <w:t xml:space="preserve">Wie sollte das Unternehmen die Rekrutierungsgeschwindigkeit gegen die Qualität der Zentren und die Datenkonsistenz abwägen?</w:t>
      </w:r>
    </w:p>
    <w:p>
      <w:pPr>
        <w:numPr>
          <w:ilvl w:val="0"/>
          <w:numId w:val="1001"/>
        </w:numPr>
      </w:pPr>
      <w:r>
        <w:t xml:space="preserve">Welche vorgeschlagenen Rekrutierungsinvestitionen erzeugen am ehesten nützliche Informationen und nicht nur mehr Aktivität?</w:t>
      </w:r>
    </w:p>
    <w:p>
      <w:pPr>
        <w:numPr>
          <w:ilvl w:val="0"/>
          <w:numId w:val="1001"/>
        </w:numPr>
      </w:pPr>
      <w:r>
        <w:t xml:space="preserve">Welche Evidenz sollte Fortsetzung, Erweiterung, Neugestaltung, Partnerschaft oder Beendigung auslösen?</w:t>
      </w:r>
    </w:p>
    <w:p>
      <w:pPr>
        <w:numPr>
          <w:ilvl w:val="0"/>
          <w:numId w:val="1001"/>
        </w:numPr>
      </w:pPr>
      <w:r>
        <w:t xml:space="preserve">Wie sollten Sicherheitssignale einbezogen werden, wenn der unabhängige Ausschuss keinen Abbruch empfohlen hat?</w:t>
      </w:r>
    </w:p>
    <w:p>
      <w:pPr>
        <w:numPr>
          <w:ilvl w:val="0"/>
          <w:numId w:val="1001"/>
        </w:numPr>
      </w:pPr>
      <w:r>
        <w:t xml:space="preserve">Wie stark sollten kommerzielle Prognosen die Gestaltung und Fortsetzung des klinischen Programms beeinflussen?</w:t>
      </w:r>
    </w:p>
    <w:p>
      <w:pPr>
        <w:numPr>
          <w:ilvl w:val="0"/>
          <w:numId w:val="1001"/>
        </w:numPr>
      </w:pPr>
      <w:r>
        <w:t xml:space="preserve">Welche Information hätte den größten Wert, bevor Asterion sich zu einer pivotalen Studie verpflichtet?</w:t>
      </w:r>
    </w:p>
    <w:p>
      <w:pPr>
        <w:numPr>
          <w:ilvl w:val="0"/>
          <w:numId w:val="1001"/>
        </w:numPr>
      </w:pPr>
      <w:r>
        <w:t xml:space="preserve">Wie sollte das Management eine mehrdeutige Entscheidung gegenüber Patienten, Prüfern, Mitarbeitern und Investoren kommunizieren?</w:t>
      </w:r>
    </w:p>
    <w:bookmarkEnd w:id="20"/>
    <w:bookmarkStart w:id="27" w:name="fragen-zur-entscheidungsrahmung"/>
    <w:p>
      <w:pPr>
        <w:pStyle w:val="Heading1"/>
      </w:pPr>
      <w:r>
        <w:t xml:space="preserve">Fragen zur Entscheidungsrahmung</w:t>
      </w:r>
    </w:p>
    <w:p>
      <w:pPr>
        <w:numPr>
          <w:ilvl w:val="0"/>
          <w:numId w:val="1002"/>
        </w:numPr>
      </w:pPr>
      <w:r>
        <w:t xml:space="preserve">Identifizieren und beschreiben Sie die Verantwortlichkeiten des Entscheidungsträgers. Dies sollte den Umfang des Problems festlegen.</w:t>
      </w:r>
    </w:p>
    <w:p>
      <w:pPr>
        <w:numPr>
          <w:ilvl w:val="0"/>
          <w:numId w:val="1002"/>
        </w:numPr>
      </w:pPr>
      <w:r>
        <w:t xml:space="preserve">Verwenden Sie das</w:t>
      </w:r>
      <w:r>
        <w:t xml:space="preserve"> </w:t>
      </w:r>
      <w:hyperlink r:id="rId21">
        <w:r>
          <w:rPr>
            <w:rStyle w:val="Hyperlink"/>
          </w:rPr>
          <w:t xml:space="preserve">Metrikpyramiden-Tool</w:t>
        </w:r>
      </w:hyperlink>
      <w:r>
        <w:t xml:space="preserve">, um die verschiedenen Leistungsmetriken zu identifizieren und zu priorisieren. Klicken Sie auf das Oval, das die Metrik enthält, um zu kennzeichnen, ob es sich um eine Metrik handelt, die maximiert (grün), minimiert (rot), ein Zielwert, der eine Untergrenze (hellgrün) oder eine Obergrenze (hellrot) darstellt, oder schließlich um einen Zielwert (violett) handelt.</w:t>
      </w:r>
    </w:p>
    <w:p>
      <w:pPr>
        <w:numPr>
          <w:ilvl w:val="0"/>
          <w:numId w:val="1002"/>
        </w:numPr>
      </w:pPr>
      <w:r>
        <w:t xml:space="preserve">Verwenden Sie das</w:t>
      </w:r>
      <w:r>
        <w:t xml:space="preserve"> </w:t>
      </w:r>
      <w:hyperlink r:id="rId22">
        <w:r>
          <w:rPr>
            <w:rStyle w:val="Hyperlink"/>
          </w:rPr>
          <w:t xml:space="preserve">Entscheidungspriorisierungs-Tool</w:t>
        </w:r>
      </w:hyperlink>
      <w:r>
        <w:t xml:space="preserve">, um zunächst die verschiedenen Arten von Entscheidungen aufzulisten (verwenden Sie die</w:t>
      </w:r>
      <w:r>
        <w:t xml:space="preserve"> </w:t>
      </w:r>
      <w:hyperlink r:id="rId23">
        <w:r>
          <w:rPr>
            <w:rStyle w:val="Hyperlink"/>
          </w:rPr>
          <w:t xml:space="preserve">Arten von Entscheidungen</w:t>
        </w:r>
      </w:hyperlink>
      <w:r>
        <w:t xml:space="preserve"> </w:t>
      </w:r>
      <w:r>
        <w:t xml:space="preserve">als Orientierung). Diese füllen dann die Zeilen der Matrix rechts, wobei die Spalten die Leistungsmetriken sind, von links nach rechts nach Priorität in der obigen Pyramide sortiert. Klicken Sie auf jede Zelle, um anzugeben, ob die Auswirkung der Entscheidung auf jede Metrik hoch (rot), mittel (orange), niedrig (gelb) oder nicht vorhanden (weiß) ist.</w:t>
      </w:r>
    </w:p>
    <w:p>
      <w:pPr>
        <w:numPr>
          <w:ilvl w:val="0"/>
          <w:numId w:val="1002"/>
        </w:numPr>
      </w:pPr>
      <w:r>
        <w:t xml:space="preserve">Sie können den Griff (drei Balken) ganz links in jeder Zeile fassen, um sie nach oben oder unten zu verschieben. Sortieren Sie die Zeilen so, dass die Entscheidungen mit den größten Auswirkungen auf die wichtigsten Metriken oben stehen. Die Zellen in der oberen linken Ecke sollten die größte Konzentration an roten und orangefarbenen Zellen aufweisen. Identifizieren Sie an dieser Stelle die Entscheidungen, die in Ihrer Studie die meiste Aufmerksamkeit erhalten sollten. Wenn Sie keine Entscheidungen mit mittlerer oder hoher Auswirkung auf die wichtigsten Metriken haben, überarbeiten Sie Ihre Liste von Entscheidungen.</w:t>
      </w:r>
    </w:p>
    <w:p>
      <w:pPr>
        <w:numPr>
          <w:ilvl w:val="0"/>
          <w:numId w:val="1002"/>
        </w:numPr>
      </w:pPr>
      <w:r>
        <w:t xml:space="preserve">Wiederholen Sie den Prozess, um die Unsicherheiten mithilfe des</w:t>
      </w:r>
      <w:r>
        <w:t xml:space="preserve"> </w:t>
      </w:r>
      <w:hyperlink r:id="rId24">
        <w:r>
          <w:rPr>
            <w:rStyle w:val="Hyperlink"/>
          </w:rPr>
          <w:t xml:space="preserve">Unsicherheitspriorisierungs-Tools</w:t>
        </w:r>
      </w:hyperlink>
      <w:r>
        <w:t xml:space="preserve"> </w:t>
      </w:r>
      <w:r>
        <w:t xml:space="preserve">aufzulisten und zu priorisieren. Verwenden Sie die</w:t>
      </w:r>
      <w:r>
        <w:t xml:space="preserve"> </w:t>
      </w:r>
      <w:hyperlink r:id="rId25">
        <w:r>
          <w:rPr>
            <w:rStyle w:val="Hyperlink"/>
          </w:rPr>
          <w:t xml:space="preserve">Kategorien von Unsicherheit</w:t>
        </w:r>
      </w:hyperlink>
      <w:r>
        <w:t xml:space="preserve">, um dies zu erleichtern.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durch die durchschnittliche Leistung über die Zeit erfasst?</w:t>
      </w:r>
    </w:p>
    <w:p>
      <w:pPr>
        <w:numPr>
          <w:ilvl w:val="1"/>
          <w:numId w:val="1003"/>
        </w:numPr>
      </w:pPr>
      <w:r>
        <w:t xml:space="preserve">Welche Unsicherheitsquellen stellen Formen von Risiko dar, die durch Durchschnittswerte nicht angemessen erfasst werden?</w:t>
      </w:r>
    </w:p>
    <w:p>
      <w:pPr>
        <w:numPr>
          <w:ilvl w:val="0"/>
          <w:numId w:val="1002"/>
        </w:numPr>
      </w:pPr>
      <w:r>
        <w:t xml:space="preserve">Wählen Sie die einzelne Entscheidung, die den größten Einfluss auf die wichtigste Metrik zu haben scheint.</w:t>
      </w:r>
    </w:p>
    <w:p>
      <w:pPr>
        <w:numPr>
          <w:ilvl w:val="1"/>
          <w:numId w:val="1004"/>
        </w:numPr>
      </w:pPr>
      <w:r>
        <w:t xml:space="preserve">Welchen Ansatz würden Sie Ihrer Meinung nach verwenden, um diese Entscheidung zu treffen?</w:t>
      </w:r>
    </w:p>
    <w:p>
      <w:pPr>
        <w:numPr>
          <w:ilvl w:val="1"/>
          <w:numId w:val="1004"/>
        </w:numPr>
      </w:pPr>
      <w:r>
        <w:t xml:space="preserve">Welche Daten erscheinen notwendig, um diese Entscheidung zu treffen, einschließlich der Berechnung etwaiger Leistungsmetriken, bei denen die Entscheidung eine hohe oder mittlere Auswirkung hätte.</w:t>
      </w:r>
    </w:p>
    <w:p>
      <w:pPr>
        <w:numPr>
          <w:ilvl w:val="0"/>
          <w:numId w:val="1002"/>
        </w:numPr>
      </w:pPr>
      <w:r>
        <w:t xml:space="preserve">Identifizieren Sie unter Verwendung derselben Entscheidung, die Sie in (7) ermittelt haben, die Personen, Abteilungen, Gruppen oder Organisationen, mit denen Sie zusammenarbeiten müssten, um die Entscheidung umzusetzen.</w:t>
      </w:r>
    </w:p>
    <w:bookmarkStart w:id="26" w:name="quellenangabe"/>
    <w:p>
      <w:pPr>
        <w:pStyle w:val="Heading2"/>
      </w:pPr>
      <w:r>
        <w:t xml:space="preserve">Quellenangabe</w:t>
      </w:r>
    </w:p>
    <w:p>
      <w:pPr>
        <w:pStyle w:val="FirstParagraph"/>
      </w:pPr>
      <w:r>
        <w:t xml:space="preserve">Öffentlicher Kontext: ClinicalTrials.gov meldete zum Juli 2026 595.847 registrierte Studien. Die U.S. Food and Drug Administration beschreibt Phase-III-Studien als üblicherweise 300 bis 3.000 Teilnehmer umfassend und ein bis vier Jahre dauernd. Eine veröffentlichte Analyse randomisierter chirurgischer Studien ergab eine mediane Fertigstellungsverzögerung von 12,2 Monaten bei verzögert abgeschlossenen Studien, während mehrere Studien unzureichende Rekrutierung als einen der Hauptgründe dafür identifizieren, dass Studien abgebrochen werden oder ihre primäre Fragestellung nicht beantworten können. Konzeptionelle Grundlage: Warren B. Powell, Bridging Decision Problems, Band I, Kapitel 2, Abschnitt</w:t>
      </w:r>
      <w:r>
        <w:t xml:space="preserve"> </w:t>
      </w:r>
      <w:r>
        <w:t xml:space="preserve">“Running clinical trials for drug testing”</w:t>
      </w:r>
      <w:r>
        <w:t xml:space="preserve">. Quellen abgerufen am 30. Juli 2026: ClinicalTrials.gov, Trends and Charts on Registered Studies; U.S. Food and Drug Administration, Step 3: Clinical Research; Shadbolt et al., JAMA Network Open (2023); Briel et al., Journal of Clinical Epidemiology (2017).</w:t>
      </w:r>
    </w:p>
    <w:bookmarkEnd w:id="26"/>
    <w:bookmarkEnd w:id="27"/>
    <w:bookmarkStart w:id="29" w:name="chatgpt-zusammenfassung"/>
    <w:p>
      <w:pPr>
        <w:pStyle w:val="Heading1"/>
      </w:pPr>
      <w:r>
        <w:t xml:space="preserve">ChatGPT-Zusammenfassung</w:t>
      </w:r>
    </w:p>
    <w:bookmarkStart w:id="28" w:name="prompt"/>
    <w:p>
      <w:pPr>
        <w:pStyle w:val="Heading2"/>
      </w:pPr>
      <w:r>
        <w:t xml:space="preserve">Prompt</w:t>
      </w:r>
    </w:p>
    <w:p>
      <w:pPr>
        <w:pStyle w:val="FirstParagraph"/>
      </w:pPr>
      <w:r>
        <w:t xml:space="preserve">Schreiben Sie eine 4-6-seitige Fallstudie basierend auf dem Material im Abschnitt unter https://warrenpowell.org/bridging-vol1/chapter-2/#clinicaltrials. Erstellen Sie einen Kontext basierend auf den Metriken, Entscheidungen und Unsicherheiten in dem Abschnitt, ohne jedoch explizit darauf hinzuweisen. Begründen Sie Ihr Fallproblem mit Daten.</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2026-09-11T16:00:23Z</dcterms:created>
  <dcterms:modified xsi:type="dcterms:W3CDTF">2026-09-11T16:00:23Z</dcterms:modified>
</cp:coreProperties>
</file>

<file path=docProps/custom.xml><?xml version="1.0" encoding="utf-8"?>
<Properties xmlns="http://schemas.openxmlformats.org/officeDocument/2006/custom-properties" xmlns:vt="http://schemas.openxmlformats.org/officeDocument/2006/docPropsVTypes"/>
</file>