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AURORA MOTORS</w:t>
      </w:r>
    </w:p>
    <w:p>
      <w:pPr>
        <w:pStyle w:val="BodyText"/>
      </w:pPr>
      <w:r>
        <w:t xml:space="preserve">Das Dilemma der Flusskoordination</w:t>
      </w:r>
    </w:p>
    <w:p>
      <w:pPr>
        <w:pStyle w:val="BodyText"/>
      </w:pPr>
      <w:r>
        <w:t xml:space="preserve">Ein fiktiver Lehrfall über die Synchronisierung globaler Teile, Produktion und Kundenlieferungen</w:t>
      </w:r>
    </w:p>
    <w:p>
      <w:pPr>
        <w:pStyle w:val="BodyText"/>
      </w:pPr>
      <w:r>
        <w:t xml:space="preserve">+————————————————————————————————————————————————————————————————————————–+</w:t>
      </w:r>
      <w:r>
        <w:t xml:space="preserve"> </w:t>
      </w:r>
      <w:r>
        <w:t xml:space="preserve">| DIE ENTSCHEIDUNG |</w:t>
      </w:r>
      <w:r>
        <w:t xml:space="preserve"> </w:t>
      </w:r>
      <w:r>
        <w:t xml:space="preserve">| |</w:t>
      </w:r>
      <w:r>
        <w:t xml:space="preserve"> </w:t>
      </w:r>
      <w:r>
        <w:t xml:space="preserve">| Wie sollte Aurora Motors ungewisse Zulieferungen mit Produktion und Kundenlieferungen koordinieren, wenn sich Zölle, Bundesförderungen, Benzinpreise und Käuferpräferenzen schneller ändern können als die Lieferkette darauf reagieren kann? |</w:t>
      </w:r>
      <w:r>
        <w:t xml:space="preserve"> </w:t>
      </w:r>
      <w:r>
        <w:t xml:space="preserve">+==========================================================================================================================================================================================================================+</w:t>
      </w:r>
    </w:p>
    <w:p>
      <w:pPr>
        <w:pStyle w:val="BodyText"/>
      </w:pPr>
      <w:r>
        <w:t xml:space="preserve">Am Montag, dem 6. Oktober 2025, betrat Maya Chen, Chief Operating Officer von Aurora Motors, eine Sitzung der Geschäftsführung mit drei Prognosen im Gepäck, die nicht alle gleichzeitig zutreffen konnten. Das Einkaufsteam erwartete steigende Kosten für importierte Komponenten. Der Vertrieb erwartete eine Beschleunigung der Nachfrage nach Auroras Hybrid-Sport-Utility-Fahrzeug nach einem erneuten Sprung der Benzinpreise. Die Finanzabteilung warnte, dass die staatliche Steuergutschrift für saubere Fahrzeuge für Fahrzeuge, die nach dem 30. September erworben wurden, ausgelaufen sei – ein Vorteil, den einige Händler bereits in ihre Kunden-Zahlungsschätzungen eingerechnet hatten. Währenddessen warteten 3.800 abgeschlossene Kundenaufträge auf Produktionstermine.</w:t>
      </w:r>
    </w:p>
    <w:p>
      <w:pPr>
        <w:pStyle w:val="BodyText"/>
      </w:pPr>
      <w:r>
        <w:t xml:space="preserve">Aurora montierte Hybrid-Elektrofahrzeuge in einem US-Werk. Sein wichtigstes Modell, der Aurora Crosswind, kombinierte einen Benzinmotor, einen Elektromotor, Leistungselektronik und ein 1,8-kWh-Batteriepaket. Obwohl die Endmontage im Inland stattfand, war das Fahrzeug auf Batteriezellen und Halbleitermodule aus Asien, spezialisierte Wechselrichter aus Europa sowie Motoren, Karosserieteile und Sitze aus Nordamerika angewiesen. Ein fehlendes 180-$-Steuermodul konnte den Versand eines 42.000-$-Fahrzeugs verzögern.</w:t>
      </w:r>
    </w:p>
    <w:bookmarkStart w:id="9" w:name="Xeeae5e6de7f91bae18cb7755b5dd62d076322a7"/>
    <w:p>
      <w:pPr>
        <w:pStyle w:val="Heading1"/>
      </w:pPr>
      <w:r>
        <w:t xml:space="preserve">Ein Unternehmen, das auf koordiniertem Fluss aufgebaut ist</w:t>
      </w:r>
    </w:p>
    <w:p>
      <w:pPr>
        <w:pStyle w:val="FirstParagraph"/>
      </w:pPr>
      <w:r>
        <w:t xml:space="preserve">Aurora war gewachsen, indem es Händlern ein zuverlässiges Zeitfenster von acht Wochen zwischen Bestellung und Lieferung versprach. Sein Betriebssystem wandelte Händlerbestellungen in einen 12-Wochen-Produktionsplan um und gab anschließend Bestellungen, Seetransportbuchungen, Bahnkapazitäten und Liefertermine für Fertigfahrzeuge frei. Das System funktionierte gut, solange Prognosen und Lieferzeiten stabil waren. Es geriet in Schwierigkeiten, wenn sich Handelspolitik und Energiemärkte abrupt bewegten.</w:t>
      </w:r>
    </w:p>
    <w:p>
      <w:pPr>
        <w:pStyle w:val="BodyText"/>
      </w:pPr>
      <w:r>
        <w:t xml:space="preserve">Das Fertigungswerk konnte 1.150 Fahrzeuge pro Woche im Zweischichtbetrieb bauen. Die Hybrid-Antriebslinie war die Engpassstelle, aber Engpässe an anderer Stelle verhinderten häufig, dass die Linie ihre volle Kapazität nutzen konnte. Aurora konnte einige Komponenten substituieren, die Modellreihenfolge ändern, nahezu fertige Fahrzeuge für eine spätere Fertigstellung zurückhalten oder Luftfracht einsetzen. Jede Reaktion verschob Kosten und Verzögerungen auf einen anderen Teil des Systems.</w:t>
      </w:r>
    </w:p>
    <w:tbl>
      <w:tblPr>
        <w:tblStyle w:val="Table"/>
        <w:tblW w:type="pct" w:w="4921"/>
        <w:tblLayout w:type="fixed"/>
        <w:tblLook w:firstRow="1" w:lastRow="0" w:firstColumn="0" w:lastColumn="0" w:noHBand="0" w:noVBand="0" w:val="0020"/>
      </w:tblPr>
      <w:tblGrid>
        <w:gridCol w:w="1508"/>
        <w:gridCol w:w="1445"/>
        <w:gridCol w:w="1194"/>
        <w:gridCol w:w="1005"/>
        <w:gridCol w:w="2640"/>
      </w:tblGrid>
      <w:tr>
        <w:trPr>
          <w:tblHeader w:val="on"/>
        </w:trPr>
        <w:tc>
          <w:tcPr/>
          <w:p>
            <w:pPr>
              <w:pStyle w:val="Compact"/>
              <w:jc w:val="left"/>
            </w:pPr>
            <w:r>
              <w:t xml:space="preserve">Zulieferartikel</w:t>
            </w:r>
          </w:p>
        </w:tc>
        <w:tc>
          <w:tcPr/>
          <w:p>
            <w:pPr>
              <w:pStyle w:val="Compact"/>
              <w:jc w:val="center"/>
            </w:pPr>
            <w:r>
              <w:t xml:space="preserve">Hauptquelle</w:t>
            </w:r>
          </w:p>
        </w:tc>
        <w:tc>
          <w:tcPr/>
          <w:p>
            <w:pPr>
              <w:pStyle w:val="Compact"/>
              <w:jc w:val="right"/>
            </w:pPr>
            <w:r>
              <w:t xml:space="preserve">Normale Lieferzeit</w:t>
            </w:r>
          </w:p>
        </w:tc>
        <w:tc>
          <w:tcPr/>
          <w:p>
            <w:pPr>
              <w:pStyle w:val="Compact"/>
              <w:jc w:val="right"/>
            </w:pPr>
            <w:r>
              <w:t xml:space="preserve">Bestand vor Or</w:t>
            </w:r>
          </w:p>
        </w:tc>
        <w:tc>
          <w:tcPr/>
          <w:p>
            <w:pPr>
              <w:pStyle w:val="Compact"/>
              <w:jc w:val="left"/>
            </w:pPr>
            <w:r>
              <w:t xml:space="preserve">t Risiko</w:t>
            </w:r>
          </w:p>
        </w:tc>
      </w:tr>
      <w:tr>
        <w:tc>
          <w:tcPr/>
          <w:p>
            <w:pPr>
              <w:pStyle w:val="Compact"/>
              <w:jc w:val="left"/>
            </w:pPr>
            <w:r>
              <w:t xml:space="preserve">Batteriezellen</w:t>
            </w:r>
          </w:p>
        </w:tc>
        <w:tc>
          <w:tcPr/>
          <w:p>
            <w:pPr>
              <w:pStyle w:val="Compact"/>
              <w:jc w:val="center"/>
            </w:pPr>
            <w:r>
              <w:t xml:space="preserve">Ostasien</w:t>
            </w:r>
          </w:p>
        </w:tc>
        <w:tc>
          <w:tcPr/>
          <w:p>
            <w:pPr>
              <w:pStyle w:val="Compact"/>
              <w:jc w:val="right"/>
            </w:pPr>
            <w:r>
              <w:t xml:space="preserve">11 Wochen</w:t>
            </w:r>
          </w:p>
        </w:tc>
        <w:tc>
          <w:tcPr/>
          <w:p>
            <w:pPr>
              <w:pStyle w:val="Compact"/>
              <w:jc w:val="right"/>
            </w:pPr>
            <w:r>
              <w:t xml:space="preserve">5,2 Wochen</w:t>
            </w:r>
          </w:p>
        </w:tc>
        <w:tc>
          <w:tcPr/>
          <w:p>
            <w:pPr>
              <w:pStyle w:val="Compact"/>
              <w:jc w:val="left"/>
            </w:pPr>
            <w:r>
              <w:t xml:space="preserve">Zoll, Verzögerung auf dem Seeweg, Qualitätsfreigabe</w:t>
            </w:r>
          </w:p>
        </w:tc>
      </w:tr>
      <w:tr>
        <w:tc>
          <w:tcPr/>
          <w:p>
            <w:pPr>
              <w:pStyle w:val="Compact"/>
              <w:jc w:val="left"/>
            </w:pPr>
            <w:r>
              <w:t xml:space="preserve">Leistungssteuerungsmodul</w:t>
            </w:r>
          </w:p>
        </w:tc>
        <w:tc>
          <w:tcPr/>
          <w:p>
            <w:pPr>
              <w:pStyle w:val="Compact"/>
              <w:jc w:val="center"/>
            </w:pPr>
            <w:r>
              <w:t xml:space="preserve">e Ostasien</w:t>
            </w:r>
          </w:p>
        </w:tc>
        <w:tc>
          <w:tcPr/>
          <w:p>
            <w:pPr>
              <w:pStyle w:val="Compact"/>
              <w:jc w:val="right"/>
            </w:pPr>
            <w:r>
              <w:t xml:space="preserve">8 Wochen</w:t>
            </w:r>
          </w:p>
        </w:tc>
        <w:tc>
          <w:tcPr/>
          <w:p>
            <w:pPr>
              <w:pStyle w:val="Compact"/>
              <w:jc w:val="right"/>
            </w:pPr>
            <w:r>
              <w:t xml:space="preserve">2,6 Wochen</w:t>
            </w:r>
          </w:p>
        </w:tc>
        <w:tc>
          <w:tcPr/>
          <w:p>
            <w:pPr>
              <w:pStyle w:val="Compact"/>
              <w:jc w:val="left"/>
            </w:pPr>
            <w:r>
              <w:t xml:space="preserve">Zoll, Halbleiterzuteilung</w:t>
            </w:r>
          </w:p>
        </w:tc>
      </w:tr>
      <w:tr>
        <w:tc>
          <w:tcPr/>
          <w:p>
            <w:pPr>
              <w:pStyle w:val="Compact"/>
              <w:jc w:val="left"/>
            </w:pPr>
            <w:r>
              <w:t xml:space="preserve">Wechselrichter</w:t>
            </w:r>
          </w:p>
        </w:tc>
        <w:tc>
          <w:tcPr/>
          <w:p>
            <w:pPr>
              <w:pStyle w:val="Compact"/>
              <w:jc w:val="center"/>
            </w:pPr>
            <w:r>
              <w:t xml:space="preserve">Europäische Union</w:t>
            </w:r>
          </w:p>
        </w:tc>
        <w:tc>
          <w:tcPr/>
          <w:p>
            <w:pPr>
              <w:pStyle w:val="Compact"/>
              <w:jc w:val="right"/>
            </w:pPr>
            <w:r>
              <w:t xml:space="preserve">7 Wochen</w:t>
            </w:r>
          </w:p>
        </w:tc>
        <w:tc>
          <w:tcPr/>
          <w:p>
            <w:pPr>
              <w:pStyle w:val="Compact"/>
              <w:jc w:val="right"/>
            </w:pPr>
            <w:r>
              <w:t xml:space="preserve">3,1 Wochen</w:t>
            </w:r>
          </w:p>
        </w:tc>
        <w:tc>
          <w:tcPr/>
          <w:p>
            <w:pPr>
              <w:pStyle w:val="Compact"/>
              <w:jc w:val="left"/>
            </w:pPr>
            <w:r>
              <w:t xml:space="preserve">Zoll auf Autoteile, Hafenstau</w:t>
            </w:r>
          </w:p>
        </w:tc>
      </w:tr>
      <w:tr>
        <w:tc>
          <w:tcPr/>
          <w:p>
            <w:pPr>
              <w:pStyle w:val="Compact"/>
              <w:jc w:val="left"/>
            </w:pPr>
            <w:r>
              <w:t xml:space="preserve">Benzinmotoren</w:t>
            </w:r>
          </w:p>
        </w:tc>
        <w:tc>
          <w:tcPr/>
          <w:p>
            <w:pPr>
              <w:pStyle w:val="Compact"/>
              <w:jc w:val="center"/>
            </w:pPr>
            <w:r>
              <w:t xml:space="preserve">Vereinigte Staaten/Mex</w:t>
            </w:r>
          </w:p>
        </w:tc>
        <w:tc>
          <w:tcPr/>
          <w:p>
            <w:pPr>
              <w:pStyle w:val="Compact"/>
              <w:jc w:val="right"/>
            </w:pPr>
            <w:r>
              <w:t xml:space="preserve">iko 3 Wochen</w:t>
            </w:r>
          </w:p>
        </w:tc>
        <w:tc>
          <w:tcPr/>
          <w:p>
            <w:pPr>
              <w:pStyle w:val="Compact"/>
              <w:jc w:val="right"/>
            </w:pPr>
            <w:r>
              <w:t xml:space="preserve">1,8 Wochen</w:t>
            </w:r>
          </w:p>
        </w:tc>
        <w:tc>
          <w:tcPr/>
          <w:p>
            <w:pPr>
              <w:pStyle w:val="Compact"/>
              <w:jc w:val="left"/>
            </w:pPr>
            <w:r>
              <w:t xml:space="preserve">Änderungen im Modellmix</w:t>
            </w:r>
          </w:p>
        </w:tc>
      </w:tr>
      <w:tr>
        <w:tc>
          <w:tcPr/>
          <w:p>
            <w:pPr>
              <w:pStyle w:val="Compact"/>
              <w:jc w:val="left"/>
            </w:pPr>
            <w:r>
              <w:t xml:space="preserve">Sitze und Innenausstattu</w:t>
            </w:r>
          </w:p>
        </w:tc>
        <w:tc>
          <w:tcPr/>
          <w:p>
            <w:pPr>
              <w:pStyle w:val="Compact"/>
              <w:jc w:val="center"/>
            </w:pPr>
            <w:r>
              <w:t xml:space="preserve">ng Vereinigte Staaten</w:t>
            </w:r>
          </w:p>
        </w:tc>
        <w:tc>
          <w:tcPr/>
          <w:p>
            <w:pPr>
              <w:pStyle w:val="Compact"/>
              <w:jc w:val="right"/>
            </w:pPr>
            <w:r>
              <w:t xml:space="preserve">2 Wochen</w:t>
            </w:r>
          </w:p>
        </w:tc>
        <w:tc>
          <w:tcPr/>
          <w:p>
            <w:pPr>
              <w:pStyle w:val="Compact"/>
              <w:jc w:val="right"/>
            </w:pPr>
            <w:r>
              <w:t xml:space="preserve">1,3 Wochen</w:t>
            </w:r>
          </w:p>
        </w:tc>
        <w:tc>
          <w:tcPr/>
          <w:p>
            <w:pPr>
              <w:pStyle w:val="Compact"/>
              <w:jc w:val="left"/>
            </w:pPr>
            <w:r>
              <w:t xml:space="preserve">Sequenzspezifisch, geringe Substituierbarkeit</w:t>
            </w:r>
          </w:p>
        </w:tc>
      </w:tr>
    </w:tbl>
    <w:bookmarkEnd w:id="9"/>
    <w:bookmarkStart w:id="10" w:name="X77fb64b4ec4b5ff74f435e1e21e2a39bf1c542f"/>
    <w:p>
      <w:pPr>
        <w:pStyle w:val="Heading1"/>
      </w:pPr>
      <w:r>
        <w:t xml:space="preserve">Externe Signale, die sich nicht im Gleichschritt bewegten</w:t>
      </w:r>
    </w:p>
    <w:p>
      <w:pPr>
        <w:pStyle w:val="FirstParagraph"/>
      </w:pPr>
      <w:r>
        <w:t xml:space="preserve">Die Batterieökonomie legte nahe, dass elektrifizierte Fahrzeuge stetig einfacher zu produzieren werden sollten. Schätzungen des US-Energieministeriums setzten die Kosten für Batteriepakete leichter Elektrofahrzeuge im Jahr 2008 bei 1.415 $ pro nutzbarer kWh an, im Jahr 2023 bei 139 $ – ein Rückgang von rund 90 Prozent in konstanten Dollar. Doch Auroras kleines Hybridpaket stellte nur einen Teil der Gesamtkosten des Antriebsstrangs dar, und die Zollbehandlung hing von Chemie, Herkunft und Klassifizierung ab. Im Jahr 2024 erhöhten die Vereinigten Staaten den Section-301-Zoll auf Lithium-Ionen-EV-Batterien aus China auf 25 Prozent. Im Jahr 2025 verhängte eine separate Maßnahme einen Zoll von 25 Prozent auf bestimmte importierte Automobile und Schlüsselautoteile, wobei nachfolgende Länderabkommen jedoch unterschiedliche effektive Sätze schufen, einschließlich eines Rahmenwerks, das einen kombinierten Satz von 15 Prozent für erfasste EU-Automobilgüter anstrebte.</w:t>
      </w:r>
    </w:p>
    <w:p>
      <w:pPr>
        <w:pStyle w:val="BodyText"/>
      </w:pPr>
      <w:r>
        <w:t xml:space="preserve">Die Energiepreise sorgten für eine andere Art von Unsicherheit. Der jährliche WTI-Rohölpreis lag 2020 im Durchschnitt bei etwa 39 $ pro Barrel, 2021 bei 68 $, 2022 bei 95 $, 2023 bei 78 $ und 2024 bei 77 $. Die Abfolge erinnerte die Führungskräfte daran, dass Kriege, Sanktionen, Produktionsentscheidungen und Schifffahrtsstörungen den Wert, den Kunden der Kraftstoffeffizienz beimessen, rasch verändern konnten. Doch ein hoher Ölpreis konnte sich zurückbilden, bevor Aurora die als Reaktion darauf bestellten Teile erhielt.</w:t>
      </w:r>
    </w:p>
    <w:tbl>
      <w:tblPr>
        <w:tblStyle w:val="Table"/>
        <w:tblW w:type="pct" w:w="4928"/>
        <w:tblLayout w:type="fixed"/>
        <w:tblLook w:firstRow="1" w:lastRow="0" w:firstColumn="0" w:lastColumn="0" w:noHBand="0" w:noVBand="0" w:val="0020"/>
      </w:tblPr>
      <w:tblGrid>
        <w:gridCol w:w="401"/>
        <w:gridCol w:w="1606"/>
        <w:gridCol w:w="2295"/>
        <w:gridCol w:w="3500"/>
      </w:tblGrid>
      <w:tr>
        <w:trPr>
          <w:tblHeader w:val="on"/>
        </w:trPr>
        <w:tc>
          <w:tcPr/>
          <w:p>
            <w:pPr>
              <w:pStyle w:val="Compact"/>
              <w:jc w:val="left"/>
            </w:pPr>
            <w:r>
              <w:t xml:space="preserve">Jahr</w:t>
            </w:r>
          </w:p>
        </w:tc>
        <w:tc>
          <w:tcPr/>
          <w:p>
            <w:pPr>
              <w:pStyle w:val="Compact"/>
              <w:jc w:val="left"/>
            </w:pPr>
            <w:r>
              <w:t xml:space="preserve">WTI-Rohöl ($/Barrel)</w:t>
            </w:r>
          </w:p>
        </w:tc>
        <w:tc>
          <w:tcPr/>
          <w:p>
            <w:pPr>
              <w:pStyle w:val="Compact"/>
            </w:pPr>
            <w:r>
              <w:t xml:space="preserve">DOE-Batteriepaketkosten ($/nutzbarer kW</w:t>
            </w:r>
          </w:p>
        </w:tc>
        <w:tc>
          <w:tcPr/>
          <w:p>
            <w:pPr>
              <w:pStyle w:val="Compact"/>
              <w:jc w:val="left"/>
            </w:pPr>
            <w:r>
              <w:t xml:space="preserve">h) Ausgewähltes Markt-/Politiksignal</w:t>
            </w:r>
          </w:p>
        </w:tc>
      </w:tr>
      <w:tr>
        <w:tc>
          <w:tcPr/>
          <w:p>
            <w:pPr>
              <w:pStyle w:val="Compact"/>
              <w:jc w:val="left"/>
            </w:pPr>
            <w:r>
              <w:t xml:space="preserve">2008</w:t>
            </w:r>
          </w:p>
        </w:tc>
        <w:tc>
          <w:tcPr/>
          <w:p>
            <w:pPr>
              <w:pStyle w:val="Compact"/>
              <w:jc w:val="left"/>
            </w:pPr>
            <w:r>
              <w:t xml:space="preserve">99,67*</w:t>
            </w:r>
          </w:p>
        </w:tc>
        <w:tc>
          <w:tcPr/>
          <w:p>
            <w:pPr>
              <w:pStyle w:val="Compact"/>
            </w:pPr>
            <w:r>
              <w:t xml:space="preserve">1.415</w:t>
            </w:r>
          </w:p>
        </w:tc>
        <w:tc>
          <w:tcPr/>
          <w:p>
            <w:pPr>
              <w:pStyle w:val="Compact"/>
              <w:jc w:val="left"/>
            </w:pPr>
            <w:r>
              <w:t xml:space="preserve">Hohe Ölpreisvolatilität; frühe Elektrifizierungsinvestitionen</w:t>
            </w:r>
          </w:p>
        </w:tc>
      </w:tr>
      <w:tr>
        <w:tc>
          <w:tcPr/>
          <w:p>
            <w:pPr>
              <w:pStyle w:val="Compact"/>
              <w:jc w:val="left"/>
            </w:pPr>
            <w:r>
              <w:t xml:space="preserve">2020</w:t>
            </w:r>
          </w:p>
        </w:tc>
        <w:tc>
          <w:tcPr/>
          <w:p>
            <w:pPr>
              <w:pStyle w:val="Compact"/>
              <w:jc w:val="left"/>
            </w:pPr>
            <w:r>
              <w:t xml:space="preserve">39,16</w:t>
            </w:r>
          </w:p>
        </w:tc>
        <w:tc>
          <w:tcPr/>
          <w:p>
            <w:pPr>
              <w:pStyle w:val="Compact"/>
            </w:pPr>
            <w:r>
              <w:t xml:space="preserve">—</w:t>
            </w:r>
          </w:p>
        </w:tc>
        <w:tc>
          <w:tcPr/>
          <w:p>
            <w:pPr>
              <w:pStyle w:val="Compact"/>
              <w:jc w:val="left"/>
            </w:pPr>
            <w:r>
              <w:t xml:space="preserve">Pandemiebedingter Nachfrageschock</w:t>
            </w:r>
          </w:p>
        </w:tc>
      </w:tr>
      <w:tr>
        <w:tc>
          <w:tcPr/>
          <w:p>
            <w:pPr>
              <w:pStyle w:val="Compact"/>
              <w:jc w:val="left"/>
            </w:pPr>
            <w:r>
              <w:t xml:space="preserve">2021</w:t>
            </w:r>
          </w:p>
        </w:tc>
        <w:tc>
          <w:tcPr/>
          <w:p>
            <w:pPr>
              <w:pStyle w:val="Compact"/>
              <w:jc w:val="left"/>
            </w:pPr>
            <w:r>
              <w:t xml:space="preserve">68,13</w:t>
            </w:r>
          </w:p>
        </w:tc>
        <w:tc>
          <w:tcPr/>
          <w:p>
            <w:pPr>
              <w:pStyle w:val="Compact"/>
            </w:pPr>
            <w:r>
              <w:t xml:space="preserve">157</w:t>
            </w:r>
          </w:p>
        </w:tc>
        <w:tc>
          <w:tcPr/>
          <w:p>
            <w:pPr>
              <w:pStyle w:val="Compact"/>
              <w:jc w:val="left"/>
            </w:pPr>
            <w:r>
              <w:t xml:space="preserve">Erholung der Kraftstoffnachfrage</w:t>
            </w:r>
          </w:p>
        </w:tc>
      </w:tr>
      <w:tr>
        <w:tc>
          <w:tcPr/>
          <w:p>
            <w:pPr>
              <w:pStyle w:val="Compact"/>
              <w:jc w:val="left"/>
            </w:pPr>
            <w:r>
              <w:t xml:space="preserve">2022</w:t>
            </w:r>
          </w:p>
        </w:tc>
        <w:tc>
          <w:tcPr/>
          <w:p>
            <w:pPr>
              <w:pStyle w:val="Compact"/>
              <w:jc w:val="left"/>
            </w:pPr>
            <w:r>
              <w:t xml:space="preserve">94,90</w:t>
            </w:r>
          </w:p>
        </w:tc>
        <w:tc>
          <w:tcPr/>
          <w:p>
            <w:pPr>
              <w:pStyle w:val="Compact"/>
            </w:pPr>
            <w:r>
              <w:t xml:space="preserve">153</w:t>
            </w:r>
          </w:p>
        </w:tc>
        <w:tc>
          <w:tcPr/>
          <w:p>
            <w:pPr>
              <w:pStyle w:val="Compact"/>
              <w:jc w:val="left"/>
            </w:pPr>
            <w:r>
              <w:t xml:space="preserve">Kriegsbedingter Energieschock; IRA verabschiedet</w:t>
            </w:r>
          </w:p>
        </w:tc>
      </w:tr>
      <w:tr>
        <w:tc>
          <w:tcPr/>
          <w:p>
            <w:pPr>
              <w:pStyle w:val="Compact"/>
              <w:jc w:val="left"/>
            </w:pPr>
            <w:r>
              <w:t xml:space="preserve">2023</w:t>
            </w:r>
          </w:p>
        </w:tc>
        <w:tc>
          <w:tcPr/>
          <w:p>
            <w:pPr>
              <w:pStyle w:val="Compact"/>
              <w:jc w:val="left"/>
            </w:pPr>
            <w:r>
              <w:t xml:space="preserve">77,58</w:t>
            </w:r>
          </w:p>
        </w:tc>
        <w:tc>
          <w:tcPr/>
          <w:p>
            <w:pPr>
              <w:pStyle w:val="Compact"/>
            </w:pPr>
            <w:r>
              <w:t xml:space="preserve">139</w:t>
            </w:r>
          </w:p>
        </w:tc>
        <w:tc>
          <w:tcPr/>
          <w:p>
            <w:pPr>
              <w:pStyle w:val="Compact"/>
              <w:jc w:val="left"/>
            </w:pPr>
            <w:r>
              <w:t xml:space="preserve">Neue Mineral- und Batteriekomponentenvorschriften treten in Kraft</w:t>
            </w:r>
          </w:p>
        </w:tc>
      </w:tr>
      <w:tr>
        <w:tc>
          <w:tcPr/>
          <w:p>
            <w:pPr>
              <w:pStyle w:val="Compact"/>
              <w:jc w:val="left"/>
            </w:pPr>
            <w:r>
              <w:t xml:space="preserve">2024</w:t>
            </w:r>
          </w:p>
        </w:tc>
        <w:tc>
          <w:tcPr/>
          <w:p>
            <w:pPr>
              <w:pStyle w:val="Compact"/>
              <w:jc w:val="left"/>
            </w:pPr>
            <w:r>
              <w:t xml:space="preserve">76,63</w:t>
            </w:r>
          </w:p>
        </w:tc>
        <w:tc>
          <w:tcPr/>
          <w:p>
            <w:pPr>
              <w:pStyle w:val="Compact"/>
            </w:pPr>
            <w:r>
              <w:t xml:space="preserve">—</w:t>
            </w:r>
          </w:p>
        </w:tc>
        <w:tc>
          <w:tcPr/>
          <w:p>
            <w:pPr>
              <w:pStyle w:val="Compact"/>
              <w:jc w:val="left"/>
            </w:pPr>
            <w:r>
              <w:t xml:space="preserve">China-EV-Batteriezoll auf 25 % erhöht</w:t>
            </w:r>
          </w:p>
        </w:tc>
      </w:tr>
      <w:tr>
        <w:tc>
          <w:tcPr/>
          <w:p>
            <w:pPr>
              <w:pStyle w:val="Compact"/>
              <w:jc w:val="left"/>
            </w:pPr>
            <w:r>
              <w:t xml:space="preserve">2025</w:t>
            </w:r>
          </w:p>
        </w:tc>
        <w:tc>
          <w:tcPr/>
          <w:p>
            <w:pPr>
              <w:pStyle w:val="Compact"/>
              <w:jc w:val="left"/>
            </w:pPr>
            <w:r>
              <w:t xml:space="preserve">65,39</w:t>
            </w:r>
          </w:p>
        </w:tc>
        <w:tc>
          <w:tcPr/>
          <w:p>
            <w:pPr>
              <w:pStyle w:val="Compact"/>
            </w:pPr>
            <w:r>
              <w:t xml:space="preserve">—</w:t>
            </w:r>
          </w:p>
        </w:tc>
        <w:tc>
          <w:tcPr/>
          <w:p>
            <w:pPr>
              <w:pStyle w:val="Compact"/>
              <w:jc w:val="left"/>
            </w:pPr>
            <w:r>
              <w:t xml:space="preserve">Auto-/Teilezölle; neue Steuergutschrift für saubere Fahrzeuge endet am 30. Sept.</w:t>
            </w:r>
          </w:p>
        </w:tc>
      </w:tr>
    </w:tbl>
    <w:p>
      <w:pPr>
        <w:pStyle w:val="BodyText"/>
      </w:pPr>
      <w:r>
        <w:t xml:space="preserve">*Der Wert für 2008 stammt aus einer jährlichen EIA-WTI-Spotpreisreihe; Batteriekosten sind DOE-Schätzungen in konstanten Dollar und nicht unbedingt in jeder jährlichen Veröffentlichung direkt vergleichbar.</w:t>
      </w:r>
    </w:p>
    <w:bookmarkEnd w:id="10"/>
    <w:bookmarkStart w:id="11" w:name="X158389fdfdd92713cfaa1384afb6616e7a350c8"/>
    <w:p>
      <w:pPr>
        <w:pStyle w:val="Heading1"/>
      </w:pPr>
      <w:r>
        <w:t xml:space="preserve">Die Nachfrage wurde attraktiver – und weniger vorhersehbar</w:t>
      </w:r>
    </w:p>
    <w:p>
      <w:pPr>
        <w:pStyle w:val="FirstParagraph"/>
      </w:pPr>
      <w:r>
        <w:t xml:space="preserve">Die Verbraucherhaltung erschwerte das Bild. AAA berichtete 2024, dass 18 Prozent der US-Erwachsenen wahrscheinlich ein vollelektrisches Fahrzeug kaufen würden, gegenüber 23 Prozent ein Jahr zuvor, während 31 Prozent angaben, wahrscheinlich einen Hybrid zu kaufen. Im Jahr 2025 fiel die angegebene Kaufwahrscheinlichkeit für ein vollelektrisches Fahrzeug erneut auf 16 Prozent. Auroras Händler interpretierten die Zahlen als Beleg dafür, dass Hybride zu einer praktischen Brückentechnologie wurden. Die Vertriebsorganisation warnte jedoch, dass Umfrageinteresse sich nicht notwendigerweise in unterzeichnete Bestellungen bei Auroras Preispunkten übersetze.</w:t>
      </w:r>
    </w:p>
    <w:p>
      <w:pPr>
        <w:pStyle w:val="BodyText"/>
      </w:pPr>
      <w:r>
        <w:t xml:space="preserve">Bundesförderungen sorgten für eine weitere Diskontinuität. Die überarbeitete Steuergutschrift für saubere Fahrzeuge hatte eine Endmontage in Nordamerika sowie, ab 2023, zunehmend restriktivere Tests für kritische Mineralien und Batteriekomponenten-Herkunft vorausgesetzt. Plug-in-Hybride mit mindestens 7 kWh konnten sich qualifizieren, wenn sie die Vorschriften erfüllten, doch Auroras konventioneller Crosswind-Hybrid tat dies nicht. Aurora hatte daher die Entwicklung einer Plug-in-Version beschleunigt. Die Wirtschaftlichkeit dieses Programms änderte sich, als eine Verlautbarung des Bundes erklärte, dass die neue Steuergutschrift für saubere Fahrzeuge für Fahrzeuge, die nach dem 30. September 2025 erworben wurden, nicht mehr verfügbar sei. Händler hatten in einigen Märkten noch staatliche Anreize, doch Verfügbarkeit und Höhe unterschieden sich.</w:t>
      </w:r>
    </w:p>
    <w:bookmarkEnd w:id="11"/>
    <w:bookmarkStart w:id="12" w:name="das-planungsproblem-im-oktober"/>
    <w:p>
      <w:pPr>
        <w:pStyle w:val="Heading1"/>
      </w:pPr>
      <w:r>
        <w:t xml:space="preserve">Das Planungsproblem im Oktober</w:t>
      </w:r>
    </w:p>
    <w:p>
      <w:pPr>
        <w:pStyle w:val="FirstParagraph"/>
      </w:pPr>
      <w:r>
        <w:t xml:space="preserve">Auroras Planungsteam erstellte drei Nachfrageszenarien für die kommenden 16 Wochen. Die Szenarien waren keine Wahrscheinlichkeiten; jedes stellte eine in sich stimmige Geschichte dar, die die Unternehmensleitung als plausibel ansah.</w:t>
      </w:r>
    </w:p>
    <w:tbl>
      <w:tblPr>
        <w:tblStyle w:val="Table"/>
        <w:tblW w:type="pct" w:w="4937"/>
        <w:tblLayout w:type="fixed"/>
        <w:tblLook w:firstRow="1" w:lastRow="0" w:firstColumn="0" w:lastColumn="0" w:noHBand="0" w:noVBand="0" w:val="0020"/>
      </w:tblPr>
      <w:tblGrid>
        <w:gridCol w:w="902"/>
        <w:gridCol w:w="2456"/>
        <w:gridCol w:w="952"/>
        <w:gridCol w:w="852"/>
        <w:gridCol w:w="2656"/>
      </w:tblGrid>
      <w:tr>
        <w:trPr>
          <w:tblHeader w:val="on"/>
        </w:trPr>
        <w:tc>
          <w:tcPr/>
          <w:p>
            <w:pPr>
              <w:pStyle w:val="Compact"/>
              <w:jc w:val="left"/>
            </w:pPr>
            <w:r>
              <w:t xml:space="preserve">Szenario</w:t>
            </w:r>
          </w:p>
        </w:tc>
        <w:tc>
          <w:tcPr/>
          <w:p>
            <w:pPr>
              <w:pStyle w:val="Compact"/>
              <w:jc w:val="center"/>
            </w:pPr>
            <w:r>
              <w:t xml:space="preserve">Auslöser</w:t>
            </w:r>
          </w:p>
        </w:tc>
        <w:tc>
          <w:tcPr/>
          <w:p>
            <w:pPr>
              <w:pStyle w:val="Compact"/>
              <w:jc w:val="right"/>
            </w:pPr>
            <w:r>
              <w:t xml:space="preserve">Crosswind-Nachfra</w:t>
            </w:r>
          </w:p>
        </w:tc>
        <w:tc>
          <w:tcPr/>
          <w:p>
            <w:pPr>
              <w:pStyle w:val="Compact"/>
            </w:pPr>
            <w:r>
              <w:t xml:space="preserve">ge Plug-in-Nach</w:t>
            </w:r>
          </w:p>
        </w:tc>
        <w:tc>
          <w:tcPr/>
          <w:p>
            <w:pPr>
              <w:pStyle w:val="Compact"/>
              <w:jc w:val="left"/>
            </w:pPr>
            <w:r>
              <w:t xml:space="preserve">frage Betriebliche Konsequenz</w:t>
            </w:r>
          </w:p>
        </w:tc>
      </w:tr>
      <w:tr>
        <w:tc>
          <w:tcPr/>
          <w:p>
            <w:pPr>
              <w:pStyle w:val="Compact"/>
              <w:jc w:val="left"/>
            </w:pPr>
            <w:r>
              <w:t xml:space="preserve">Kraftstoffschock</w:t>
            </w:r>
          </w:p>
        </w:tc>
        <w:tc>
          <w:tcPr/>
          <w:p>
            <w:pPr>
              <w:pStyle w:val="Compact"/>
              <w:jc w:val="center"/>
            </w:pPr>
            <w:r>
              <w:t xml:space="preserve">Ölversorgungsstörung; Benzinpreis steigt stark</w:t>
            </w:r>
          </w:p>
        </w:tc>
        <w:tc>
          <w:tcPr/>
          <w:p>
            <w:pPr>
              <w:pStyle w:val="Compact"/>
              <w:jc w:val="right"/>
            </w:pPr>
            <w:r>
              <w:t xml:space="preserve">+22%</w:t>
            </w:r>
          </w:p>
        </w:tc>
        <w:tc>
          <w:tcPr/>
          <w:p>
            <w:pPr>
              <w:pStyle w:val="Compact"/>
            </w:pPr>
            <w:r>
              <w:t xml:space="preserve">+35%</w:t>
            </w:r>
          </w:p>
        </w:tc>
        <w:tc>
          <w:tcPr/>
          <w:p>
            <w:pPr>
              <w:pStyle w:val="Compact"/>
              <w:jc w:val="left"/>
            </w:pPr>
            <w:r>
              <w:t xml:space="preserve">Asiatische Teile beschleunigen; Modelle mit geringerer Marge zurückstellen</w:t>
            </w:r>
          </w:p>
        </w:tc>
      </w:tr>
      <w:tr>
        <w:tc>
          <w:tcPr/>
          <w:p>
            <w:pPr>
              <w:pStyle w:val="Compact"/>
              <w:jc w:val="left"/>
            </w:pPr>
            <w:r>
              <w:t xml:space="preserve">Politik-Nachwehen</w:t>
            </w:r>
          </w:p>
        </w:tc>
        <w:tc>
          <w:tcPr/>
          <w:p>
            <w:pPr>
              <w:pStyle w:val="Compact"/>
              <w:jc w:val="center"/>
            </w:pPr>
            <w:r>
              <w:t xml:space="preserve">Wegfall der Steuergutschrift dämpft die Nachfrag</w:t>
            </w:r>
          </w:p>
        </w:tc>
        <w:tc>
          <w:tcPr/>
          <w:p>
            <w:pPr>
              <w:pStyle w:val="Compact"/>
              <w:jc w:val="right"/>
            </w:pPr>
            <w:r>
              <w:t xml:space="preserve">e nach Elektrofahrz</w:t>
            </w:r>
          </w:p>
        </w:tc>
        <w:tc>
          <w:tcPr/>
          <w:p>
            <w:pPr>
              <w:pStyle w:val="Compact"/>
            </w:pPr>
            <w:r>
              <w:t xml:space="preserve">eugen -8%</w:t>
            </w:r>
          </w:p>
        </w:tc>
        <w:tc>
          <w:tcPr/>
          <w:p>
            <w:pPr>
              <w:pStyle w:val="Compact"/>
              <w:jc w:val="left"/>
            </w:pPr>
            <w:r>
              <w:t xml:space="preserve">-28% Überschüssige Plug-in-Komponenten; Händlerstornierungen</w:t>
            </w:r>
          </w:p>
        </w:tc>
      </w:tr>
      <w:tr>
        <w:tc>
          <w:tcPr/>
          <w:p>
            <w:pPr>
              <w:pStyle w:val="Compact"/>
              <w:jc w:val="left"/>
            </w:pPr>
            <w:r>
              <w:t xml:space="preserve">Hybrid-Wende</w:t>
            </w:r>
          </w:p>
        </w:tc>
        <w:tc>
          <w:tcPr/>
          <w:p>
            <w:pPr>
              <w:pStyle w:val="Compact"/>
              <w:jc w:val="center"/>
            </w:pPr>
            <w:r>
              <w:t xml:space="preserve">Käufer meiden Vollelektro, suchen aber Kraftstof</w:t>
            </w:r>
          </w:p>
        </w:tc>
        <w:tc>
          <w:tcPr/>
          <w:p>
            <w:pPr>
              <w:pStyle w:val="Compact"/>
              <w:jc w:val="right"/>
            </w:pPr>
            <w:r>
              <w:t xml:space="preserve">feffizienz +15</w:t>
            </w:r>
          </w:p>
        </w:tc>
        <w:tc>
          <w:tcPr/>
          <w:p>
            <w:pPr>
              <w:pStyle w:val="Compact"/>
            </w:pPr>
            <w:r>
              <w:t xml:space="preserve">% +</w:t>
            </w:r>
          </w:p>
        </w:tc>
        <w:tc>
          <w:tcPr/>
          <w:p>
            <w:pPr>
              <w:pStyle w:val="Compact"/>
              <w:jc w:val="left"/>
            </w:pPr>
            <w:r>
              <w:t xml:space="preserve">5% Nachfrage nach Motor, Wechselrichter und Batterie steigt gemeinsam</w:t>
            </w:r>
          </w:p>
        </w:tc>
      </w:tr>
    </w:tbl>
    <w:p>
      <w:pPr>
        <w:pStyle w:val="BodyText"/>
      </w:pPr>
      <w:r>
        <w:t xml:space="preserve">Der aktuelle Produktionsplan sah 15.900 Fahrzeuge über den 16-Wochen-Horizont vor. Bestätigte Komponentenverfügbarkeit unterstützte ohne Eingriff nur 13.750 Einheiten. Der Einkauf schlug beschleunigte Bestellungen und Premiumfracht in Höhe von 18,6 Millionen $ vor. Die Fertigung schlug vor, die Produktion um verfügbare Teile neu zu sequenzieren, dabei eine geringere Wochenproduktion in Kauf zu nehmen, aber Notfalllogistik zu vermeiden. Der Vertrieb wollte, dass Aurora Händlerbestellungen in Regionen mit hohen Benzinpreisen priorisiert und sofort Liefertermine zusagt. Die Finanzabteilung argumentierte, dass Aurora keine knappen Komponenten binden sollte, bis sie die Stornierungen infolge der Steuergutschriftsänderung besser verstünde.</w:t>
      </w:r>
    </w:p>
    <w:tbl>
      <w:tblPr>
        <w:tblStyle w:val="Table"/>
        <w:tblW w:type="pct" w:w="4943"/>
        <w:tblLayout w:type="fixed"/>
        <w:tblLook w:firstRow="1" w:lastRow="0" w:firstColumn="0" w:lastColumn="0" w:noHBand="0" w:noVBand="0" w:val="0020"/>
      </w:tblPr>
      <w:tblGrid>
        <w:gridCol w:w="1855"/>
        <w:gridCol w:w="2036"/>
        <w:gridCol w:w="1855"/>
        <w:gridCol w:w="2081"/>
      </w:tblGrid>
      <w:tr>
        <w:trPr>
          <w:tblHeader w:val="on"/>
        </w:trPr>
        <w:tc>
          <w:tcPr/>
          <w:p>
            <w:pPr>
              <w:pStyle w:val="Compact"/>
              <w:jc w:val="left"/>
            </w:pPr>
            <w:r>
              <w:t xml:space="preserve">Vorgeschlagene Reaktion</w:t>
            </w:r>
          </w:p>
        </w:tc>
        <w:tc>
          <w:tcPr/>
          <w:p>
            <w:pPr>
              <w:pStyle w:val="Compact"/>
              <w:jc w:val="center"/>
            </w:pPr>
            <w:r>
              <w:t xml:space="preserve">Unmittelbare Kosten/Bargeldbindung</w:t>
            </w:r>
          </w:p>
        </w:tc>
        <w:tc>
          <w:tcPr/>
          <w:p>
            <w:pPr>
              <w:pStyle w:val="Compact"/>
              <w:jc w:val="center"/>
            </w:pPr>
            <w:r>
              <w:t xml:space="preserve">Potenzieller Vorteil</w:t>
            </w:r>
          </w:p>
        </w:tc>
        <w:tc>
          <w:tcPr/>
          <w:p>
            <w:pPr>
              <w:pStyle w:val="Compact"/>
              <w:jc w:val="center"/>
            </w:pPr>
            <w:r>
              <w:t xml:space="preserve">Hauptanliegen</w:t>
            </w:r>
          </w:p>
        </w:tc>
      </w:tr>
      <w:tr>
        <w:tc>
          <w:tcPr/>
          <w:p>
            <w:pPr>
              <w:pStyle w:val="Compact"/>
              <w:jc w:val="left"/>
            </w:pPr>
            <w:r>
              <w:t xml:space="preserve">Importierte Komponenten kaufen und beschl</w:t>
            </w:r>
          </w:p>
        </w:tc>
        <w:tc>
          <w:tcPr/>
          <w:p>
            <w:pPr>
              <w:pStyle w:val="Compact"/>
              <w:jc w:val="center"/>
            </w:pPr>
            <w:r>
              <w:t xml:space="preserve">eunigen 18,6-Mio.-$-Verpflichtung; 3,4-M</w:t>
            </w:r>
          </w:p>
        </w:tc>
        <w:tc>
          <w:tcPr/>
          <w:p>
            <w:pPr>
              <w:pStyle w:val="Compact"/>
              <w:jc w:val="center"/>
            </w:pPr>
            <w:r>
              <w:t xml:space="preserve">io.-$-Premiumfracht Schützt Produktion</w:t>
            </w:r>
          </w:p>
        </w:tc>
        <w:tc>
          <w:tcPr/>
          <w:p>
            <w:pPr>
              <w:pStyle w:val="Compact"/>
              <w:jc w:val="center"/>
            </w:pPr>
            <w:r>
              <w:t xml:space="preserve">und Händlerservice Zölle oder Nachfrage könnten sich vor Ankunft ändern</w:t>
            </w:r>
          </w:p>
        </w:tc>
      </w:tr>
      <w:tr>
        <w:tc>
          <w:tcPr/>
          <w:p>
            <w:pPr>
              <w:pStyle w:val="Compact"/>
              <w:jc w:val="left"/>
            </w:pPr>
            <w:r>
              <w:t xml:space="preserve">Unvollständige Fahrzeuge bauen</w:t>
            </w:r>
          </w:p>
        </w:tc>
        <w:tc>
          <w:tcPr/>
          <w:p>
            <w:pPr>
              <w:pStyle w:val="Compact"/>
              <w:jc w:val="center"/>
            </w:pPr>
            <w:r>
              <w:t xml:space="preserve">6,2 Mio. $ temporäres Umlaufvermögen</w:t>
            </w:r>
          </w:p>
        </w:tc>
        <w:tc>
          <w:tcPr/>
          <w:p>
            <w:pPr>
              <w:pStyle w:val="Compact"/>
              <w:jc w:val="center"/>
            </w:pPr>
            <w:r>
              <w:t xml:space="preserve">Hält Arbeitskräfte und Karosseriewerkst</w:t>
            </w:r>
          </w:p>
        </w:tc>
        <w:tc>
          <w:tcPr/>
          <w:p>
            <w:pPr>
              <w:pStyle w:val="Compact"/>
              <w:jc w:val="center"/>
            </w:pPr>
            <w:r>
              <w:t xml:space="preserve">att ausgelastet Nacharbeit, Lagerung und Qualitätsrisiko</w:t>
            </w:r>
          </w:p>
        </w:tc>
      </w:tr>
      <w:tr>
        <w:tc>
          <w:tcPr/>
          <w:p>
            <w:pPr>
              <w:pStyle w:val="Compact"/>
              <w:jc w:val="left"/>
            </w:pPr>
            <w:r>
              <w:t xml:space="preserve">Komponenten nach Marge/Region umverteilen</w:t>
            </w:r>
          </w:p>
        </w:tc>
        <w:tc>
          <w:tcPr/>
          <w:p>
            <w:pPr>
              <w:pStyle w:val="Compact"/>
              <w:jc w:val="center"/>
            </w:pPr>
            <w:r>
              <w:t xml:space="preserve">Geringe Direktkosten</w:t>
            </w:r>
          </w:p>
        </w:tc>
        <w:tc>
          <w:tcPr/>
          <w:p>
            <w:pPr>
              <w:pStyle w:val="Compact"/>
              <w:jc w:val="center"/>
            </w:pPr>
            <w:r>
              <w:t xml:space="preserve">Passt knappes Angebot an aktuellen We</w:t>
            </w:r>
          </w:p>
        </w:tc>
        <w:tc>
          <w:tcPr/>
          <w:p>
            <w:pPr>
              <w:pStyle w:val="Compact"/>
              <w:jc w:val="center"/>
            </w:pPr>
            <w:r>
              <w:t xml:space="preserve">rt an Fairness gegenüber Händlern und Prognosefehler</w:t>
            </w:r>
          </w:p>
        </w:tc>
      </w:tr>
      <w:tr>
        <w:tc>
          <w:tcPr/>
          <w:p>
            <w:pPr>
              <w:pStyle w:val="Compact"/>
              <w:jc w:val="left"/>
            </w:pPr>
            <w:r>
              <w:t xml:space="preserve">Produktionsplan reduzieren</w:t>
            </w:r>
          </w:p>
        </w:tc>
        <w:tc>
          <w:tcPr/>
          <w:p>
            <w:pPr>
              <w:pStyle w:val="Compact"/>
              <w:jc w:val="center"/>
            </w:pPr>
            <w:r>
              <w:t xml:space="preserve">Entgangener Deckungsbeitrag</w:t>
            </w:r>
          </w:p>
        </w:tc>
        <w:tc>
          <w:tcPr/>
          <w:p>
            <w:pPr>
              <w:pStyle w:val="Compact"/>
              <w:jc w:val="center"/>
            </w:pPr>
            <w:r>
              <w:t xml:space="preserve">Begrenzt Bestand und Zollrisiko</w:t>
            </w:r>
          </w:p>
        </w:tc>
        <w:tc>
          <w:tcPr/>
          <w:p>
            <w:pPr>
              <w:pStyle w:val="Compact"/>
              <w:jc w:val="center"/>
            </w:pPr>
            <w:r>
              <w:t xml:space="preserve">Lange Kundenwartezeiten; Lieferantenstörung</w:t>
            </w:r>
          </w:p>
        </w:tc>
      </w:tr>
      <w:tr>
        <w:tc>
          <w:tcPr/>
          <w:p>
            <w:pPr>
              <w:pStyle w:val="Compact"/>
              <w:jc w:val="left"/>
            </w:pPr>
            <w:r>
              <w:t xml:space="preserve">Doppelbeschaffung und Neugestaltung</w:t>
            </w:r>
          </w:p>
        </w:tc>
        <w:tc>
          <w:tcPr/>
          <w:p>
            <w:pPr>
              <w:pStyle w:val="Compact"/>
              <w:jc w:val="center"/>
            </w:pPr>
            <w:r>
              <w:t xml:space="preserve">Bis zu 42 Mio. $ über 18 Monate</w:t>
            </w:r>
          </w:p>
        </w:tc>
        <w:tc>
          <w:tcPr/>
          <w:p>
            <w:pPr>
              <w:pStyle w:val="Compact"/>
              <w:jc w:val="center"/>
            </w:pPr>
            <w:r>
              <w:t xml:space="preserve">Langfristige Widerstandsfähigkeit und</w:t>
            </w:r>
          </w:p>
        </w:tc>
        <w:tc>
          <w:tcPr/>
          <w:p>
            <w:pPr>
              <w:pStyle w:val="Compact"/>
              <w:jc w:val="center"/>
            </w:pPr>
            <w:r>
              <w:t xml:space="preserve">lokaler Anteil Zu langsam für den aktuellen Auftragsbestand</w:t>
            </w:r>
          </w:p>
        </w:tc>
      </w:tr>
    </w:tbl>
    <w:bookmarkEnd w:id="12"/>
    <w:bookmarkStart w:id="13" w:name="Xd720e58f0d98f24b8c04bc70b043da3950b9701"/>
    <w:p>
      <w:pPr>
        <w:pStyle w:val="Heading1"/>
      </w:pPr>
      <w:r>
        <w:t xml:space="preserve">Ein Koordinationsproblem, keine vier getrennten Prognosen</w:t>
      </w:r>
    </w:p>
    <w:p>
      <w:pPr>
        <w:pStyle w:val="FirstParagraph"/>
      </w:pPr>
      <w:r>
        <w:t xml:space="preserve">Chen glaubte, dass Auroras Abteilungen unterschiedliche Versionen des Problems optimierten. Der Einkauf maß Teileverfügbarkeit und Einkaufspreisabweichung. Die Fertigung maß Linienauslastung und fertiggestellte Fahrzeuge. Die Logistik maß Premiumfracht und Lieferleistung. Der Vertrieb maß Bestellungen und Erfüllungsquoten der Händler. Die Finanzabteilung maß Bargeld, Margen und Bestand. Niemand besaß die kombinierte Entscheidung von der Komponentenverpflichtung bis zur Kundenlieferung.</w:t>
      </w:r>
    </w:p>
    <w:p>
      <w:pPr>
        <w:pStyle w:val="BodyText"/>
      </w:pPr>
      <w:r>
        <w:t xml:space="preserve">Mehrere Führungskräfte schlugen ein wöchentliches</w:t>
      </w:r>
      <w:r>
        <w:t xml:space="preserve"> </w:t>
      </w:r>
      <w:r>
        <w:t xml:space="preserve">“Kontrollturm”</w:t>
      </w:r>
      <w:r>
        <w:t xml:space="preserve">-Meeting vor. Andere argumentierten, dass ein Meeting das zugrunde liegende Problem nicht lösen würde: Aurora benötigte ein Entscheidungsmodell, das eingehende Lieferzeiten, Zölle, Produktionsbeschränkungen, ungewisse Stornierungen, regionale Nachfrage und ausgehende Kapazität gemeinsam abbildete. Die für ein solches Modell benötigten Informationen waren unvollständig. Lieferantenlieferzeiten wurden als Einzelzahlen angegeben, selbst wenn ihre Verteilungen stark schief waren. Händlerbestellungen konnten ohne Strafe storniert werden. Zollklassifizierungen wurden manchmal nach der Einfuhr angefochten. Prognosen zu den Benzinpreisen lieferten keine verlässliche Frühwarnung vor geopolitischen Schocks.</w:t>
      </w:r>
    </w:p>
    <w:bookmarkEnd w:id="13"/>
    <w:bookmarkStart w:id="14" w:name="das-meeting"/>
    <w:p>
      <w:pPr>
        <w:pStyle w:val="Heading1"/>
      </w:pPr>
      <w:r>
        <w:t xml:space="preserve">Das Meeting</w:t>
      </w:r>
    </w:p>
    <w:p>
      <w:pPr>
        <w:pStyle w:val="FirstParagraph"/>
      </w:pPr>
      <w:r>
        <w:t xml:space="preserve">Um 16:00 Uhr schrieb Chen fünf Zahlen an die Tafel: 3.800 Kundenaufträge; 2,6 Wochen an Steuermodulen; 18,6 Millionen $ an vorgeschlagenen Verpflichtungen; 16 Wochen ungewisser Nachfrage; und ein Lieferversprechen von acht Wochen. Der Vorstandsvorsitzende wollte bis Freitag eine Empfehlung. Er bat nicht um eine Prognose. Er fragte, was Aurora jetzt tun solle, welche Informationen sie als Nächstes einholen solle und welche Verpflichtungen reversibel bleiben sollten.</w:t>
      </w:r>
    </w:p>
    <w:p>
      <w:pPr>
        <w:pStyle w:val="BodyText"/>
      </w:pPr>
      <w:r>
        <w:t xml:space="preserve">Chen sah keine klare Trennung zwischen Angebot und Nachfrage. Die Bestellung zusätzlicher Batteriezellen könnte Lieferungen bei einem Benzinpreisschock schützen, aber auch gebundenes Lagerkapital schaffen, falls Zölle steigen oder die Plug-in-Nachfrage nachlässt. Eine Kürzung der Produktion könnte Bargeld schonen, aber möglicherweise den Markt genau dann preisgeben, wenn Käufer zu Hybriden wechseln. Die Zuteilung knapper Fahrzeuge an die Regionen mit der höchsten Marge könnte den kurzfristigen Gewinn verbessern, während sie andernorts die Händlerbeziehungen beschädigt. Eine Neugestaltung der Lieferkette könnte künftiges Risiko verringern, würde aber die bereits im System befindlichen Aufträge nicht erfüllen.</w:t>
      </w:r>
    </w:p>
    <w:p>
      <w:pPr>
        <w:pStyle w:val="BodyText"/>
      </w:pPr>
      <w:r>
        <w:t xml:space="preserve">Das Führungsteam müsste eine Betriebshaltung wählen, bevor es wusste, mit welcher Version des Marktes es konfrontiert war.</w:t>
      </w:r>
    </w:p>
    <w:bookmarkEnd w:id="14"/>
    <w:bookmarkStart w:id="15" w:name="diskussionsfragen"/>
    <w:p>
      <w:pPr>
        <w:pStyle w:val="Heading1"/>
      </w:pPr>
      <w:r>
        <w:t xml:space="preserve">Diskussionsfragen</w:t>
      </w:r>
    </w:p>
    <w:p>
      <w:pPr>
        <w:numPr>
          <w:ilvl w:val="0"/>
          <w:numId w:val="1001"/>
        </w:numPr>
      </w:pPr>
      <w:r>
        <w:t xml:space="preserve">Was sind die wichtigsten Leistungskennzahlen in diesem Fall? Welche Kennzahlen stehen im Widerspruch zueinander?</w:t>
      </w:r>
    </w:p>
    <w:p>
      <w:pPr>
        <w:numPr>
          <w:ilvl w:val="0"/>
          <w:numId w:val="1001"/>
        </w:numPr>
      </w:pPr>
      <w:r>
        <w:t xml:space="preserve">Welche Entscheidungen muss Aurora jetzt treffen, und welche Entscheidungen können verzögert werden, bis mehr Informationen vorliegen?</w:t>
      </w:r>
    </w:p>
    <w:p>
      <w:pPr>
        <w:numPr>
          <w:ilvl w:val="0"/>
          <w:numId w:val="1001"/>
        </w:numPr>
      </w:pPr>
      <w:r>
        <w:t xml:space="preserve">Wie sollte Aurora eingehenden Einkauf, Produktionssequenzierung, Bestandspositionierung, Händlerzuteilung und Kundenlieferzusagen miteinander verbinden?</w:t>
      </w:r>
    </w:p>
    <w:p>
      <w:pPr>
        <w:numPr>
          <w:ilvl w:val="0"/>
          <w:numId w:val="1001"/>
        </w:numPr>
      </w:pPr>
      <w:r>
        <w:t xml:space="preserve">Welche Unsicherheiten sind exogen, und welche kann Aurora durch Verträge, Produktdesign, Informationsbeschaffung oder Kundenrichtlinien beeinflussen?</w:t>
      </w:r>
    </w:p>
    <w:p>
      <w:pPr>
        <w:numPr>
          <w:ilvl w:val="0"/>
          <w:numId w:val="1001"/>
        </w:numPr>
      </w:pPr>
      <w:r>
        <w:t xml:space="preserve">Welche Daten wären vor Freitag am wertvollsten? Welche Informationen wären nützlich, kämen aber zu spät?</w:t>
      </w:r>
    </w:p>
    <w:p>
      <w:pPr>
        <w:numPr>
          <w:ilvl w:val="0"/>
          <w:numId w:val="1001"/>
        </w:numPr>
      </w:pPr>
      <w:r>
        <w:t xml:space="preserve">Wie sollte Aurora die fünf vorgeschlagenen Reaktionen bewerten, wenn keine über alle Szenarien hinweg dominiert?</w:t>
      </w:r>
    </w:p>
    <w:p>
      <w:pPr>
        <w:numPr>
          <w:ilvl w:val="0"/>
          <w:numId w:val="1001"/>
        </w:numPr>
      </w:pPr>
      <w:r>
        <w:t xml:space="preserve">Welche organisatorischen Veränderungen könnten erforderlich sein, selbst wenn Aurora ein ausgefeiltes Planungsmodell entwickelt?</w:t>
      </w:r>
    </w:p>
    <w:bookmarkEnd w:id="15"/>
    <w:bookmarkStart w:id="21" w:name="fragen-zur-entscheidungsrahmung"/>
    <w:p>
      <w:pPr>
        <w:pStyle w:val="Heading1"/>
      </w:pPr>
      <w:r>
        <w:t xml:space="preserve">Fragen zur Entscheidungsrahmung</w:t>
      </w:r>
    </w:p>
    <w:p>
      <w:pPr>
        <w:numPr>
          <w:ilvl w:val="0"/>
          <w:numId w:val="1002"/>
        </w:numPr>
      </w:pPr>
      <w:r>
        <w:t xml:space="preserve">Identifizieren und beschreiben Sie die Zuständigkeiten des Entscheidungsträgers. Dies sollte den Umfang des Problems festlegen.</w:t>
      </w:r>
    </w:p>
    <w:p>
      <w:pPr>
        <w:numPr>
          <w:ilvl w:val="0"/>
          <w:numId w:val="1002"/>
        </w:numPr>
      </w:pPr>
      <w:r>
        <w:t xml:space="preserve">Verwenden Sie das</w:t>
      </w:r>
      <w:r>
        <w:t xml:space="preserve"> </w:t>
      </w:r>
      <w:hyperlink r:id="rId16">
        <w:r>
          <w:rPr>
            <w:rStyle w:val="Hyperlink"/>
          </w:rPr>
          <w:t xml:space="preserve">Kennzahlenpyramiden-Werkzeug</w:t>
        </w:r>
      </w:hyperlink>
      <w:r>
        <w:t xml:space="preserve">, um die verschiedenen Leistungskennzahlen zu identifizieren und zu priorisieren. Klicken Sie auf das Oval, das die Kennzahl enthält, um festzulegen, ob es sich um eine zu maximierende Kennzahl (grün), eine zu minimierende Kennzahl (rot), einen Zielwert handelt, der eine Untergrenze (hellgrün) oder eine Obergrenze (hellrot) darstellt, oder schließlich um einen Zielwert (violett).</w:t>
      </w:r>
    </w:p>
    <w:p>
      <w:pPr>
        <w:numPr>
          <w:ilvl w:val="0"/>
          <w:numId w:val="1002"/>
        </w:numPr>
      </w:pPr>
      <w:r>
        <w:t xml:space="preserve">Verwenden Sie das</w:t>
      </w:r>
      <w:r>
        <w:t xml:space="preserve"> </w:t>
      </w:r>
      <w:hyperlink r:id="rId17">
        <w:r>
          <w:rPr>
            <w:rStyle w:val="Hyperlink"/>
          </w:rPr>
          <w:t xml:space="preserve">Entscheidungspriorisierungs-Werkzeug</w:t>
        </w:r>
      </w:hyperlink>
      <w:r>
        <w:t xml:space="preserve">, um zunächst die verschiedenen Arten von Entscheidungen aufzulisten (verwenden Sie die</w:t>
      </w:r>
      <w:r>
        <w:t xml:space="preserve"> </w:t>
      </w:r>
      <w:hyperlink r:id="rId18">
        <w:r>
          <w:rPr>
            <w:rStyle w:val="Hyperlink"/>
          </w:rPr>
          <w:t xml:space="preserve">Entscheidungstypen</w:t>
        </w:r>
      </w:hyperlink>
      <w:r>
        <w:t xml:space="preserve"> </w:t>
      </w:r>
      <w:r>
        <w:t xml:space="preserve">als Orientierung). Diese füllen dann die Zeilen der Matrix rechts, wobei die Spalten die Leistungskennzahlen sind, sortiert von links nach rechts entsprechend der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ergreifen, um sie nach oben oder unten zu verschieben. Sortieren Sie die Zeilen so, dass die Entscheidungen mit dem größten Einfluss auf die wichtigsten Kennzahlen weiter oben stehen. Die Zellen in der oberen linken Ecke sollten die höchste Konzentration an roten und orangen Zellen aufweisen. Identifizieren Sie an diesem Punkt die Entscheidungen, die in Ihrer Studie die größte Aufmerksamkeit erhalten sollten. Wenn Sie keine Entscheidungen mit mittlerem oder hohem Einfluss auf die wichtigsten Kennzahlen haben, überarbeiten Sie Ihre Liste der Entscheidungen.</w:t>
      </w:r>
    </w:p>
    <w:p>
      <w:pPr>
        <w:numPr>
          <w:ilvl w:val="0"/>
          <w:numId w:val="1002"/>
        </w:numPr>
      </w:pPr>
      <w:r>
        <w:t xml:space="preserve">Wiederholen Sie den Prozess, um die Unsicherheiten mit dem</w:t>
      </w:r>
      <w:r>
        <w:t xml:space="preserve"> </w:t>
      </w:r>
      <w:hyperlink r:id="rId19">
        <w:r>
          <w:rPr>
            <w:rStyle w:val="Hyperlink"/>
          </w:rPr>
          <w:t xml:space="preserve">Unsicherheitspriorisierungs-Werkzeug</w:t>
        </w:r>
      </w:hyperlink>
      <w:r>
        <w:t xml:space="preserve"> </w:t>
      </w:r>
      <w:r>
        <w:t xml:space="preserve">aufzulisten und zu priorisieren. Verwenden Sie die</w:t>
      </w:r>
      <w:r>
        <w:t xml:space="preserve"> </w:t>
      </w:r>
      <w:hyperlink r:id="rId20">
        <w:r>
          <w:rPr>
            <w:rStyle w:val="Hyperlink"/>
          </w:rPr>
          <w:t xml:space="preserve">Kategorien der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über die Zeit erfasst werden?</w:t>
      </w:r>
    </w:p>
    <w:p>
      <w:pPr>
        <w:numPr>
          <w:ilvl w:val="1"/>
          <w:numId w:val="1003"/>
        </w:numPr>
      </w:pPr>
      <w:r>
        <w:t xml:space="preserve">Welche Unsicherheitsquellen stellen Risikoformen dar, die durch Durchschnittswerte nicht angemessen erfasst werden?</w:t>
      </w:r>
    </w:p>
    <w:p>
      <w:pPr>
        <w:numPr>
          <w:ilvl w:val="0"/>
          <w:numId w:val="1002"/>
        </w:numPr>
      </w:pPr>
      <w:r>
        <w:t xml:space="preserve">Wählen Sie die einzelne Entscheidung, die den größten Einfluss auf die wichtigste Kennzahl zu haben scheint.</w:t>
      </w:r>
    </w:p>
    <w:p>
      <w:pPr>
        <w:numPr>
          <w:ilvl w:val="1"/>
          <w:numId w:val="1004"/>
        </w:numPr>
      </w:pPr>
      <w:r>
        <w:t xml:space="preserve">Welchen Ansatz würden Sie vermutlich verwenden, um diese Entscheidung zu treffen?</w:t>
      </w:r>
    </w:p>
    <w:p>
      <w:pPr>
        <w:numPr>
          <w:ilvl w:val="1"/>
          <w:numId w:val="1004"/>
        </w:numPr>
      </w:pPr>
      <w:r>
        <w:t xml:space="preserve">Welche Daten scheinen notwendig zu sein, um diese Entscheidung zu treffen, einschließlich der Berechnung aller Leistungskennzahlen, auf die die Entscheidung einen hohen oder mittleren Einfluss hätte.</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21"/>
    <w:bookmarkStart w:id="22" w:name="Xf821cabc23fa876b41238dc93cdff075ec1ea34"/>
    <w:p>
      <w:pPr>
        <w:pStyle w:val="Heading1"/>
      </w:pPr>
      <w:r>
        <w:t xml:space="preserve">Quellenhinweise für den historischen Kontext</w:t>
      </w:r>
    </w:p>
    <w:p>
      <w:pPr>
        <w:pStyle w:val="FirstParagraph"/>
      </w:pPr>
      <w:r>
        <w:t xml:space="preserve">U.S. Energy Information Administration,</w:t>
      </w:r>
      <w:r>
        <w:t xml:space="preserve"> </w:t>
      </w:r>
      <w:r>
        <w:t xml:space="preserve">“Cushing, OK WTI Spot Price FOB,”</w:t>
      </w:r>
      <w:r>
        <w:t xml:space="preserve"> </w:t>
      </w:r>
      <w:r>
        <w:t xml:space="preserve">annual series (accessed July 2026).</w:t>
      </w:r>
    </w:p>
    <w:p>
      <w:pPr>
        <w:pStyle w:val="BodyText"/>
      </w:pPr>
      <w:r>
        <w:t xml:space="preserve">U.S. Department of Energy, Vehicle Technologies Office,</w:t>
      </w:r>
      <w:r>
        <w:t xml:space="preserve"> </w:t>
      </w:r>
      <w:r>
        <w:t xml:space="preserve">“Electric Vehicle Battery Pack Costs for a Light-Duty Vehicle in 2023 Are 90% Lower than in 2008,”</w:t>
      </w:r>
      <w:r>
        <w:t xml:space="preserve"> </w:t>
      </w:r>
      <w:r>
        <w:t xml:space="preserve">August 5, 2024.</w:t>
      </w:r>
    </w:p>
    <w:p>
      <w:pPr>
        <w:pStyle w:val="BodyText"/>
      </w:pPr>
      <w:r>
        <w:t xml:space="preserve">Office of the U.S. Trade Representative, Section 301 tariff modifications, May and September 2024.</w:t>
      </w:r>
    </w:p>
    <w:p>
      <w:pPr>
        <w:pStyle w:val="BodyText"/>
      </w:pPr>
      <w:r>
        <w:t xml:space="preserve">White House, Proclamation 10908 and amendments concerning automobile and automobile-parts imports, March-April 2025; U.S.-EU trade framework statements, July-August 2025.</w:t>
      </w:r>
    </w:p>
    <w:p>
      <w:pPr>
        <w:pStyle w:val="BodyText"/>
      </w:pPr>
      <w:r>
        <w:t xml:space="preserve">Internal Revenue Service,</w:t>
      </w:r>
      <w:r>
        <w:t xml:space="preserve"> </w:t>
      </w:r>
      <w:r>
        <w:t xml:space="preserve">“Credits for New Clean Vehicles Purchased in 2023 or After”</w:t>
      </w:r>
      <w:r>
        <w:t xml:space="preserve"> </w:t>
      </w:r>
      <w:r>
        <w:t xml:space="preserve">and 2025 Form 8936 instructions.</w:t>
      </w:r>
    </w:p>
    <w:p>
      <w:pPr>
        <w:pStyle w:val="BodyText"/>
      </w:pPr>
      <w:r>
        <w:t xml:space="preserve">AAA, annual electric-vehicle consumer surveys, 2024 and 2025.</w:t>
      </w:r>
    </w:p>
    <w:p>
      <w:pPr>
        <w:pStyle w:val="BodyText"/>
      </w:pPr>
      <w:r>
        <w:rPr>
          <w:b/>
          <w:bCs/>
        </w:rPr>
        <w:t xml:space="preserve">Fallhinweis:</w:t>
      </w:r>
      <w:r>
        <w:t xml:space="preserve"> </w:t>
      </w:r>
      <w:r>
        <w:t xml:space="preserve">Aurora Motors, seine Mitarbeiter, Produkte, Lieferanten, Händler, Bestellungen, Kosten, Prognosen und Betriebsdaten sind fiktiv. Historische Zahlen sind ausschließlich enthalten, um ein realistisches Entscheidungsumfeld zu schaffen. Der Fall schreibt bewusst keine Lösung vor.</w:t>
      </w:r>
    </w:p>
    <w:bookmarkEnd w:id="22"/>
    <w:bookmarkStart w:id="25" w:name="chatgpt-hinweise"/>
    <w:p>
      <w:pPr>
        <w:pStyle w:val="Heading1"/>
      </w:pPr>
      <w:r>
        <w:t xml:space="preserve">ChatGPT-Hinweise</w:t>
      </w:r>
    </w:p>
    <w:bookmarkStart w:id="23" w:name="prompt"/>
    <w:p>
      <w:pPr>
        <w:pStyle w:val="Heading2"/>
      </w:pPr>
      <w:r>
        <w:t xml:space="preserve">Prompt</w:t>
      </w:r>
    </w:p>
    <w:p>
      <w:pPr>
        <w:pStyle w:val="FirstParagraph"/>
      </w:pPr>
      <w:r>
        <w:t xml:space="preserve">generate a case study around the theme of a manufacturing company that is trying to coordinate inbound flows to the manufacturing process with customer deliveries. The product is hybrid electric vehicles that are subject to tariffs on parts from Asia and Europe, as well as changes in policies on tax discounts that are sometimes available from the federal government, but which may be withdrawn. Another factor is changing gasoline prices which are also subject to international problems, such as sporadic shortages as a result of wars with producing nations. Try to include some historical data on oil prices, the cost of batteries, and tariffs as well as shifting customer attitudes.</w:t>
      </w:r>
    </w:p>
    <w:bookmarkEnd w:id="23"/>
    <w:bookmarkStart w:id="24" w:name="zusammenfassung"/>
    <w:p>
      <w:pPr>
        <w:pStyle w:val="Heading2"/>
      </w:pPr>
      <w:r>
        <w:t xml:space="preserve">Zusammenfassung</w:t>
      </w:r>
    </w:p>
    <w:p>
      <w:pPr>
        <w:pStyle w:val="FirstParagraph"/>
      </w:pPr>
      <w:r>
        <w:t xml:space="preserve">Der Fall untersucht, wie ein fiktiver Hybridfahrzeug-Hersteller importierte Komponenten, Produktionssequenzierung, Bestand, Händlerzuteilung und Kundenlieferzusagen koordinieren sollte angesichts von:</w:t>
      </w:r>
    </w:p>
    <w:p>
      <w:pPr>
        <w:numPr>
          <w:ilvl w:val="0"/>
          <w:numId w:val="1005"/>
        </w:numPr>
      </w:pPr>
      <w:r>
        <w:t xml:space="preserve">Zöllen auf asiatische Batterien und elektronische Komponenten sowie europäische Autoteile</w:t>
      </w:r>
    </w:p>
    <w:p>
      <w:pPr>
        <w:numPr>
          <w:ilvl w:val="0"/>
          <w:numId w:val="1005"/>
        </w:numPr>
      </w:pPr>
      <w:r>
        <w:t xml:space="preserve">Sich ändernden staatlichen Steueranreizen für saubere Fahrzeuge</w:t>
      </w:r>
    </w:p>
    <w:p>
      <w:pPr>
        <w:numPr>
          <w:ilvl w:val="0"/>
          <w:numId w:val="1005"/>
        </w:numPr>
      </w:pPr>
      <w:r>
        <w:t xml:space="preserve">Volatilität der Öl- und Benzinpreise, verursacht durch geopolitische Störungen</w:t>
      </w:r>
    </w:p>
    <w:p>
      <w:pPr>
        <w:numPr>
          <w:ilvl w:val="0"/>
          <w:numId w:val="1005"/>
        </w:numPr>
      </w:pPr>
      <w:r>
        <w:t xml:space="preserve">Sinkenden Batteriekosten</w:t>
      </w:r>
    </w:p>
    <w:p>
      <w:pPr>
        <w:numPr>
          <w:ilvl w:val="0"/>
          <w:numId w:val="1005"/>
        </w:numPr>
      </w:pPr>
      <w:r>
        <w:t xml:space="preserve">Sich verschiebendem Verbraucherinteresse zwischen Benzin-, Hybrid-, Plug-in-Hybrid- und vollelektrischen Fahrzeugen</w:t>
      </w:r>
    </w:p>
    <w:p>
      <w:pPr>
        <w:numPr>
          <w:ilvl w:val="0"/>
          <w:numId w:val="1005"/>
        </w:numPr>
      </w:pPr>
      <w:r>
        <w:t xml:space="preserve">Langen eingehenden Lieferzeiten und ungewissen Kundenstornierungen</w:t>
      </w:r>
    </w:p>
    <w:p>
      <w:pPr>
        <w:pStyle w:val="FirstParagraph"/>
      </w:pPr>
      <w:r>
        <w:t xml:space="preserve">Er enthält historische Daten zu Ölpreisen und Batteriekosten, zur Geschichte von Zöllen und Anreizen, alternative Nachfrageszenarien, betriebliche Reaktionsoptionen, quantitative Anhänge und Diskussionsfragen. Es wird keine bevorzugte Lösung genannt. Der historische Kontext basiert auf Quellen der EIA, des Department of Energy, des USTR, des IRS, des Weißen Hauses und der AAA.</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2026-09-11T16:01:50Z</dcterms:created>
  <dcterms:modified xsi:type="dcterms:W3CDTF">2026-09-11T16:01:50Z</dcterms:modified>
</cp:coreProperties>
</file>

<file path=docProps/custom.xml><?xml version="1.0" encoding="utf-8"?>
<Properties xmlns="http://schemas.openxmlformats.org/officeDocument/2006/custom-properties" xmlns:vt="http://schemas.openxmlformats.org/officeDocument/2006/docPropsVTypes"/>
</file>