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Bellwether Gesundheitsbehörde</w:t>
      </w:r>
    </w:p>
    <w:p>
      <w:pPr>
        <w:pStyle w:val="BodyText"/>
      </w:pPr>
      <w:r>
        <w:rPr>
          <w:b/>
          <w:bCs/>
        </w:rPr>
        <w:t xml:space="preserve">Die Entscheidung über 36.000 Kits</w:t>
      </w:r>
    </w:p>
    <w:p>
      <w:pPr>
        <w:pStyle w:val="BodyText"/>
      </w:pPr>
      <w:r>
        <w:rPr>
          <w:i/>
          <w:iCs/>
        </w:rPr>
        <w:t xml:space="preserve">Ein Fallbeispiel aus dem Bereich öffentliche Gesundheit über die Platzierung eines begrenzten Vorrats an Überdosis-Gegenmitteln dort, wo er am wahrscheinlichsten verfügbar ist, erkannt und verwendet wird</w:t>
      </w:r>
    </w:p>
    <w:tbl>
      <w:tblPr>
        <w:tblStyle w:val="Table"/>
        <w:tblW w:type="auto" w:w="0"/>
        <w:tblLook w:firstRow="0" w:lastRow="0" w:firstColumn="0" w:lastColumn="0" w:noHBand="0" w:noVBand="0" w:val="0000"/>
      </w:tblPr>
      <w:tblGrid>
        <w:gridCol w:w="7920"/>
      </w:tblGrid>
      <w:tr>
        <w:tc>
          <w:tcPr/>
          <w:p>
            <w:pPr>
              <w:pStyle w:val="Compact"/>
            </w:pPr>
            <w:r>
              <w:t xml:space="preserve">Im September 2026 erhält Bellwethers Büro für Überdosis-Prävention weniger Naloxon-Kits als von seinen Partnern angefordert. Die Zahl der Überdosis-Todesfälle sinkt landesweit, aber mehrere ländliche Bezirke und zwei städtische Viertel verschlechtern sich. Die Behörde muss die Lieferung zuteilen, entscheiden, wer geschult werden soll, und festlegen, ob Kits für aufkommende Brennpunkte reserviert werden sollen, die in offiziellen Daten möglicherweise noch nicht erscheinen.</w:t>
            </w:r>
          </w:p>
        </w:tc>
      </w:tr>
    </w:tbl>
    <w:p>
      <w:r>
        <w:pict>
          <v:rect style="width:0;height:1.5pt" o:hralign="center" o:hrstd="t" o:hr="t"/>
        </w:pict>
      </w:r>
    </w:p>
    <w:p>
      <w:pPr>
        <w:pStyle w:val="FirstParagraph"/>
      </w:pPr>
      <w:r>
        <w:t xml:space="preserve">Dieser Fall ist fiktiv und für den Einsatz in der Lehre gedacht. Namen, Ereignisse und interne Zahlen wurden für den Fall erstellt. Öffentliche Statistiken werden in der Quellenangabe zusammengefasst.</w:t>
      </w:r>
    </w:p>
    <w:bookmarkStart w:id="9" w:name="die-freitagslieferung"/>
    <w:p>
      <w:pPr>
        <w:pStyle w:val="Heading1"/>
      </w:pPr>
      <w:r>
        <w:t xml:space="preserve">Die Freitagslieferung</w:t>
      </w:r>
    </w:p>
    <w:p>
      <w:pPr>
        <w:pStyle w:val="FirstParagraph"/>
      </w:pPr>
      <w:r>
        <w:t xml:space="preserve">Um 8:10 Uhr am Freitagmorgen erfuhr Dr. Maya Ortiz, Direktorin für Überdosis-Prävention der Bellwether Gesundheitsbehörde, dass die herbstliche Naloxon-Lieferung des Bundesstaates 36.000 Zweifach-Dosen-Nasenspray-Kits enthalten würde. Bezirksbehörden, Krankenhäuser, Rettungsdienste, Programme zur Schadensminderung, Gefängnisse, Behandlungsanbieter, Apotheken, Lebensmittelbanken und Wohnungsbauorganisationen hatten insgesamt 61.400 Kits angefordert.</w:t>
      </w:r>
    </w:p>
    <w:p>
      <w:pPr>
        <w:pStyle w:val="BodyText"/>
      </w:pPr>
      <w:r>
        <w:t xml:space="preserve">Der Engpass war nicht durch einen landesweiten Produktionsausfall verursacht worden. Bellwethers Bundeszuschuss war später als erwartet eingetroffen, ein staatlicher Beschaffungsvertrag war während der Neuausschreibung ausgelaufen, und die Legislative hatte nur drei Monate an Überbrückungsfinanzierung genehmigt. Die Behörde konnte später weitere Kits bestellen, aber niemand konnte sagen, wann sie eintreffen würden oder welcher Teil der Rechnung im nächsten Förderzeitraum erstattungsfähig sein würde.</w:t>
      </w:r>
    </w:p>
    <w:p>
      <w:pPr>
        <w:pStyle w:val="BodyText"/>
      </w:pPr>
      <w:r>
        <w:t xml:space="preserve">Ortiz musste bis Montagmittag einen Zuteilungsplan genehmigen. Das Lager benötigte Zeit, um Kartons zu beschriften, Schulungsmaterialien vorzubereiten und Lieferungen zu planen. Mehrere Bezirkspartner rationierten bereits ihre Kits. Andere meldeten ungenutzte Bestände, konnten aber nicht sagen, ob die Kits im Lager standen, von Streetworkern mitgeführt wurden, an Personen ausgegeben wurden, die wahrscheinlich Zeugen einer Überdosis würden, oder nach Ablauf oder Beschädigung entsorgt worden waren.</w:t>
      </w:r>
    </w:p>
    <w:bookmarkEnd w:id="9"/>
    <w:bookmarkStart w:id="11" w:name="X40ba7b09e10f15a21a551ee69fc4a08e43d3bf5"/>
    <w:p>
      <w:pPr>
        <w:pStyle w:val="Heading1"/>
      </w:pPr>
      <w:r>
        <w:t xml:space="preserve">Eine Krise, die sich ungleichmäßig besserte</w:t>
      </w:r>
    </w:p>
    <w:p>
      <w:pPr>
        <w:pStyle w:val="FirstParagraph"/>
      </w:pPr>
      <w:r>
        <w:t xml:space="preserve">Landesweit hatte die Überdosis-Mortalität nach Jahren verheerenden Wachstums begonnen zurückzugehen. Endgültige Bundesdaten verzeichneten 79.384 US-Drogenüberdosis-Todesfälle im Jahr 2024, ein Rückgang der altersbereinigten Sterberate um 26,2 Prozent gegenüber 2023. Vorläufige Daten, die im Juli 2026 verfügbar waren, prognostizierten 68.641 Todesfälle für die zwölf Monate bis Februar 2026, ein weiterer Rückgang um 12,1 Prozent gegenüber dem vorangegangenen Zeitraum. Die Verbesserung war erheblich, aber die Gesamtzahl blieb hoch, und das illegale Drogenangebot veränderte sich weiterhin.</w:t>
      </w:r>
    </w:p>
    <w:p>
      <w:pPr>
        <w:pStyle w:val="BodyText"/>
      </w:pPr>
      <w:r>
        <w:t xml:space="preserve">Auch der Zugang zu Naloxon hatte sich ausgeweitet. Über 1,5 Millionen Rezepte wurden 2024 über US-Einzelhandelsapotheken abgegeben. Dennoch fiel die landesweite Abgaberate der Apotheken von 0,6 Rezepten pro 100 Personen im Jahr 2023 auf 0,4 im Jahr 2024, und die Raten variierten stark zwischen den Zuständigkeitsbereichen. Apothekendaten erfassten nicht jedes Kit, das von Gesundheitsbehörden, Ersthelfern, Gemeinschaftsorganisationen oder Freunden und Angehörigen verteilt wurde.</w:t>
      </w:r>
    </w:p>
    <w:p>
      <w:pPr>
        <w:pStyle w:val="BodyText"/>
      </w:pPr>
      <w:r>
        <w:t xml:space="preserve">Bellwethers landesweite Todeszahl war im Vergleich zum Vorjahr um 18 Prozent gesunken. Der Rückgang konzentrierte sich auf die Hauptstadtregion und drei Vorortbezirke. Im nördlichen Industriekorridor waren die Todesfälle nahezu unverändert. In zwei ländlichen Regionen waren sie gestiegen, während Notaufnahmen von mehr Patienten berichteten, die nach vermuteter Exposition gegenüber mit sedierenden Verunreinigungen versetztem Fentanyl längere Beobachtung benötigten.</w:t>
      </w:r>
    </w:p>
    <w:bookmarkStart w:id="10" w:name="X9a35f308860aa7f5a370ee3be0b5e873576b34f"/>
    <w:p>
      <w:pPr>
        <w:pStyle w:val="Heading2"/>
      </w:pPr>
      <w:r>
        <w:t xml:space="preserve">Anlage 1. Bellwether-Überdosis-Indikatoren</w:t>
      </w:r>
    </w:p>
    <w:tbl>
      <w:tblPr>
        <w:tblStyle w:val="Table"/>
        <w:tblW w:type="pct" w:w="4885"/>
        <w:tblLayout w:type="fixed"/>
        <w:tblLook w:firstRow="1" w:lastRow="0" w:firstColumn="0" w:lastColumn="0" w:noHBand="0" w:noVBand="0" w:val="0020"/>
      </w:tblPr>
      <w:tblGrid>
        <w:gridCol w:w="3368"/>
        <w:gridCol w:w="1092"/>
        <w:gridCol w:w="1092"/>
        <w:gridCol w:w="2184"/>
      </w:tblGrid>
      <w:tr>
        <w:trPr>
          <w:tblHeader w:val="on"/>
        </w:trPr>
        <w:tc>
          <w:tcPr/>
          <w:p>
            <w:pPr>
              <w:pStyle w:val="Compact"/>
              <w:jc w:val="left"/>
            </w:pPr>
            <w:r>
              <w:t xml:space="preserve">Indikator</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Letzte 12 Monate</w:t>
            </w:r>
          </w:p>
        </w:tc>
      </w:tr>
      <w:tr>
        <w:tc>
          <w:tcPr/>
          <w:p>
            <w:pPr>
              <w:pStyle w:val="Compact"/>
              <w:jc w:val="left"/>
            </w:pPr>
            <w:r>
              <w:t xml:space="preserve">Vermutete tödliche Überdosen</w:t>
            </w:r>
          </w:p>
        </w:tc>
        <w:tc>
          <w:tcPr/>
          <w:p>
            <w:pPr>
              <w:pStyle w:val="Compact"/>
              <w:jc w:val="left"/>
            </w:pPr>
            <w:r>
              <w:t xml:space="preserve">1.184</w:t>
            </w:r>
          </w:p>
        </w:tc>
        <w:tc>
          <w:tcPr/>
          <w:p>
            <w:pPr>
              <w:pStyle w:val="Compact"/>
              <w:jc w:val="left"/>
            </w:pPr>
            <w:r>
              <w:t xml:space="preserve">971</w:t>
            </w:r>
          </w:p>
        </w:tc>
        <w:tc>
          <w:tcPr/>
          <w:p>
            <w:pPr>
              <w:pStyle w:val="Compact"/>
              <w:jc w:val="left"/>
            </w:pPr>
            <w:r>
              <w:t xml:space="preserve">906</w:t>
            </w:r>
          </w:p>
        </w:tc>
      </w:tr>
      <w:tr>
        <w:tc>
          <w:tcPr/>
          <w:p>
            <w:pPr>
              <w:pStyle w:val="Compact"/>
              <w:jc w:val="left"/>
            </w:pPr>
            <w:r>
              <w:t xml:space="preserve">Rettungsdiensteinsätze bei Überdosen</w:t>
            </w:r>
          </w:p>
        </w:tc>
        <w:tc>
          <w:tcPr/>
          <w:p>
            <w:pPr>
              <w:pStyle w:val="Compact"/>
              <w:jc w:val="left"/>
            </w:pPr>
            <w:r>
              <w:t xml:space="preserve">9.840</w:t>
            </w:r>
          </w:p>
        </w:tc>
        <w:tc>
          <w:tcPr/>
          <w:p>
            <w:pPr>
              <w:pStyle w:val="Compact"/>
              <w:jc w:val="left"/>
            </w:pPr>
            <w:r>
              <w:t xml:space="preserve">10.260</w:t>
            </w:r>
          </w:p>
        </w:tc>
        <w:tc>
          <w:tcPr/>
          <w:p>
            <w:pPr>
              <w:pStyle w:val="Compact"/>
              <w:jc w:val="left"/>
            </w:pPr>
            <w:r>
              <w:t xml:space="preserve">10.710</w:t>
            </w:r>
          </w:p>
        </w:tc>
      </w:tr>
      <w:tr>
        <w:tc>
          <w:tcPr/>
          <w:p>
            <w:pPr>
              <w:pStyle w:val="Compact"/>
              <w:jc w:val="left"/>
            </w:pPr>
            <w:r>
              <w:t xml:space="preserve">Naloxon-Verabreichungen durch Rettung</w:t>
            </w:r>
          </w:p>
        </w:tc>
        <w:tc>
          <w:tcPr/>
          <w:p>
            <w:pPr>
              <w:pStyle w:val="Compact"/>
              <w:jc w:val="left"/>
            </w:pPr>
            <w:r>
              <w:t xml:space="preserve">sdienste 6.</w:t>
            </w:r>
          </w:p>
        </w:tc>
        <w:tc>
          <w:tcPr/>
          <w:p>
            <w:pPr>
              <w:pStyle w:val="Compact"/>
              <w:jc w:val="left"/>
            </w:pPr>
            <w:r>
              <w:t xml:space="preserve">420 6.980</w:t>
            </w:r>
          </w:p>
        </w:tc>
        <w:tc>
          <w:tcPr/>
          <w:p>
            <w:pPr>
              <w:pStyle w:val="Compact"/>
              <w:jc w:val="left"/>
            </w:pPr>
            <w:r>
              <w:t xml:space="preserve">7.310</w:t>
            </w:r>
          </w:p>
        </w:tc>
      </w:tr>
      <w:tr>
        <w:tc>
          <w:tcPr/>
          <w:p>
            <w:pPr>
              <w:pStyle w:val="Compact"/>
              <w:jc w:val="left"/>
            </w:pPr>
            <w:r>
              <w:t xml:space="preserve">Krankenhaustransporte nach Überdosis</w:t>
            </w:r>
          </w:p>
        </w:tc>
        <w:tc>
          <w:tcPr/>
          <w:p>
            <w:pPr>
              <w:pStyle w:val="Compact"/>
              <w:jc w:val="left"/>
            </w:pPr>
            <w:r>
              <w:t xml:space="preserve">4.780</w:t>
            </w:r>
          </w:p>
        </w:tc>
        <w:tc>
          <w:tcPr/>
          <w:p>
            <w:pPr>
              <w:pStyle w:val="Compact"/>
              <w:jc w:val="left"/>
            </w:pPr>
            <w:r>
              <w:t xml:space="preserve">4.960</w:t>
            </w:r>
          </w:p>
        </w:tc>
        <w:tc>
          <w:tcPr/>
          <w:p>
            <w:pPr>
              <w:pStyle w:val="Compact"/>
              <w:jc w:val="left"/>
            </w:pPr>
            <w:r>
              <w:t xml:space="preserve">5.240</w:t>
            </w:r>
          </w:p>
        </w:tc>
      </w:tr>
      <w:tr>
        <w:tc>
          <w:tcPr/>
          <w:p>
            <w:pPr>
              <w:pStyle w:val="Compact"/>
              <w:jc w:val="left"/>
            </w:pPr>
            <w:r>
              <w:t xml:space="preserve">Von der Gemeinschaft gemeldete Rettun</w:t>
            </w:r>
          </w:p>
        </w:tc>
        <w:tc>
          <w:tcPr/>
          <w:p>
            <w:pPr>
              <w:pStyle w:val="Compact"/>
              <w:jc w:val="left"/>
            </w:pPr>
            <w:r>
              <w:t xml:space="preserve">gen 2.940</w:t>
            </w:r>
          </w:p>
        </w:tc>
        <w:tc>
          <w:tcPr/>
          <w:p>
            <w:pPr>
              <w:pStyle w:val="Compact"/>
              <w:jc w:val="left"/>
            </w:pPr>
            <w:r>
              <w:t xml:space="preserve">3.880</w:t>
            </w:r>
          </w:p>
        </w:tc>
        <w:tc>
          <w:tcPr/>
          <w:p>
            <w:pPr>
              <w:pStyle w:val="Compact"/>
              <w:jc w:val="left"/>
            </w:pPr>
            <w:r>
              <w:t xml:space="preserve">4.210</w:t>
            </w:r>
          </w:p>
        </w:tc>
      </w:tr>
      <w:tr>
        <w:tc>
          <w:tcPr/>
          <w:p>
            <w:pPr>
              <w:pStyle w:val="Compact"/>
              <w:jc w:val="left"/>
            </w:pPr>
            <w:r>
              <w:t xml:space="preserve">Vom Staat gekaufte, verteilte Kits</w:t>
            </w:r>
          </w:p>
        </w:tc>
        <w:tc>
          <w:tcPr/>
          <w:p>
            <w:pPr>
              <w:pStyle w:val="Compact"/>
              <w:jc w:val="left"/>
            </w:pPr>
            <w:r>
              <w:t xml:space="preserve">118.000</w:t>
            </w:r>
          </w:p>
        </w:tc>
        <w:tc>
          <w:tcPr/>
          <w:p>
            <w:pPr>
              <w:pStyle w:val="Compact"/>
              <w:jc w:val="left"/>
            </w:pPr>
            <w:r>
              <w:t xml:space="preserve">142.000</w:t>
            </w:r>
          </w:p>
        </w:tc>
        <w:tc>
          <w:tcPr/>
          <w:p>
            <w:pPr>
              <w:pStyle w:val="Compact"/>
              <w:jc w:val="left"/>
            </w:pPr>
            <w:r>
              <w:t xml:space="preserve">136.500</w:t>
            </w:r>
          </w:p>
        </w:tc>
      </w:tr>
      <w:tr>
        <w:tc>
          <w:tcPr/>
          <w:p>
            <w:pPr>
              <w:pStyle w:val="Compact"/>
              <w:jc w:val="left"/>
            </w:pPr>
            <w:r>
              <w:t xml:space="preserve">Bezirke mit gemeldeten örtlichen Lief</w:t>
            </w:r>
          </w:p>
        </w:tc>
        <w:tc>
          <w:tcPr/>
          <w:p>
            <w:pPr>
              <w:pStyle w:val="Compact"/>
              <w:jc w:val="left"/>
            </w:pPr>
            <w:r>
              <w:t xml:space="preserve">erengpässen</w:t>
            </w:r>
          </w:p>
        </w:tc>
        <w:tc>
          <w:tcPr/>
          <w:p>
            <w:pPr>
              <w:pStyle w:val="Compact"/>
              <w:jc w:val="left"/>
            </w:pPr>
            <w:r>
              <w:t xml:space="preserve">4 7</w:t>
            </w:r>
          </w:p>
        </w:tc>
        <w:tc>
          <w:tcPr/>
          <w:p>
            <w:pPr>
              <w:pStyle w:val="Compact"/>
              <w:jc w:val="left"/>
            </w:pPr>
            <w:r>
              <w:t xml:space="preserve">11</w:t>
            </w:r>
          </w:p>
        </w:tc>
      </w:tr>
    </w:tbl>
    <w:p>
      <w:pPr>
        <w:pStyle w:val="BodyText"/>
      </w:pPr>
      <w:r>
        <w:t xml:space="preserve">Ortiz warnte ihre Mitarbeiter davor, aus der sinkenden Todeszahl einen einfachen Schluss zu ziehen. Mehr Naloxon könnte Todesfälle verhindern, während die Zahl der Überdosen unverändert bliebe. Rettungsdiensteinsätze und Krankenhaustransporte stiegen weiterhin. Von der Gemeinschaft gemeldete Rettungen waren freiwillig und mit ziemlicher Sicherheit unvollständig. Ein Bezirk mit wenigen gemeldeten Rettungen könnte geringen Bedarf, mangelhafte Berichterstattung, geringes Bewusstsein, schwaches Vertrauen der Gemeinschaft oder zu wenige im Umlauf befindliche Kits aufweisen.</w:t>
      </w:r>
    </w:p>
    <w:bookmarkEnd w:id="10"/>
    <w:bookmarkEnd w:id="11"/>
    <w:bookmarkStart w:id="13" w:name="wohin-die-kits-gehen-könnten"/>
    <w:p>
      <w:pPr>
        <w:pStyle w:val="Heading1"/>
      </w:pPr>
      <w:r>
        <w:t xml:space="preserve">Wohin die Kits gehen könnten</w:t>
      </w:r>
    </w:p>
    <w:p>
      <w:pPr>
        <w:pStyle w:val="FirstParagraph"/>
      </w:pPr>
      <w:r>
        <w:t xml:space="preserve">Bellwether hatte Naloxon über sechs breite Kanäle verteilt. Jeder erreichte eine andere Bevölkerungsgruppe und erzeugte andere Informationen. Ersthelfer konnten Kits schnell bei einer Überdosis platzieren, kamen aber meist erst an, nachdem jemand den Notruf gewählt hatte. Organisationen zur Schadensminderung hatten direkten Kontakt zu Drogenkonsumenten und deren sozialen Netzwerken, aber mehrere arbeiteten mit kleinen Belegschaften und informellen Aufzeichnungen. Apotheken boten eine breite geografische Abdeckung, erforderten jedoch oft, dass ein Kunde das Produkt anforderte oder mit einem Apotheker interagierte.</w:t>
      </w:r>
    </w:p>
    <w:p>
      <w:pPr>
        <w:pStyle w:val="BodyText"/>
      </w:pPr>
      <w:r>
        <w:t xml:space="preserve">Krankenhäuser und Behandlungsanbieter konnten Patienten bei der Entlassung Naloxon geben, einschließlich Personen mit erhöhtem Risiko nach einer Phase der Abstinenz. Gefängnisse konnten Kits bei der Entlassung ausgeben, wenn die Toleranz verringert sein könnte, aber die Teilnahme variierte zwischen den Bezirkssheriffs. Lebensmittelbanken, Notunterkünfte, Bibliotheken, glaubensbasierte Organisationen und Wohnungsbauträger erreichten Menschen, die möglicherweise nie ein Behandlungsprogramm besuchten, obwohl einige Organisationen befürchteten, dass das sichtbare Anbieten von Naloxon Kontroversen mit Spendern, Vorständen oder Nachbarn hervorrufen würde.</w:t>
      </w:r>
    </w:p>
    <w:bookmarkStart w:id="12" w:name="Xaf86b7aa178dd9a1fd2b6d6ded8a92973b0b9ac"/>
    <w:p>
      <w:pPr>
        <w:pStyle w:val="Heading2"/>
      </w:pPr>
      <w:r>
        <w:t xml:space="preserve">Anlage 2. Anfragen für die Lieferung von 36.000 Kits</w:t>
      </w:r>
    </w:p>
    <w:tbl>
      <w:tblPr>
        <w:tblStyle w:val="Table"/>
        <w:tblW w:type="pct" w:w="4920"/>
        <w:tblLayout w:type="fixed"/>
        <w:tblLook w:firstRow="1" w:lastRow="0" w:firstColumn="0" w:lastColumn="0" w:noHBand="0" w:noVBand="0" w:val="0020"/>
      </w:tblPr>
      <w:tblGrid>
        <w:gridCol w:w="3231"/>
        <w:gridCol w:w="1077"/>
        <w:gridCol w:w="2154"/>
        <w:gridCol w:w="1330"/>
      </w:tblGrid>
      <w:tr>
        <w:trPr>
          <w:tblHeader w:val="on"/>
        </w:trPr>
        <w:tc>
          <w:tcPr/>
          <w:p>
            <w:pPr>
              <w:pStyle w:val="Compact"/>
              <w:jc w:val="left"/>
            </w:pPr>
            <w:r>
              <w:t xml:space="preserve">Verteilungskanal</w:t>
            </w:r>
          </w:p>
        </w:tc>
        <w:tc>
          <w:tcPr/>
          <w:p>
            <w:pPr>
              <w:pStyle w:val="Compact"/>
            </w:pPr>
            <w:r>
              <w:t xml:space="preserve">Angeforderte Kits</w:t>
            </w:r>
          </w:p>
        </w:tc>
        <w:tc>
          <w:tcPr/>
          <w:p>
            <w:pPr>
              <w:pStyle w:val="Compact"/>
              <w:jc w:val="right"/>
            </w:pPr>
            <w:r>
              <w:t xml:space="preserve">Verteilte Kits letzte 12 Monate</w:t>
            </w:r>
          </w:p>
        </w:tc>
        <w:tc>
          <w:tcPr/>
          <w:p>
            <w:pPr>
              <w:pStyle w:val="Compact"/>
              <w:jc w:val="right"/>
            </w:pPr>
            <w:r>
              <w:t xml:space="preserve">Gemeldete Rettungen</w:t>
            </w:r>
          </w:p>
        </w:tc>
      </w:tr>
      <w:tr>
        <w:tc>
          <w:tcPr/>
          <w:p>
            <w:pPr>
              <w:pStyle w:val="Compact"/>
              <w:jc w:val="left"/>
            </w:pPr>
            <w:r>
              <w:t xml:space="preserve">Schadensminderungs- und Spritzentauschprogramme</w:t>
            </w:r>
          </w:p>
        </w:tc>
        <w:tc>
          <w:tcPr/>
          <w:p>
            <w:pPr>
              <w:pStyle w:val="Compact"/>
            </w:pPr>
            <w:r>
              <w:t xml:space="preserve">19.600</w:t>
            </w:r>
          </w:p>
        </w:tc>
        <w:tc>
          <w:tcPr/>
          <w:p>
            <w:pPr>
              <w:pStyle w:val="Compact"/>
              <w:jc w:val="right"/>
            </w:pPr>
            <w:r>
              <w:t xml:space="preserve">45.200</w:t>
            </w:r>
          </w:p>
        </w:tc>
        <w:tc>
          <w:tcPr/>
          <w:p>
            <w:pPr>
              <w:pStyle w:val="Compact"/>
              <w:jc w:val="right"/>
            </w:pPr>
            <w:r>
              <w:t xml:space="preserve">2.540</w:t>
            </w:r>
          </w:p>
        </w:tc>
      </w:tr>
      <w:tr>
        <w:tc>
          <w:tcPr/>
          <w:p>
            <w:pPr>
              <w:pStyle w:val="Compact"/>
              <w:jc w:val="left"/>
            </w:pPr>
            <w:r>
              <w:t xml:space="preserve">Rettungsdienst, Feuerwehr und Polizei</w:t>
            </w:r>
          </w:p>
        </w:tc>
        <w:tc>
          <w:tcPr/>
          <w:p>
            <w:pPr>
              <w:pStyle w:val="Compact"/>
            </w:pPr>
            <w:r>
              <w:t xml:space="preserve">11.400</w:t>
            </w:r>
          </w:p>
        </w:tc>
        <w:tc>
          <w:tcPr/>
          <w:p>
            <w:pPr>
              <w:pStyle w:val="Compact"/>
              <w:jc w:val="right"/>
            </w:pPr>
            <w:r>
              <w:t xml:space="preserve">28.600</w:t>
            </w:r>
          </w:p>
        </w:tc>
        <w:tc>
          <w:tcPr/>
          <w:p>
            <w:pPr>
              <w:pStyle w:val="Compact"/>
              <w:jc w:val="right"/>
            </w:pPr>
            <w:r>
              <w:t xml:space="preserve">1.020</w:t>
            </w:r>
          </w:p>
        </w:tc>
      </w:tr>
      <w:tr>
        <w:tc>
          <w:tcPr/>
          <w:p>
            <w:pPr>
              <w:pStyle w:val="Compact"/>
              <w:jc w:val="left"/>
            </w:pPr>
            <w:r>
              <w:t xml:space="preserve">Behandlungsanbieter und Krankenhäuser</w:t>
            </w:r>
          </w:p>
        </w:tc>
        <w:tc>
          <w:tcPr/>
          <w:p>
            <w:pPr>
              <w:pStyle w:val="Compact"/>
            </w:pPr>
            <w:r>
              <w:t xml:space="preserve">9.800</w:t>
            </w:r>
          </w:p>
        </w:tc>
        <w:tc>
          <w:tcPr/>
          <w:p>
            <w:pPr>
              <w:pStyle w:val="Compact"/>
              <w:jc w:val="right"/>
            </w:pPr>
            <w:r>
              <w:t xml:space="preserve">21.500</w:t>
            </w:r>
          </w:p>
        </w:tc>
        <w:tc>
          <w:tcPr/>
          <w:p>
            <w:pPr>
              <w:pStyle w:val="Compact"/>
              <w:jc w:val="right"/>
            </w:pPr>
            <w:r>
              <w:t xml:space="preserve">310</w:t>
            </w:r>
          </w:p>
        </w:tc>
      </w:tr>
      <w:tr>
        <w:tc>
          <w:tcPr/>
          <w:p>
            <w:pPr>
              <w:pStyle w:val="Compact"/>
              <w:jc w:val="left"/>
            </w:pPr>
            <w:r>
              <w:t xml:space="preserve">Apotheken</w:t>
            </w:r>
          </w:p>
        </w:tc>
        <w:tc>
          <w:tcPr/>
          <w:p>
            <w:pPr>
              <w:pStyle w:val="Compact"/>
            </w:pPr>
            <w:r>
              <w:t xml:space="preserve">7.200</w:t>
            </w:r>
          </w:p>
        </w:tc>
        <w:tc>
          <w:tcPr/>
          <w:p>
            <w:pPr>
              <w:pStyle w:val="Compact"/>
              <w:jc w:val="right"/>
            </w:pPr>
            <w:r>
              <w:t xml:space="preserve">16.100</w:t>
            </w:r>
          </w:p>
        </w:tc>
        <w:tc>
          <w:tcPr/>
          <w:p>
            <w:pPr>
              <w:pStyle w:val="Compact"/>
              <w:jc w:val="right"/>
            </w:pPr>
            <w:r>
              <w:t xml:space="preserve">90</w:t>
            </w:r>
          </w:p>
        </w:tc>
      </w:tr>
      <w:tr>
        <w:tc>
          <w:tcPr/>
          <w:p>
            <w:pPr>
              <w:pStyle w:val="Compact"/>
              <w:jc w:val="left"/>
            </w:pPr>
            <w:r>
              <w:t xml:space="preserve">Gefängnisse und Wiedereingliederungsprogramme</w:t>
            </w:r>
          </w:p>
        </w:tc>
        <w:tc>
          <w:tcPr/>
          <w:p>
            <w:pPr>
              <w:pStyle w:val="Compact"/>
            </w:pPr>
            <w:r>
              <w:t xml:space="preserve">5.600</w:t>
            </w:r>
          </w:p>
        </w:tc>
        <w:tc>
          <w:tcPr/>
          <w:p>
            <w:pPr>
              <w:pStyle w:val="Compact"/>
              <w:jc w:val="right"/>
            </w:pPr>
            <w:r>
              <w:t xml:space="preserve">10.400</w:t>
            </w:r>
          </w:p>
        </w:tc>
        <w:tc>
          <w:tcPr/>
          <w:p>
            <w:pPr>
              <w:pStyle w:val="Compact"/>
              <w:jc w:val="right"/>
            </w:pPr>
            <w:r>
              <w:t xml:space="preserve">120</w:t>
            </w:r>
          </w:p>
        </w:tc>
      </w:tr>
      <w:tr>
        <w:tc>
          <w:tcPr/>
          <w:p>
            <w:pPr>
              <w:pStyle w:val="Compact"/>
              <w:jc w:val="left"/>
            </w:pPr>
            <w:r>
              <w:t xml:space="preserve">Wohnungsbau-, Lebensmittel-, Glaubens- und andere G</w:t>
            </w:r>
          </w:p>
        </w:tc>
        <w:tc>
          <w:tcPr/>
          <w:p>
            <w:pPr>
              <w:pStyle w:val="Compact"/>
            </w:pPr>
            <w:r>
              <w:t xml:space="preserve">emeinschaftsgrupp</w:t>
            </w:r>
          </w:p>
        </w:tc>
        <w:tc>
          <w:tcPr/>
          <w:p>
            <w:pPr>
              <w:pStyle w:val="Compact"/>
              <w:jc w:val="right"/>
            </w:pPr>
            <w:r>
              <w:t xml:space="preserve">en 7.800 14.700</w:t>
            </w:r>
          </w:p>
        </w:tc>
        <w:tc>
          <w:tcPr/>
          <w:p>
            <w:pPr>
              <w:pStyle w:val="Compact"/>
              <w:jc w:val="right"/>
            </w:pPr>
            <w:r>
              <w:t xml:space="preserve">130</w:t>
            </w:r>
          </w:p>
        </w:tc>
      </w:tr>
    </w:tbl>
    <w:p>
      <w:pPr>
        <w:pStyle w:val="BodyText"/>
      </w:pPr>
      <w:r>
        <w:t xml:space="preserve">Die gemeldeten Rettungszahlen konnten nicht als Wirksamkeitsraten interpretiert werden. Ein Kit könnte an jemanden verteilt worden sein, der nie einer Überdosis begegnete, erfolgreich verwendet wurde, ohne gemeldet zu werden, verloren ging, an eine andere Person weitergegeben wurde oder bis zum Ablauf aufbewahrt wurde. Manche Organisationen verteilten aggressiv an Personen, die wahrscheinlich Zeuge einer Überdosis würden; andere unterhielten Schränke für Notfälle. Der Staat wusste nicht, wie viele Kits im Moment des Bedarfs sofort zugänglich waren.</w:t>
      </w:r>
    </w:p>
    <w:bookmarkEnd w:id="12"/>
    <w:bookmarkEnd w:id="13"/>
    <w:bookmarkStart w:id="15" w:name="geografie-und-zugang"/>
    <w:p>
      <w:pPr>
        <w:pStyle w:val="Heading1"/>
      </w:pPr>
      <w:r>
        <w:t xml:space="preserve">Geografie und Zugang</w:t>
      </w:r>
    </w:p>
    <w:p>
      <w:pPr>
        <w:pStyle w:val="FirstParagraph"/>
      </w:pPr>
      <w:r>
        <w:t xml:space="preserve">Die zweiundvierzig Bezirke des Bundesstaates unterschieden sich stark. Städtische Bezirke hatten konzentrierte Überdosis-Aktivität, etablierte Outreach-Teams, öffentliche Verkehrsmittel und mehrere Apotheken. Ländliche Bezirke deckten große Flächen mit begrenztem Nahverkehr und langen Rettungsdienst-Reaktionszeiten ab. Mehrere indigene Gemeinschaften (Tribal Communities) betrieben ihre eigenen Gesundheits- und öffentlichen Sicherheitsprogramme und wollten direkte Zuteilungen erhalten, anstatt Kits über Bezirksregierungen zu bekommen. Saisonarbeiter und Menschen, die in provisorischen Lagern lebten, bewegten sich zwischen Regionen, was auf dem Wohnsitz basierende Vergleiche schwächte.</w:t>
      </w:r>
    </w:p>
    <w:bookmarkStart w:id="14" w:name="X748c46627bd4da267bf5f990ebad91d217e34f6"/>
    <w:p>
      <w:pPr>
        <w:pStyle w:val="Heading2"/>
      </w:pPr>
      <w:r>
        <w:t xml:space="preserve">Anlage 3. Ausgewählte regionale Bedingungen</w:t>
      </w:r>
    </w:p>
    <w:tbl>
      <w:tblPr>
        <w:tblStyle w:val="Table"/>
        <w:tblW w:type="pct" w:w="4915"/>
        <w:tblLayout w:type="fixed"/>
        <w:tblLook w:firstRow="1" w:lastRow="0" w:firstColumn="0" w:lastColumn="0" w:noHBand="0" w:noVBand="0" w:val="0020"/>
      </w:tblPr>
      <w:tblGrid>
        <w:gridCol w:w="1946"/>
        <w:gridCol w:w="872"/>
        <w:gridCol w:w="2013"/>
        <w:gridCol w:w="1476"/>
        <w:gridCol w:w="1476"/>
      </w:tblGrid>
      <w:tr>
        <w:trPr>
          <w:tblHeader w:val="on"/>
        </w:trPr>
        <w:tc>
          <w:tcPr/>
          <w:p>
            <w:pPr>
              <w:pStyle w:val="Compact"/>
              <w:jc w:val="left"/>
            </w:pPr>
            <w:r>
              <w:t xml:space="preserve">Region</w:t>
            </w:r>
          </w:p>
        </w:tc>
        <w:tc>
          <w:tcPr/>
          <w:p>
            <w:pPr>
              <w:pStyle w:val="Compact"/>
              <w:jc w:val="right"/>
            </w:pPr>
            <w:r>
              <w:t xml:space="preserve">Bevölkerung</w:t>
            </w:r>
          </w:p>
        </w:tc>
        <w:tc>
          <w:tcPr/>
          <w:p>
            <w:pPr>
              <w:pStyle w:val="Compact"/>
              <w:jc w:val="right"/>
            </w:pPr>
            <w:r>
              <w:t xml:space="preserve">Tödliche Überdosen pro 100.0</w:t>
            </w:r>
          </w:p>
        </w:tc>
        <w:tc>
          <w:tcPr/>
          <w:p>
            <w:pPr>
              <w:pStyle w:val="Compact"/>
            </w:pPr>
            <w:r>
              <w:t xml:space="preserve">00 Mittlere Rettungs</w:t>
            </w:r>
          </w:p>
        </w:tc>
        <w:tc>
          <w:tcPr/>
          <w:p>
            <w:pPr>
              <w:pStyle w:val="Compact"/>
            </w:pPr>
            <w:r>
              <w:t xml:space="preserve">dienst-Reaktionszeit Partnerbestand</w:t>
            </w:r>
          </w:p>
        </w:tc>
      </w:tr>
      <w:tr>
        <w:tc>
          <w:tcPr/>
          <w:p>
            <w:pPr>
              <w:pStyle w:val="Compact"/>
              <w:jc w:val="left"/>
            </w:pPr>
            <w:r>
              <w:t xml:space="preserve">Hauptstadtkern</w:t>
            </w:r>
          </w:p>
        </w:tc>
        <w:tc>
          <w:tcPr/>
          <w:p>
            <w:pPr>
              <w:pStyle w:val="Compact"/>
              <w:jc w:val="right"/>
            </w:pPr>
            <w:r>
              <w:t xml:space="preserve">740.000</w:t>
            </w:r>
          </w:p>
        </w:tc>
        <w:tc>
          <w:tcPr/>
          <w:p>
            <w:pPr>
              <w:pStyle w:val="Compact"/>
              <w:jc w:val="right"/>
            </w:pPr>
            <w:r>
              <w:t xml:space="preserve">31</w:t>
            </w:r>
          </w:p>
        </w:tc>
        <w:tc>
          <w:tcPr/>
          <w:p>
            <w:pPr>
              <w:pStyle w:val="Compact"/>
            </w:pPr>
            <w:r>
              <w:t xml:space="preserve">7 Minuten</w:t>
            </w:r>
          </w:p>
        </w:tc>
        <w:tc>
          <w:tcPr/>
          <w:p>
            <w:pPr>
              <w:pStyle w:val="Compact"/>
            </w:pPr>
            <w:r>
              <w:t xml:space="preserve">18 Tage</w:t>
            </w:r>
          </w:p>
        </w:tc>
      </w:tr>
      <w:tr>
        <w:tc>
          <w:tcPr/>
          <w:p>
            <w:pPr>
              <w:pStyle w:val="Compact"/>
              <w:jc w:val="left"/>
            </w:pPr>
            <w:r>
              <w:t xml:space="preserve">Östlicher Stadtkorridor</w:t>
            </w:r>
          </w:p>
        </w:tc>
        <w:tc>
          <w:tcPr/>
          <w:p>
            <w:pPr>
              <w:pStyle w:val="Compact"/>
              <w:jc w:val="right"/>
            </w:pPr>
            <w:r>
              <w:t xml:space="preserve">510.000</w:t>
            </w:r>
          </w:p>
        </w:tc>
        <w:tc>
          <w:tcPr/>
          <w:p>
            <w:pPr>
              <w:pStyle w:val="Compact"/>
              <w:jc w:val="right"/>
            </w:pPr>
            <w:r>
              <w:t xml:space="preserve">44</w:t>
            </w:r>
          </w:p>
        </w:tc>
        <w:tc>
          <w:tcPr/>
          <w:p>
            <w:pPr>
              <w:pStyle w:val="Compact"/>
            </w:pPr>
            <w:r>
              <w:t xml:space="preserve">9 Minuten</w:t>
            </w:r>
          </w:p>
        </w:tc>
        <w:tc>
          <w:tcPr/>
          <w:p>
            <w:pPr>
              <w:pStyle w:val="Compact"/>
            </w:pPr>
            <w:r>
              <w:t xml:space="preserve">6 Tage</w:t>
            </w:r>
          </w:p>
        </w:tc>
      </w:tr>
      <w:tr>
        <w:tc>
          <w:tcPr/>
          <w:p>
            <w:pPr>
              <w:pStyle w:val="Compact"/>
              <w:jc w:val="left"/>
            </w:pPr>
            <w:r>
              <w:t xml:space="preserve">Nördlicher Industriegürtel</w:t>
            </w:r>
          </w:p>
        </w:tc>
        <w:tc>
          <w:tcPr/>
          <w:p>
            <w:pPr>
              <w:pStyle w:val="Compact"/>
              <w:jc w:val="right"/>
            </w:pPr>
            <w:r>
              <w:t xml:space="preserve">430.000</w:t>
            </w:r>
          </w:p>
        </w:tc>
        <w:tc>
          <w:tcPr/>
          <w:p>
            <w:pPr>
              <w:pStyle w:val="Compact"/>
              <w:jc w:val="right"/>
            </w:pPr>
            <w:r>
              <w:t xml:space="preserve">39</w:t>
            </w:r>
          </w:p>
        </w:tc>
        <w:tc>
          <w:tcPr/>
          <w:p>
            <w:pPr>
              <w:pStyle w:val="Compact"/>
            </w:pPr>
            <w:r>
              <w:t xml:space="preserve">12 Minuten</w:t>
            </w:r>
          </w:p>
        </w:tc>
        <w:tc>
          <w:tcPr/>
          <w:p>
            <w:pPr>
              <w:pStyle w:val="Compact"/>
            </w:pPr>
            <w:r>
              <w:t xml:space="preserve">9 Tage</w:t>
            </w:r>
          </w:p>
        </w:tc>
      </w:tr>
      <w:tr>
        <w:tc>
          <w:tcPr/>
          <w:p>
            <w:pPr>
              <w:pStyle w:val="Compact"/>
              <w:jc w:val="left"/>
            </w:pPr>
            <w:r>
              <w:t xml:space="preserve">Westliche ländliche Bezirke</w:t>
            </w:r>
          </w:p>
        </w:tc>
        <w:tc>
          <w:tcPr/>
          <w:p>
            <w:pPr>
              <w:pStyle w:val="Compact"/>
              <w:jc w:val="right"/>
            </w:pPr>
            <w:r>
              <w:t xml:space="preserve">265.000</w:t>
            </w:r>
          </w:p>
        </w:tc>
        <w:tc>
          <w:tcPr/>
          <w:p>
            <w:pPr>
              <w:pStyle w:val="Compact"/>
              <w:jc w:val="right"/>
            </w:pPr>
            <w:r>
              <w:t xml:space="preserve">36</w:t>
            </w:r>
          </w:p>
        </w:tc>
        <w:tc>
          <w:tcPr/>
          <w:p>
            <w:pPr>
              <w:pStyle w:val="Compact"/>
            </w:pPr>
            <w:r>
              <w:t xml:space="preserve">24 Minuten</w:t>
            </w:r>
          </w:p>
        </w:tc>
        <w:tc>
          <w:tcPr/>
          <w:p>
            <w:pPr>
              <w:pStyle w:val="Compact"/>
            </w:pPr>
            <w:r>
              <w:t xml:space="preserve">3 Tage</w:t>
            </w:r>
          </w:p>
        </w:tc>
      </w:tr>
      <w:tr>
        <w:tc>
          <w:tcPr/>
          <w:p>
            <w:pPr>
              <w:pStyle w:val="Compact"/>
              <w:jc w:val="left"/>
            </w:pPr>
            <w:r>
              <w:t xml:space="preserve">Berg- und indigene Region</w:t>
            </w:r>
          </w:p>
        </w:tc>
        <w:tc>
          <w:tcPr/>
          <w:p>
            <w:pPr>
              <w:pStyle w:val="Compact"/>
              <w:jc w:val="right"/>
            </w:pPr>
            <w:r>
              <w:t xml:space="preserve">148.000</w:t>
            </w:r>
          </w:p>
        </w:tc>
        <w:tc>
          <w:tcPr/>
          <w:p>
            <w:pPr>
              <w:pStyle w:val="Compact"/>
              <w:jc w:val="right"/>
            </w:pPr>
            <w:r>
              <w:t xml:space="preserve">47</w:t>
            </w:r>
          </w:p>
        </w:tc>
        <w:tc>
          <w:tcPr/>
          <w:p>
            <w:pPr>
              <w:pStyle w:val="Compact"/>
            </w:pPr>
            <w:r>
              <w:t xml:space="preserve">31 Minuten</w:t>
            </w:r>
          </w:p>
        </w:tc>
        <w:tc>
          <w:tcPr/>
          <w:p>
            <w:pPr>
              <w:pStyle w:val="Compact"/>
            </w:pPr>
            <w:r>
              <w:t xml:space="preserve">5 Tage</w:t>
            </w:r>
          </w:p>
        </w:tc>
      </w:tr>
      <w:tr>
        <w:tc>
          <w:tcPr/>
          <w:p>
            <w:pPr>
              <w:pStyle w:val="Compact"/>
              <w:jc w:val="left"/>
            </w:pPr>
            <w:r>
              <w:t xml:space="preserve">Südliche Vororte</w:t>
            </w:r>
          </w:p>
        </w:tc>
        <w:tc>
          <w:tcPr/>
          <w:p>
            <w:pPr>
              <w:pStyle w:val="Compact"/>
              <w:jc w:val="right"/>
            </w:pPr>
            <w:r>
              <w:t xml:space="preserve">620.000</w:t>
            </w:r>
          </w:p>
        </w:tc>
        <w:tc>
          <w:tcPr/>
          <w:p>
            <w:pPr>
              <w:pStyle w:val="Compact"/>
              <w:jc w:val="right"/>
            </w:pPr>
            <w:r>
              <w:t xml:space="preserve">18</w:t>
            </w:r>
          </w:p>
        </w:tc>
        <w:tc>
          <w:tcPr/>
          <w:p>
            <w:pPr>
              <w:pStyle w:val="Compact"/>
            </w:pPr>
            <w:r>
              <w:t xml:space="preserve">10 Minuten</w:t>
            </w:r>
          </w:p>
        </w:tc>
        <w:tc>
          <w:tcPr/>
          <w:p>
            <w:pPr>
              <w:pStyle w:val="Compact"/>
            </w:pPr>
            <w:r>
              <w:t xml:space="preserve">34 Tage</w:t>
            </w:r>
          </w:p>
        </w:tc>
      </w:tr>
    </w:tbl>
    <w:p>
      <w:pPr>
        <w:pStyle w:val="BodyText"/>
      </w:pPr>
      <w:r>
        <w:t xml:space="preserve">Das Epidemiologie-Team schlug vor, Kits nach jüngsten Überdosis-Todesfällen, nicht-tödlichen Rettungsdiensteinsätzen und Bevölkerung zuzuteilen. Mitarbeiter der ländlichen Gesundheitsversorgung wandten ein, dass offizielle Zahlen zeitversetzt seien und lange Reisezeiten den Besitz durch die Gemeinschaft besonders wichtig machten. Die Schadensminderungskoalition der Hauptstadt argumentierte, dass Programme mit hohem Volumen nicht dafür bestraft werden sollten, dass sie ihren Bestand bereits verteilt hätten. Ein Vorortbezirk bot an, 2.000 Kits zurückzugeben, jedoch nur, wenn der Staat einen Ersatz innerhalb von sechzig Tagen garantiere.</w:t>
      </w:r>
    </w:p>
    <w:bookmarkEnd w:id="14"/>
    <w:bookmarkEnd w:id="15"/>
    <w:bookmarkStart w:id="16" w:name="schulung-bewusstsein-und-vertrauen"/>
    <w:p>
      <w:pPr>
        <w:pStyle w:val="Heading1"/>
      </w:pPr>
      <w:r>
        <w:t xml:space="preserve">Schulung, Bewusstsein und Vertrauen</w:t>
      </w:r>
    </w:p>
    <w:p>
      <w:pPr>
        <w:pStyle w:val="FirstParagraph"/>
      </w:pPr>
      <w:r>
        <w:t xml:space="preserve">Der Besitz gewährleistete nicht die Verwendung. Manche Empfänger befürchteten, dass die Verabreichung von Naloxon die wiederbelebte Person verärgern würde. Andere fürchteten polizeiliche Beteiligung oder erkannten langsame Atmung nicht als Überdosis. Neue Verunreinigungen konnten Symptome verursachen, die Naloxon nicht vollständig rückgängig machen würde, selbst wenn Opioide ebenfalls vorhanden waren. Gesundheitsbeamte betonten, dass zusätzliche Dosen und medizinische Notfallversorgung weiterhin erforderlich sein könnten.</w:t>
      </w:r>
    </w:p>
    <w:p>
      <w:pPr>
        <w:pStyle w:val="BodyText"/>
      </w:pPr>
      <w:r>
        <w:t xml:space="preserve">Bellwethers Standardschulung dauerte fünfundvierzig Minuten. Outreach-Partner sagten, sie könnten mehr Kits mit einer zehnminütigen Demonstration und einer Karte mit QR-Code verteilen. Der medizinische Direktor bevorzugte eine längere Schulung, die Rettungsatmung, wiederholte Dosierung und den Anruf des Notrufs abdeckte. Die Kommunikationsabteilung schlug eine landesweite Werbekampagne vor, während Bezirkspartner Mittel für lokale Peer-Erzieher wollten, denen Drogenkonsumenten vertrauten.</w:t>
      </w:r>
    </w:p>
    <w:bookmarkEnd w:id="16"/>
    <w:bookmarkStart w:id="18" w:name="der-finanzierungsengpass"/>
    <w:p>
      <w:pPr>
        <w:pStyle w:val="Heading1"/>
      </w:pPr>
      <w:r>
        <w:t xml:space="preserve">Der Finanzierungsengpass</w:t>
      </w:r>
    </w:p>
    <w:p>
      <w:pPr>
        <w:pStyle w:val="FirstParagraph"/>
      </w:pPr>
      <w:r>
        <w:t xml:space="preserve">Das bundesstaatliche Programm „State Opioid Response” blieb die größte externe Quelle zur Unterstützung von Bellwethers Überdosis-Arbeit. Im September 2025 angekündigte nationale Fortsetzungszuschüsse umfassten 1,48 Milliarden $ für den staatlichen Opioid-Response und fast 63 Millionen $ für den Tribal Opioid Response. Bellwethers Zuschuss unterstützte Naloxon, Behandlung, Prävention, Schadensminderung und Genesungsdienste, aber die Ausgaben mussten zum genehmigten Plan und den Berichtskategorien passen.</w:t>
      </w:r>
    </w:p>
    <w:p>
      <w:pPr>
        <w:pStyle w:val="BodyText"/>
      </w:pPr>
      <w:r>
        <w:t xml:space="preserve">Die Landesgesetzgebung finanzierte Lagerpersonal, Beschaffung und Teile des Datensystems. Mittel aus dem Opioid-Vergleich unterstützten mehrere Bezirksprogramme, aber die zulässigen Verwendungen und Genehmigungszeitpläne unterschieden sich. Eine Krankenhausstiftung bot 1 Million $ für die Apothekenverteilung und öffentliche Bildung an, jedoch nicht für Spritzentauschprogramme. Ein anderer Spender würde ländliche mobile Outreach-Arbeit nur unterstützen, wenn der Staat die Anzahl der geschulten Personen und der direkt an Einwohner ausgegebenen Kits dokumentierte.</w:t>
      </w:r>
    </w:p>
    <w:bookmarkStart w:id="17" w:name="X38b24fdff99c8101b1dabbcbea97cb13c358beb"/>
    <w:p>
      <w:pPr>
        <w:pStyle w:val="Heading2"/>
      </w:pPr>
      <w:r>
        <w:t xml:space="preserve">Anlage 4. Überprüfte Finanzierung für die Überdosis-Prävention</w:t>
      </w:r>
    </w:p>
    <w:tbl>
      <w:tblPr>
        <w:tblStyle w:val="Table"/>
        <w:tblW w:type="pct" w:w="4928"/>
        <w:tblLayout w:type="fixed"/>
        <w:tblLook w:firstRow="1" w:lastRow="0" w:firstColumn="0" w:lastColumn="0" w:noHBand="0" w:noVBand="0" w:val="0020"/>
      </w:tblPr>
      <w:tblGrid>
        <w:gridCol w:w="2108"/>
        <w:gridCol w:w="1025"/>
        <w:gridCol w:w="4672"/>
      </w:tblGrid>
      <w:tr>
        <w:trPr>
          <w:tblHeader w:val="on"/>
        </w:trPr>
        <w:tc>
          <w:tcPr/>
          <w:p>
            <w:pPr>
              <w:pStyle w:val="Compact"/>
              <w:jc w:val="left"/>
            </w:pPr>
            <w:r>
              <w:t xml:space="preserve">Quelle</w:t>
            </w:r>
          </w:p>
        </w:tc>
        <w:tc>
          <w:tcPr/>
          <w:p>
            <w:pPr>
              <w:pStyle w:val="Compact"/>
              <w:jc w:val="right"/>
            </w:pPr>
            <w:r>
              <w:t xml:space="preserve">Erwarteter Betrag</w:t>
            </w:r>
          </w:p>
        </w:tc>
        <w:tc>
          <w:tcPr/>
          <w:p>
            <w:pPr>
              <w:pStyle w:val="Compact"/>
              <w:jc w:val="center"/>
            </w:pPr>
            <w:r>
              <w:t xml:space="preserve">Zeitpunkt / Einschränkung</w:t>
            </w:r>
          </w:p>
        </w:tc>
      </w:tr>
      <w:tr>
        <w:tc>
          <w:tcPr/>
          <w:p>
            <w:pPr>
              <w:pStyle w:val="Compact"/>
              <w:jc w:val="left"/>
            </w:pPr>
            <w:r>
              <w:t xml:space="preserve">Bundeszuschuss für Opioid-Response</w:t>
            </w:r>
          </w:p>
        </w:tc>
        <w:tc>
          <w:tcPr/>
          <w:p>
            <w:pPr>
              <w:pStyle w:val="Compact"/>
              <w:jc w:val="right"/>
            </w:pPr>
            <w:r>
              <w:t xml:space="preserve">28,4 Millionen</w:t>
            </w:r>
            <w:r>
              <w:br/>
            </w:r>
          </w:p>
        </w:tc>
        <w:tc>
          <w:tcPr/>
          <w:p>
            <w:pPr>
              <w:pStyle w:val="Compact"/>
              <w:jc w:val="center"/>
            </w:pPr>
            <w:r>
              <w:t xml:space="preserve">$ Jährlicher Zuschuss; genehmigter Präventions-, Behandlungs-, Schadensminderungs- und Genesungsplan</w:t>
            </w:r>
          </w:p>
        </w:tc>
      </w:tr>
      <w:tr>
        <w:tc>
          <w:tcPr/>
          <w:p>
            <w:pPr>
              <w:pStyle w:val="Compact"/>
              <w:jc w:val="left"/>
            </w:pPr>
            <w:r>
              <w:t xml:space="preserve">Allgemeiner Landesfonds</w:t>
            </w:r>
          </w:p>
        </w:tc>
        <w:tc>
          <w:tcPr/>
          <w:p>
            <w:pPr>
              <w:pStyle w:val="Compact"/>
              <w:jc w:val="right"/>
            </w:pPr>
            <w:r>
              <w:t xml:space="preserve">9,6 Millionen $</w:t>
            </w:r>
          </w:p>
        </w:tc>
        <w:tc>
          <w:tcPr/>
          <w:p>
            <w:pPr>
              <w:pStyle w:val="Compact"/>
              <w:jc w:val="center"/>
            </w:pPr>
            <w:r>
              <w:t xml:space="preserve">Dreimonatige Überbrückung erlassen; Rest vorbehaltlich Haushaltsverhandlungen</w:t>
            </w:r>
          </w:p>
        </w:tc>
      </w:tr>
      <w:tr>
        <w:tc>
          <w:tcPr/>
          <w:p>
            <w:pPr>
              <w:pStyle w:val="Compact"/>
              <w:jc w:val="left"/>
            </w:pPr>
            <w:r>
              <w:t xml:space="preserve">Zuteilungen aus dem Opioid-Vergleich</w:t>
            </w:r>
          </w:p>
        </w:tc>
        <w:tc>
          <w:tcPr/>
          <w:p>
            <w:pPr>
              <w:pStyle w:val="Compact"/>
              <w:jc w:val="right"/>
            </w:pPr>
            <w:r>
              <w:t xml:space="preserve">7,8 Millionen $</w:t>
            </w:r>
          </w:p>
        </w:tc>
        <w:tc>
          <w:tcPr/>
          <w:p>
            <w:pPr>
              <w:pStyle w:val="Compact"/>
              <w:jc w:val="center"/>
            </w:pPr>
            <w:r>
              <w:t xml:space="preserve">Genehmigungen von Bezirk und Staat; mehrjährig, aber ungleichmäßige Freigabezeitpläne</w:t>
            </w:r>
          </w:p>
        </w:tc>
      </w:tr>
      <w:tr>
        <w:tc>
          <w:tcPr/>
          <w:p>
            <w:pPr>
              <w:pStyle w:val="Compact"/>
              <w:jc w:val="left"/>
            </w:pPr>
            <w:r>
              <w:t xml:space="preserve">Krankenhausstiftung</w:t>
            </w:r>
          </w:p>
        </w:tc>
        <w:tc>
          <w:tcPr/>
          <w:p>
            <w:pPr>
              <w:pStyle w:val="Compact"/>
              <w:jc w:val="right"/>
            </w:pPr>
            <w:r>
              <w:t xml:space="preserve">1,0 Millionen $</w:t>
            </w:r>
          </w:p>
        </w:tc>
        <w:tc>
          <w:tcPr/>
          <w:p>
            <w:pPr>
              <w:pStyle w:val="Compact"/>
              <w:jc w:val="center"/>
            </w:pPr>
            <w:r>
              <w:t xml:space="preserve">Nur Apothekenzugang und öffentliche Bildung</w:t>
            </w:r>
          </w:p>
        </w:tc>
      </w:tr>
      <w:tr>
        <w:tc>
          <w:tcPr/>
          <w:p>
            <w:pPr>
              <w:pStyle w:val="Compact"/>
              <w:jc w:val="left"/>
            </w:pPr>
            <w:r>
              <w:t xml:space="preserve">Ländliches Spenderkollektiv</w:t>
            </w:r>
          </w:p>
        </w:tc>
        <w:tc>
          <w:tcPr/>
          <w:p>
            <w:pPr>
              <w:pStyle w:val="Compact"/>
              <w:jc w:val="right"/>
            </w:pPr>
            <w:r>
              <w:t xml:space="preserve">0,7 Millionen $</w:t>
            </w:r>
          </w:p>
        </w:tc>
        <w:tc>
          <w:tcPr/>
          <w:p>
            <w:pPr>
              <w:pStyle w:val="Compact"/>
              <w:jc w:val="center"/>
            </w:pPr>
            <w:r>
              <w:t xml:space="preserve">Mobile Outreach-Arbeit; erfordert personenbezogene Aktivitätsberichterstattung</w:t>
            </w:r>
          </w:p>
        </w:tc>
      </w:tr>
      <w:tr>
        <w:tc>
          <w:tcPr/>
          <w:p>
            <w:pPr>
              <w:pStyle w:val="Compact"/>
              <w:jc w:val="left"/>
            </w:pPr>
            <w:r>
              <w:t xml:space="preserve">Medicaid- und Versichererrückerstattu</w:t>
            </w:r>
          </w:p>
        </w:tc>
        <w:tc>
          <w:tcPr/>
          <w:p>
            <w:pPr>
              <w:pStyle w:val="Compact"/>
              <w:jc w:val="right"/>
            </w:pPr>
            <w:r>
              <w:t xml:space="preserve">ng 2,3 Millionen</w:t>
            </w:r>
          </w:p>
        </w:tc>
        <w:tc>
          <w:tcPr/>
          <w:p>
            <w:pPr>
              <w:pStyle w:val="Compact"/>
              <w:jc w:val="center"/>
            </w:pPr>
            <w:r>
              <w:t xml:space="preserve">$ Hauptsächlich Behandlungsdienste; begrenzte Unterstützung für die Verteilung in der Gemeinschaft</w:t>
            </w:r>
          </w:p>
        </w:tc>
      </w:tr>
    </w:tbl>
    <w:p>
      <w:pPr>
        <w:pStyle w:val="BodyText"/>
      </w:pPr>
      <w:r>
        <w:t xml:space="preserve">Die Finanzabteilung schätzte, dass die 36.000 Kits, Schulungsmaterialien, Fracht und Handhabung 1,34 Millionen $ kosten würden. Die Behörde konnte bis zum Ende des Quartals zusätzlich 410.000 $ für Schulung und Kommunikation ausgeben. Die Finanzierung weiterer Peer-Erzieher würde den für Werbung und Datenerfassung verfügbaren Betrag verringern. Die Reservierung von Kits für spätere Notfälle würde vor einer Zunahme schützen, aber aktuelle Anfragen unerfüllt lassen.</w:t>
      </w:r>
    </w:p>
    <w:bookmarkEnd w:id="17"/>
    <w:bookmarkEnd w:id="18"/>
    <w:bookmarkStart w:id="20" w:name="vier-vorschläge"/>
    <w:p>
      <w:pPr>
        <w:pStyle w:val="Heading1"/>
      </w:pPr>
      <w:r>
        <w:t xml:space="preserve">Vier Vorschläge</w:t>
      </w:r>
    </w:p>
    <w:p>
      <w:pPr>
        <w:pStyle w:val="FirstParagraph"/>
      </w:pPr>
      <w:r>
        <w:t xml:space="preserve">Bis Freitagnachmittag hatte Ortiz’ Team vier Vorschläge entwickelt, von denen keiner alle Bedenken adressierte.</w:t>
      </w:r>
    </w:p>
    <w:p>
      <w:pPr>
        <w:pStyle w:val="BodyText"/>
      </w:pPr>
      <w:r>
        <w:t xml:space="preserve">Vorschlag A: Der aktuellen Belastung folgen. Die meisten Kits an Bezirke und Organisationen mit den größten jüngsten Überdosiszahlen und schnellsten Verteilungsraten zuteilen. Der Ansatz würde Kits schnell in Umlauf bringen, könnte aber bestehende geografische und organisatorische Vorteile verstärken.</w:t>
      </w:r>
    </w:p>
    <w:p>
      <w:pPr>
        <w:pStyle w:val="BodyText"/>
      </w:pPr>
      <w:r>
        <w:t xml:space="preserve">Vorschlag B: Zugangslücken schützen. Vorrang für ländliche Bezirke, indigene Programme, Gefängnisse, Notunterkünfte und andere Orte geben, an denen die Rettungsdienst-Reaktionszeit langsam war oder Menschen wenige Alternativen hatten. Der Plan könnte Gerechtigkeit und Verfügbarkeit verbessern, aber manche Empfänger hatten begrenzte Kapazitäten zur Schulung, Verteilung und Berichterstattung.</w:t>
      </w:r>
    </w:p>
    <w:p>
      <w:pPr>
        <w:pStyle w:val="BodyText"/>
      </w:pPr>
      <w:r>
        <w:t xml:space="preserve">Vorschlag C: Eine reaktionsfähige Reserve aufbauen. 27.000 Kits sofort verteilen und 9.000 für Bezirkslieferengpässe, aufkommende Brennpunkte, große öffentliche Veranstaltungen und Veränderungen im Drogenangebot zurückbehalten. Partner argumentierten, dass Kits in einem Lager keine Überdosis rückgängig machen könnten; Ortiz sorgte sich, dass die Verteilung von allem den Staat unfähig machen würde, auf neue Informationen zu reagieren.</w:t>
      </w:r>
    </w:p>
    <w:p>
      <w:pPr>
        <w:pStyle w:val="BodyText"/>
      </w:pPr>
      <w:r>
        <w:t xml:space="preserve">Vorschlag D: Kits an Lernen knüpfen. Ausgewählte Partner verpflichten, Verteilungsort, Empfängertyp, Schulungsmethode, Nachbestellung und gemeldete Verwendung zu erfassen. Der Staat würde Ansätze vergleichen und spätere Lieferungen auf die am effektivsten erscheinenden verlagern. Kleine Organisationen warnten, dass zusätzliche Berichterstattung die Verteilung verlangsamen, anonyme Empfänger abschrecken und Programme mit besseren Verwaltungssystemen begünstigen könnte statt solche mit besserem Zugang.</w:t>
      </w:r>
    </w:p>
    <w:bookmarkStart w:id="19" w:name="X064663aeb0035a77d93b3fd9b2f6a512ab68fae"/>
    <w:p>
      <w:pPr>
        <w:pStyle w:val="Heading2"/>
      </w:pPr>
      <w:r>
        <w:t xml:space="preserve">Anlage 5. Planungsfolgen alternativer Zuteilungen</w:t>
      </w:r>
    </w:p>
    <w:tbl>
      <w:tblPr>
        <w:tblStyle w:val="Table"/>
        <w:tblW w:type="pct" w:w="4923"/>
        <w:tblLayout w:type="fixed"/>
        <w:tblLook w:firstRow="1" w:lastRow="0" w:firstColumn="0" w:lastColumn="0" w:noHBand="0" w:noVBand="0" w:val="0020"/>
      </w:tblPr>
      <w:tblGrid>
        <w:gridCol w:w="1523"/>
        <w:gridCol w:w="1401"/>
        <w:gridCol w:w="609"/>
        <w:gridCol w:w="1644"/>
        <w:gridCol w:w="2619"/>
      </w:tblGrid>
      <w:tr>
        <w:trPr>
          <w:tblHeader w:val="on"/>
        </w:trPr>
        <w:tc>
          <w:tcPr/>
          <w:p>
            <w:pPr>
              <w:pStyle w:val="Compact"/>
              <w:jc w:val="left"/>
            </w:pPr>
            <w:r>
              <w:t xml:space="preserve">Plan</w:t>
            </w:r>
          </w:p>
        </w:tc>
        <w:tc>
          <w:tcPr/>
          <w:p>
            <w:pPr>
              <w:pStyle w:val="Compact"/>
              <w:jc w:val="left"/>
            </w:pPr>
            <w:r>
              <w:t xml:space="preserve">Jetzt verteilte Kits</w:t>
            </w:r>
          </w:p>
        </w:tc>
        <w:tc>
          <w:tcPr/>
          <w:p>
            <w:pPr>
              <w:pStyle w:val="Compact"/>
              <w:jc w:val="left"/>
            </w:pPr>
            <w:r>
              <w:t xml:space="preserve">Reserve</w:t>
            </w:r>
          </w:p>
        </w:tc>
        <w:tc>
          <w:tcPr/>
          <w:p>
            <w:pPr>
              <w:pStyle w:val="Compact"/>
              <w:jc w:val="left"/>
            </w:pPr>
            <w:r>
              <w:t xml:space="preserve">Schulungs-/Datenausgaben</w:t>
            </w:r>
          </w:p>
        </w:tc>
        <w:tc>
          <w:tcPr/>
          <w:p>
            <w:pPr>
              <w:pStyle w:val="Compact"/>
              <w:jc w:val="left"/>
            </w:pPr>
            <w:r>
              <w:t xml:space="preserve">Hauptrisiko</w:t>
            </w:r>
          </w:p>
        </w:tc>
      </w:tr>
      <w:tr>
        <w:tc>
          <w:tcPr/>
          <w:p>
            <w:pPr>
              <w:pStyle w:val="Compact"/>
              <w:jc w:val="left"/>
            </w:pPr>
            <w:r>
              <w:t xml:space="preserve">A. Aktuelle Belastung</w:t>
            </w:r>
          </w:p>
        </w:tc>
        <w:tc>
          <w:tcPr/>
          <w:p>
            <w:pPr>
              <w:pStyle w:val="Compact"/>
              <w:jc w:val="left"/>
            </w:pPr>
            <w:r>
              <w:t xml:space="preserve">34.000</w:t>
            </w:r>
          </w:p>
        </w:tc>
        <w:tc>
          <w:tcPr/>
          <w:p>
            <w:pPr>
              <w:pStyle w:val="Compact"/>
              <w:jc w:val="left"/>
            </w:pPr>
            <w:r>
              <w:t xml:space="preserve">2.000</w:t>
            </w:r>
          </w:p>
        </w:tc>
        <w:tc>
          <w:tcPr/>
          <w:p>
            <w:pPr>
              <w:pStyle w:val="Compact"/>
              <w:jc w:val="left"/>
            </w:pPr>
            <w:r>
              <w:t xml:space="preserve">260.000 $</w:t>
            </w:r>
          </w:p>
        </w:tc>
        <w:tc>
          <w:tcPr/>
          <w:p>
            <w:pPr>
              <w:pStyle w:val="Compact"/>
              <w:jc w:val="left"/>
            </w:pPr>
            <w:r>
              <w:t xml:space="preserve">Verpasste ländliche und aufkommende Bedürfnisse</w:t>
            </w:r>
          </w:p>
        </w:tc>
      </w:tr>
      <w:tr>
        <w:tc>
          <w:tcPr/>
          <w:p>
            <w:pPr>
              <w:pStyle w:val="Compact"/>
              <w:jc w:val="left"/>
            </w:pPr>
            <w:r>
              <w:t xml:space="preserve">B. Zugangslücken</w:t>
            </w:r>
          </w:p>
        </w:tc>
        <w:tc>
          <w:tcPr/>
          <w:p>
            <w:pPr>
              <w:pStyle w:val="Compact"/>
              <w:jc w:val="left"/>
            </w:pPr>
            <w:r>
              <w:t xml:space="preserve">33.000</w:t>
            </w:r>
          </w:p>
        </w:tc>
        <w:tc>
          <w:tcPr/>
          <w:p>
            <w:pPr>
              <w:pStyle w:val="Compact"/>
              <w:jc w:val="left"/>
            </w:pPr>
            <w:r>
              <w:t xml:space="preserve">3.000</w:t>
            </w:r>
          </w:p>
        </w:tc>
        <w:tc>
          <w:tcPr/>
          <w:p>
            <w:pPr>
              <w:pStyle w:val="Compact"/>
              <w:jc w:val="left"/>
            </w:pPr>
            <w:r>
              <w:t xml:space="preserve">330.000 $</w:t>
            </w:r>
          </w:p>
        </w:tc>
        <w:tc>
          <w:tcPr/>
          <w:p>
            <w:pPr>
              <w:pStyle w:val="Compact"/>
              <w:jc w:val="left"/>
            </w:pPr>
            <w:r>
              <w:t xml:space="preserve">Langsamere Verteilung und schwächere Berichterstattung</w:t>
            </w:r>
          </w:p>
        </w:tc>
      </w:tr>
      <w:tr>
        <w:tc>
          <w:tcPr/>
          <w:p>
            <w:pPr>
              <w:pStyle w:val="Compact"/>
              <w:jc w:val="left"/>
            </w:pPr>
            <w:r>
              <w:t xml:space="preserve">C. Reaktionsfähige Reserv</w:t>
            </w:r>
          </w:p>
        </w:tc>
        <w:tc>
          <w:tcPr/>
          <w:p>
            <w:pPr>
              <w:pStyle w:val="Compact"/>
              <w:jc w:val="left"/>
            </w:pPr>
            <w:r>
              <w:t xml:space="preserve">e 27.000</w:t>
            </w:r>
          </w:p>
        </w:tc>
        <w:tc>
          <w:tcPr/>
          <w:p>
            <w:pPr>
              <w:pStyle w:val="Compact"/>
              <w:jc w:val="left"/>
            </w:pPr>
            <w:r>
              <w:t xml:space="preserve">9.000</w:t>
            </w:r>
          </w:p>
        </w:tc>
        <w:tc>
          <w:tcPr/>
          <w:p>
            <w:pPr>
              <w:pStyle w:val="Compact"/>
              <w:jc w:val="left"/>
            </w:pPr>
            <w:r>
              <w:t xml:space="preserve">240.000 $</w:t>
            </w:r>
          </w:p>
        </w:tc>
        <w:tc>
          <w:tcPr/>
          <w:p>
            <w:pPr>
              <w:pStyle w:val="Compact"/>
              <w:jc w:val="left"/>
            </w:pPr>
            <w:r>
              <w:t xml:space="preserve">Bestand gehalten, während Partner rationieren</w:t>
            </w:r>
          </w:p>
        </w:tc>
      </w:tr>
      <w:tr>
        <w:tc>
          <w:tcPr/>
          <w:p>
            <w:pPr>
              <w:pStyle w:val="Compact"/>
              <w:jc w:val="left"/>
            </w:pPr>
            <w:r>
              <w:t xml:space="preserve">D. Lernbasierte Zuteilung</w:t>
            </w:r>
          </w:p>
        </w:tc>
        <w:tc>
          <w:tcPr/>
          <w:p>
            <w:pPr>
              <w:pStyle w:val="Compact"/>
              <w:jc w:val="left"/>
            </w:pPr>
            <w:r>
              <w:t xml:space="preserve">31.000</w:t>
            </w:r>
          </w:p>
        </w:tc>
        <w:tc>
          <w:tcPr/>
          <w:p>
            <w:pPr>
              <w:pStyle w:val="Compact"/>
              <w:jc w:val="left"/>
            </w:pPr>
            <w:r>
              <w:t xml:space="preserve">5.000</w:t>
            </w:r>
          </w:p>
        </w:tc>
        <w:tc>
          <w:tcPr/>
          <w:p>
            <w:pPr>
              <w:pStyle w:val="Compact"/>
              <w:jc w:val="left"/>
            </w:pPr>
            <w:r>
              <w:t xml:space="preserve">410.000 $</w:t>
            </w:r>
          </w:p>
        </w:tc>
        <w:tc>
          <w:tcPr/>
          <w:p>
            <w:pPr>
              <w:pStyle w:val="Compact"/>
              <w:jc w:val="left"/>
            </w:pPr>
            <w:r>
              <w:t xml:space="preserve">Verwaltungsaufwand und Selektionsverzerrung</w:t>
            </w:r>
          </w:p>
        </w:tc>
      </w:tr>
    </w:tbl>
    <w:p>
      <w:pPr>
        <w:pStyle w:val="BodyText"/>
      </w:pPr>
      <w:r>
        <w:t xml:space="preserve">Die Tabelle schätzte keine geretteten Leben. Dem Team fehlte eine belastbare Umrechnung von verteilten Kits zu mitgeführten Kits, miterlebten Überdosen, verabreichten Dosen, Überleben, vermiedenem Transport oder verringerten Krankenhauskosten. Selbst das Überleben nach Verabreichung konnte nicht vollständig dem Kit zugeschrieben werden, da Rettungsdienst-Reaktion, Rettungsatmung, die beteiligten Substanzen, Dosierung, Zeitpunkt und Gesundheitszustand der Person alle eine Rolle spielten.</w:t>
      </w:r>
    </w:p>
    <w:bookmarkEnd w:id="19"/>
    <w:bookmarkEnd w:id="20"/>
    <w:bookmarkStart w:id="21" w:name="montagmorgen"/>
    <w:p>
      <w:pPr>
        <w:pStyle w:val="Heading1"/>
      </w:pPr>
      <w:r>
        <w:t xml:space="preserve">Montagmorgen</w:t>
      </w:r>
    </w:p>
    <w:p>
      <w:pPr>
        <w:pStyle w:val="FirstParagraph"/>
      </w:pPr>
      <w:r>
        <w:t xml:space="preserve">Über das Wochenende meldete der Östliche Stadtkorridor neun vermutete Überdosen innerhalb von achtundvierzig Stunden, einschließlich zweier Todesfälle. Die toxikologische Bestätigung würde Wochen dauern. Ein westlicher Bezirk gab bekannt, dass seine einzige Schadensminderungs-Krankenschwester kündigen würde. Die südlichen Vororte boten an, Bestand zu verleihen, verlangten jedoch eine Erstattung für Personalzeit und Versand. Ein Direktor der indigenen Gesundheitsversorgung bat Ortiz, die Bezirkszuteilungsformel zu umgehen und Kits vor einem bevorstehenden Fest direkt an drei Gemeinschaftsstandorte zu senden.</w:t>
      </w:r>
    </w:p>
    <w:p>
      <w:pPr>
        <w:pStyle w:val="BodyText"/>
      </w:pPr>
      <w:r>
        <w:t xml:space="preserve">Ortiz musste nun nicht nur bestimmen, wohin die 36.000 Kits gehen würden, sondern auch, welche Bedingungen eine Änderung des Plans rechtfertigen würden. Sie konnte gemeldete Todesfälle, Rettungsdienstanrufe, Partnerbestandsniveaus, neue Verunreinigungen, ungewöhnlich große Cluster oder Belege dafür verwenden, dass Kits Personen, die wahrscheinlich Zeugen einer Überdosis würden, nicht erreichten. Jedes Signal hatte Verzögerungen und Lücken. Jede Umverteilung riskierte, einer Organisation, die Vorräte verlor, politisch zu erscheinen.</w:t>
      </w:r>
    </w:p>
    <w:p>
      <w:pPr>
        <w:pStyle w:val="BodyText"/>
      </w:pPr>
      <w:r>
        <w:t xml:space="preserve">Um 10:30 Uhr am Montag würde die Gesundheitskommissarin eine Empfehlung anfordern. Ortiz musste erklären, wie die Zuteilung Leben schützen, öffentliche Kosten begrenzen, unterversorgte Gemeinschaften erreichen und für Organisationen mit begrenztem Personal umsetzbar bleiben würde. Sie musste auch sagen, wie viele Informationen die Behörde von Partnern verlangen sollte, wenn Anonymität und Vertrauen Teil der erbrachten Dienstleistung waren.</w:t>
      </w:r>
    </w:p>
    <w:p>
      <w:pPr>
        <w:pStyle w:val="BodyText"/>
      </w:pPr>
      <w:r>
        <w:t xml:space="preserve">Die Lieferung war groß genug, um von Bedeutung zu sein, und zu klein, um jede Anfrage zu erfüllen. Der Staat konnte Kartons zählen, die das Lager verließen. Er konnte nicht leicht zählen, ob Naloxon am richtigen Ort vorhanden sein würde, ob jemand die Überdosis erkennen würde, ob er sie verabreichen würde, oder ob die nächste Lieferung eintreffen würde, bevor die lokalen Vorräte ausgingen.</w:t>
      </w:r>
    </w:p>
    <w:bookmarkEnd w:id="21"/>
    <w:bookmarkStart w:id="22" w:name="diskussionsfragen"/>
    <w:p>
      <w:pPr>
        <w:pStyle w:val="Heading1"/>
      </w:pPr>
      <w:r>
        <w:t xml:space="preserve">Diskussionsfragen</w:t>
      </w:r>
    </w:p>
    <w:p>
      <w:pPr>
        <w:numPr>
          <w:ilvl w:val="0"/>
          <w:numId w:val="1001"/>
        </w:numPr>
      </w:pPr>
      <w:r>
        <w:t xml:space="preserve">Was ist das zentrale Problem, mit dem Ortiz und die Bellwether Gesundheitsbehörde konfrontiert sind?</w:t>
      </w:r>
    </w:p>
    <w:p>
      <w:pPr>
        <w:numPr>
          <w:ilvl w:val="0"/>
          <w:numId w:val="1001"/>
        </w:numPr>
      </w:pPr>
      <w:r>
        <w:t xml:space="preserve">Welche Informationen in den Anlagen sollten bei der Zuteilung der 36.000 Kits am meisten Gewicht erhalten?</w:t>
      </w:r>
    </w:p>
    <w:p>
      <w:pPr>
        <w:numPr>
          <w:ilvl w:val="0"/>
          <w:numId w:val="1001"/>
        </w:numPr>
      </w:pPr>
      <w:r>
        <w:t xml:space="preserve">Wie sollte der Staat hochvolumige städtische Programme gegen ländliche und indigene Gemeinschaften mit längeren Notfall-Reaktionszeiten abwägen?</w:t>
      </w:r>
    </w:p>
    <w:p>
      <w:pPr>
        <w:numPr>
          <w:ilvl w:val="0"/>
          <w:numId w:val="1001"/>
        </w:numPr>
      </w:pPr>
      <w:r>
        <w:t xml:space="preserve">Sollte Bellwether eine zentrale Reserve behalten? Was sollte deren Freigabe auslösen?</w:t>
      </w:r>
    </w:p>
    <w:p>
      <w:pPr>
        <w:numPr>
          <w:ilvl w:val="0"/>
          <w:numId w:val="1001"/>
        </w:numPr>
      </w:pPr>
      <w:r>
        <w:t xml:space="preserve">Wie sollten Kits zwischen Schadensminderungsorganisationen, Ersthelfern, Behandlungsanbietern, Apotheken, Gefängnissen und anderen Gemeinschaftsorganisationen aufgeteilt werden?</w:t>
      </w:r>
    </w:p>
    <w:p>
      <w:pPr>
        <w:numPr>
          <w:ilvl w:val="0"/>
          <w:numId w:val="1001"/>
        </w:numPr>
      </w:pPr>
      <w:r>
        <w:t xml:space="preserve">Wie viel Schulung sollte die Verteilung begleiten, und wer sollte sie erhalten?</w:t>
      </w:r>
    </w:p>
    <w:p>
      <w:pPr>
        <w:numPr>
          <w:ilvl w:val="0"/>
          <w:numId w:val="1001"/>
        </w:numPr>
      </w:pPr>
      <w:r>
        <w:t xml:space="preserve">Welche Informationen sollten Partner melden müssen? Wann könnten Berichtspflichten den Zugang oder das Vertrauen verringern?</w:t>
      </w:r>
    </w:p>
    <w:p>
      <w:pPr>
        <w:numPr>
          <w:ilvl w:val="0"/>
          <w:numId w:val="1001"/>
        </w:numPr>
      </w:pPr>
      <w:r>
        <w:t xml:space="preserve">Wie sollte das sich verändernde illegale Drogenangebot die Zuteilungs- und Kommunikationspläne des Staates beeinflussen?</w:t>
      </w:r>
    </w:p>
    <w:p>
      <w:pPr>
        <w:numPr>
          <w:ilvl w:val="0"/>
          <w:numId w:val="1001"/>
        </w:numPr>
      </w:pPr>
      <w:r>
        <w:t xml:space="preserve">Wie sollten Einschränkungen, die an Bundes-, Landes-, Vergleichs- und Spenderfinanzierung geknüpft sind, den Betriebsplan gestalten?</w:t>
      </w:r>
    </w:p>
    <w:p>
      <w:pPr>
        <w:numPr>
          <w:ilvl w:val="0"/>
          <w:numId w:val="1001"/>
        </w:numPr>
      </w:pPr>
      <w:r>
        <w:t xml:space="preserve">Welche Belege nach drei oder sechs Monaten würden darauf hindeuten, dass die Zuteilung fortgesetzt, ausgeweitet oder neu gestaltet werden sollte?</w:t>
      </w:r>
    </w:p>
    <w:bookmarkEnd w:id="22"/>
    <w:bookmarkStart w:id="28"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3">
        <w:r>
          <w:rPr>
            <w:rStyle w:val="Hyperlink"/>
          </w:rPr>
          <w:t xml:space="preserve">Metrik-Pyramiden-Werkzeug</w:t>
        </w:r>
      </w:hyperlink>
      <w:r>
        <w:t xml:space="preserve">, um die verschiedenen Leistungsmetriken zu identifizieren und zu priorisieren. Klicken Sie auf das Oval, das die Metrik enthält, um zu bestimmen, ob es sich um eine zu maximierende Metrik (grün), eine zu minimierende (rot), ein Zielwert, der eine Untergrenze ist (hellgrün), oder eine Obergrenze (hellrot), oder schließlich einen Zielwert (violett) handelt.</w:t>
      </w:r>
    </w:p>
    <w:p>
      <w:pPr>
        <w:numPr>
          <w:ilvl w:val="0"/>
          <w:numId w:val="1002"/>
        </w:numPr>
      </w:pPr>
      <w:r>
        <w:t xml:space="preserve">Verwenden Sie das</w:t>
      </w:r>
      <w:r>
        <w:t xml:space="preserve"> </w:t>
      </w:r>
      <w:hyperlink r:id="rId24">
        <w:r>
          <w:rPr>
            <w:rStyle w:val="Hyperlink"/>
          </w:rPr>
          <w:t xml:space="preserve">Entscheidungspriorisierungs-Werkzeug</w:t>
        </w:r>
      </w:hyperlink>
      <w:r>
        <w:t xml:space="preserve">, um zunächst die verschiedenen Arten von Entscheidungen aufzulisten (verwenden Sie die</w:t>
      </w:r>
      <w:r>
        <w:t xml:space="preserve"> </w:t>
      </w:r>
      <w:hyperlink r:id="rId25">
        <w:r>
          <w:rPr>
            <w:rStyle w:val="Hyperlink"/>
          </w:rPr>
          <w:t xml:space="preserve">Arten von Entscheidungen</w:t>
        </w:r>
      </w:hyperlink>
      <w:r>
        <w:t xml:space="preserve"> </w:t>
      </w:r>
      <w:r>
        <w:t xml:space="preserve">als Leitfaden). Diese werden dann die Zeilen der Matrix rechts füllen, wobei die Spalten die Leistungsmetriken sind, sortiert von links nach rechts nach der Priorität in der obigen Pyramide. Klicken Sie auf jede Zelle, um anzugeben, ob die Auswirkung der Entscheidung auf jede Metrik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den größten Auswirkungen auf die wichtigsten Metriken oben stehen. Die Zellen in der oberen linken Ecke sollten die größte Konzentration an roten und orangefarbenen Zellen aufweisen. Identifizieren Sie an diesem Punkt die Entscheidungen, die in Ihrer Studie die meiste Aufmerksamkeit erhalten sollten. Wenn Sie keine Entscheidungen mit mittlerer oder hoher Auswirkung auf die wichtigsten Metriken haben, überarbeiten Sie Ihre Liste der Entscheidungen.</w:t>
      </w:r>
    </w:p>
    <w:p>
      <w:pPr>
        <w:numPr>
          <w:ilvl w:val="0"/>
          <w:numId w:val="1002"/>
        </w:numPr>
      </w:pPr>
      <w:r>
        <w:t xml:space="preserve">Wiederholen Sie den Prozess, um die Unsicherheiten mit dem</w:t>
      </w:r>
      <w:r>
        <w:t xml:space="preserve"> </w:t>
      </w:r>
      <w:hyperlink r:id="rId26">
        <w:r>
          <w:rPr>
            <w:rStyle w:val="Hyperlink"/>
          </w:rPr>
          <w:t xml:space="preserve">Unsicherheitspriorisierungs-Werkzeug</w:t>
        </w:r>
      </w:hyperlink>
      <w:r>
        <w:t xml:space="preserve"> </w:t>
      </w:r>
      <w:r>
        <w:t xml:space="preserve">aufzulisten und zu priorisieren. Verwenden Sie die</w:t>
      </w:r>
      <w:r>
        <w:t xml:space="preserve"> </w:t>
      </w:r>
      <w:hyperlink r:id="rId27">
        <w:r>
          <w:rPr>
            <w:rStyle w:val="Hyperlink"/>
          </w:rPr>
          <w:t xml:space="preserve">Kategorien von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über die Zeit erfasst?</w:t>
      </w:r>
    </w:p>
    <w:p>
      <w:pPr>
        <w:numPr>
          <w:ilvl w:val="1"/>
          <w:numId w:val="1003"/>
        </w:numPr>
      </w:pPr>
      <w:r>
        <w:t xml:space="preserve">Welche Unsicherheitsquellen stellen Formen von Risiko dar, die nicht angemessen durch Durchschnittswerte erfasst werden?</w:t>
      </w:r>
    </w:p>
    <w:p>
      <w:pPr>
        <w:numPr>
          <w:ilvl w:val="0"/>
          <w:numId w:val="1002"/>
        </w:numPr>
      </w:pPr>
      <w:r>
        <w:t xml:space="preserve">Wählen Sie die einzelne Entscheidung, die den größten Einfluss auf die wichtigste Metrik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aller Leistungsmetriken, bei denen die Entscheidung eine hohe oder mittlere Auswirkung hätte.</w:t>
      </w:r>
    </w:p>
    <w:p>
      <w:pPr>
        <w:numPr>
          <w:ilvl w:val="0"/>
          <w:numId w:val="1002"/>
        </w:numPr>
      </w:pPr>
      <w:r>
        <w:t xml:space="preserve">Identifizieren Sie anhand derselben in (7) identifizierten Entscheidung die Personen, Abteilungen, Gruppen oder Organisationen, mit denen Sie zusammenarbeiten müssten, um die Entscheidung umzusetzen.</w:t>
      </w:r>
    </w:p>
    <w:bookmarkEnd w:id="28"/>
    <w:bookmarkStart w:id="29" w:name="quellenangabe"/>
    <w:p>
      <w:pPr>
        <w:pStyle w:val="Heading1"/>
      </w:pPr>
      <w:r>
        <w:t xml:space="preserve">Quellenangabe</w:t>
      </w:r>
    </w:p>
    <w:p>
      <w:pPr>
        <w:pStyle w:val="FirstParagraph"/>
      </w:pPr>
      <w:r>
        <w:t xml:space="preserve">Die konzeptionelle Grundlage für diesen Fall ist der Abschnitt „Public health - Managing naloxone kits” aus Warren B. Powell,</w:t>
      </w:r>
      <w:r>
        <w:t xml:space="preserve"> </w:t>
      </w:r>
      <w:r>
        <w:rPr>
          <w:i/>
          <w:iCs/>
        </w:rPr>
        <w:t xml:space="preserve">Bridging Decision Problems, Volume I: Framing the Problem</w:t>
      </w:r>
      <w:r>
        <w:t xml:space="preserve">, Kapitel 2. Der Fall bettet die im Abschnitt behandelten Ergebnisse im Bereich der öffentlichen Gesundheit, die Zuteilungs- und Outreach-Entscheidungen, Finanzierungsfragen und unbekannten Nutzungsmuster in die Erzählung und die Anlagen ein, ohne sie als separate Analysekategorien zu kennzeichnen.</w:t>
      </w:r>
    </w:p>
    <w:p>
      <w:pPr>
        <w:pStyle w:val="BodyText"/>
      </w:pPr>
      <w:r>
        <w:t xml:space="preserve">Öffentliche Daten, die den Rahmen motivieren, umfassen endgültige CDC-Mortalitätsdaten, die 79.384 US-Drogenüberdosis-Todesfälle im Jahr 2024 sowie einen Rückgang der altersbereinigten Sterberate um 26,2 Prozent gegenüber 2023 berichten; vorläufige CDC-Schätzungen von 68.641 Todesfällen für die zwölf Monate bis Februar 2026, 12,1 Prozent unter dem Vorjahr; CDC-Apothekendaten, die über 1,5 Millionen abgegebene Naloxon-Rezepte im Jahr 2024 und erhebliche geografische Unterschiede berichten; sowie die Ankündigung der SAMHSA im September 2025 über 1,48 Milliarden $ an Fortsetzungszuschüssen für State Opioid Response und fast 63 Millionen $ für Tribal Opioid Response. CDC-Warnungen bezüglich Medetomidin im illegalen Fentanyl-Angebot informierten die Diskussion über sich verändernde Verunreinigungen. Alle Bellwether-Daten, Personen, Organisationen, Budgets und Ereignisse sind fiktiv.</w:t>
      </w:r>
    </w:p>
    <w:bookmarkEnd w:id="29"/>
    <w:bookmarkStart w:id="32" w:name="chatgpt-anmerkungen"/>
    <w:p>
      <w:pPr>
        <w:pStyle w:val="Heading1"/>
      </w:pPr>
      <w:r>
        <w:t xml:space="preserve">ChatGPT-Anmerkungen</w:t>
      </w:r>
    </w:p>
    <w:bookmarkStart w:id="30" w:name="prompt"/>
    <w:p>
      <w:pPr>
        <w:pStyle w:val="Heading2"/>
      </w:pPr>
      <w:r>
        <w:t xml:space="preserve">Prompt</w:t>
      </w:r>
    </w:p>
    <w:p>
      <w:pPr>
        <w:pStyle w:val="FirstParagraph"/>
      </w:pPr>
      <w:r>
        <w:t xml:space="preserve">Schreiben Sie eine 4-6-seitige Fallstudie basierend auf dem Material im Abschnitt unter https://warrenpowell.org/bridging-vol1/chapter-2/#public-health--managing-naloxone-kits. Erstellen Sie einen Kontext basierend auf den Metriken, Entscheidungen und Unsicherheiten im Abschnitt, ohne jedoch explizit darauf hinzuweisen. Motivieren Sie Ihr Fallproblem mit Daten.</w:t>
      </w:r>
    </w:p>
    <w:bookmarkEnd w:id="30"/>
    <w:bookmarkStart w:id="31" w:name="zusammenfassung"/>
    <w:p>
      <w:pPr>
        <w:pStyle w:val="Heading2"/>
      </w:pPr>
      <w:r>
        <w:t xml:space="preserve">Zusammenfassung</w:t>
      </w:r>
    </w:p>
    <w:p>
      <w:pPr>
        <w:pStyle w:val="FirstParagraph"/>
      </w:pPr>
      <w:r>
        <w:t xml:space="preserve">Der Fall befasst sich mit der Naloxon-Zuteilung über städtische, ländliche und indigene Gemeinschaften hinweg; der Verteilung über Ersthelfer, Schadensminderungsorganisationen, Krankenhäuser, Apotheken, Gefängnisse und Gemeinschaftsgruppen; Schulung und öffentliches Bewusstsein; sich verändernden Verunreinigungen im Drogenangebot; unsicherer Bundes- und Landesfinanzierung; Berichtspflichten; und der Frage, ob eine Notfallreserve vorgehalten werden sollte.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2026-09-11T16:03:40Z</dcterms:created>
  <dcterms:modified xsi:type="dcterms:W3CDTF">2026-09-11T16:03:40Z</dcterms:modified>
</cp:coreProperties>
</file>

<file path=docProps/custom.xml><?xml version="1.0" encoding="utf-8"?>
<Properties xmlns="http://schemas.openxmlformats.org/officeDocument/2006/custom-properties" xmlns:vt="http://schemas.openxmlformats.org/officeDocument/2006/docPropsVTypes"/>
</file>