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Blue River System Operator</w:t>
      </w:r>
    </w:p>
    <w:p>
      <w:pPr>
        <w:pStyle w:val="BodyText"/>
      </w:pPr>
      <w:r>
        <w:t xml:space="preserve">Die Zuverlässigkeitsentscheidung um 18:00 Uhr</w:t>
      </w:r>
    </w:p>
    <w:p>
      <w:pPr>
        <w:pStyle w:val="BodyText"/>
      </w:pPr>
      <w:r>
        <w:t xml:space="preserve">Dieser Fall ist fiktiv und für die Diskussion in der Lehre gedacht. Namen, Ereignisse, Fonds und interne Kennzahlen sind erfunden, obwohl das Branchenumfeld durch öffentliche Daten motiviert ist.</w:t>
      </w:r>
    </w:p>
    <w:p>
      <w:pPr>
        <w:pStyle w:val="BodyText"/>
      </w:pPr>
      <w:r>
        <w:rPr>
          <w:b/>
          <w:bCs/>
        </w:rPr>
        <w:t xml:space="preserve">Um 13:40 Uhr am 22. Juli studierte Elena Marquez, Chief Operating Officer des Blue River System Operator (BRSO), drei Bildschirme im regionalen Kontrollraum.</w:t>
      </w:r>
      <w:r>
        <w:t xml:space="preserve"> </w:t>
      </w:r>
      <w:r>
        <w:t xml:space="preserve">Einer zeigte eine Nachfrageprognose, die auf einen Rekordabendspitzenwert zusteuerte. Ein zweiter zeigte eine Front von Gewitterstürmen, die sich auf den westlichen Solarkorridor zubewegte. Der dritte zeigte eine Warnmeldung von Riverbend Unit 4, einem 720-Megawatt-Gas-und-Dampf-Kombikraftwerk, dessen Kühlsystem begonnen hatte, außerhalb seines normalen Bereichs zu vibrieren.</w:t>
      </w:r>
    </w:p>
    <w:p>
      <w:pPr>
        <w:pStyle w:val="BodyText"/>
      </w:pPr>
      <w:r>
        <w:t xml:space="preserve">BRSO koordinierte das Hochspannungsnetz, das 8,7 Millionen Menschen in den fiktiven Bundesstaaten Franklin, Monroe und Easton versorgte. Es besaß die meisten Generatoren oder Übertragungsleitungen nicht selbst. Stattdessen verpflichtete es Erzeugungseinheiten im Voraus, disponierte sie in Echtzeit, kaufte Strom aus benachbarten Regionen, hielt die Frequenz aufrecht und leitete Notfallmaßnahmen ein, wenn das Angebot die Nachfrage nicht sicher decken konnte.</w:t>
      </w:r>
    </w:p>
    <w:p>
      <w:pPr>
        <w:pStyle w:val="BodyText"/>
      </w:pPr>
      <w:r>
        <w:t xml:space="preserve">Die Abendspitze wurde gegen 18:00 Uhr erwartet, wenn Büros und Fabriken noch in Betrieb wären, Pendler nach Hause zurückkehrten und die Klimaanlagenlast hoch bliebe. Der Tag-im-Voraus-Plan ging von 7.900 MW Solarproduktion um 14:00 Uhr aus, die bis 19:00 Uhr auf 2.100 MW zurückgehen sollte. Er ging außerdem davon aus, dass Riverbend Unit 4 verfügbar bleiben würde. Falls die Bewölkung frühzeitig einträfe und Riverbend ausfiele, könnte die Betriebsreserve vor der Spitzenlast unter das Zielniveau von BRSO fallen.</w:t>
      </w:r>
    </w:p>
    <w:p>
      <w:pPr>
        <w:pStyle w:val="BodyText"/>
      </w:pPr>
      <w:r>
        <w:t xml:space="preserve">Marquez hatte unmittelbare Handlungsoptionen: Riverbend bitten, mit reduzierter Leistung online zu bleiben; zwei ältere ölbefeuerte Spitzenlastkraftwerke starten; Strom auf dem Fünf-Minuten-Markt kaufen; Batterien früher als geplant entladen; ein freiwilliges Demand-Response-Ereignis ausrufen; oder kontrollierte Versorgungsunterbrechungen für eine kleine Gruppe von Industriekunden vorbereiten. Jede Maßnahme veränderte die später am Tag verbleibenden Optionen. Die Batterien konnten in Sekunden reagieren, aber ihre gespeicherte Energie wäre nach vier Stunden erschöpft. Das Starten der Ölanlagen erforderte vierzig Minuten und würde hohe Betriebskosten und Emissionen verursachen. Importierter Strom schien verfügbar, doch benachbarte Regionen erlebten dieselbe Hitzewelle.</w:t>
      </w:r>
    </w:p>
    <w:bookmarkStart w:id="9" w:name="Xda255da0a1c0fd063931f764b5160b87c182223"/>
    <w:p>
      <w:pPr>
        <w:pStyle w:val="Heading1"/>
      </w:pPr>
      <w:r>
        <w:t xml:space="preserve">Ein Netz tritt in eine neue Wachstumsära ein</w:t>
      </w:r>
    </w:p>
    <w:p>
      <w:pPr>
        <w:pStyle w:val="FirstParagraph"/>
      </w:pPr>
      <w:r>
        <w:t xml:space="preserve">Fast zwei Jahrzehnte lang war der Stromverbrauch in den Vereinigten Staaten nur langsam gewachsen. Diese Annahme löste sich nun auf. Die U.S. Energy Information Administration berichtete, dass die Stromnachfrage von 2020 bis 2025 jährlich um etwa 1,7 Prozent wuchs, verglichen mit einem jährlichen Wachstum von nur rund 0,1 Prozent im vorangegangenen Jahrzehnt. Die EIA erwartete anhaltendes Wachstum, da Rechenzentren, verarbeitendes Gewerbe, Gebäudeelektrifizierung und andere Großverbraucher an das Netz angeschlossen wurden.</w:t>
      </w:r>
    </w:p>
    <w:p>
      <w:pPr>
        <w:pStyle w:val="BodyText"/>
      </w:pPr>
      <w:r>
        <w:t xml:space="preserve">Auch nordamerikanische Zuverlässigkeitsplaner hoben ihre Prognosen an. Die langfristige Einschätzung von NERC für 2025 prognostizierte, dass die sommerliche Spitzennachfrage über zehn Jahre um 224 GW wachsen könnte – mehr als 69 Prozent über dem nur ein Jahr zuvor erwarteten Anstieg. Neue Rechenzentren zur Unterstützung von künstlicher Intelligenz und der digitalen Wirtschaft waren für einen Großteil dieser Revision verantwortlich.</w:t>
      </w:r>
    </w:p>
    <w:p>
      <w:pPr>
        <w:pStyle w:val="BodyText"/>
      </w:pPr>
      <w:r>
        <w:t xml:space="preserve">Blue River erlebte diese Kräfte in konzentrierter Form. Seit 2023 waren drei Rechenzentrums-Campusse eröffnet worden. Sechs weitere Projekte mit insgesamt 4.600 MW angefragter Versorgungsleistung befanden sich in verschiedenen Prüfungsstadien. Manche würden nie gebaut werden, aber BRSO konnte das nicht einfach annehmen. Ein Stahlwerk erwog außerdem einen Wechsel von gasbefeuerten Öfen zu Elektrolichtbogentechnologie, während Haushalte Wärmepumpen und Elektrofahrzeuge installierten. Gleichzeitig gingen ältere Kohle- und Ölkraftwerke vom Netz, und die meisten vorgeschlagenen Ersatzkapazitäten bestanden aus Solar-, Wind- und Batterieanlagen, deren Verfügbarkeit je nach Stunde und Wetter schwankte.</w:t>
      </w:r>
    </w:p>
    <w:p>
      <w:pPr>
        <w:pStyle w:val="BodyText"/>
      </w:pPr>
      <w:r>
        <w:t xml:space="preserve">Exhibit 1. Nachfrage- und Ressourcenausblick für Blue River</w:t>
      </w:r>
    </w:p>
    <w:tbl>
      <w:tblPr>
        <w:tblStyle w:val="Table"/>
        <w:tblW w:type="pct" w:w="4907"/>
        <w:tblLayout w:type="fixed"/>
        <w:tblLook w:firstRow="1" w:lastRow="0" w:firstColumn="0" w:lastColumn="0" w:noHBand="0" w:noVBand="0" w:val="0020"/>
      </w:tblPr>
      <w:tblGrid>
        <w:gridCol w:w="2738"/>
        <w:gridCol w:w="1554"/>
        <w:gridCol w:w="1702"/>
        <w:gridCol w:w="1776"/>
      </w:tblGrid>
      <w:tr>
        <w:trPr>
          <w:tblHeader w:val="on"/>
        </w:trPr>
        <w:tc>
          <w:tcPr/>
          <w:p>
            <w:pPr>
              <w:pStyle w:val="Compact"/>
              <w:jc w:val="left"/>
            </w:pPr>
            <w:r>
              <w:t xml:space="preserve">Kennzahl</w:t>
            </w:r>
          </w:p>
        </w:tc>
        <w:tc>
          <w:tcPr/>
          <w:p>
            <w:pPr>
              <w:pStyle w:val="Compact"/>
              <w:jc w:val="center"/>
            </w:pPr>
            <w:r>
              <w:t xml:space="preserve">2022</w:t>
            </w:r>
          </w:p>
        </w:tc>
        <w:tc>
          <w:tcPr/>
          <w:p>
            <w:pPr>
              <w:pStyle w:val="Compact"/>
              <w:jc w:val="center"/>
            </w:pPr>
            <w:r>
              <w:t xml:space="preserve">Schätzung 2026</w:t>
            </w:r>
          </w:p>
        </w:tc>
        <w:tc>
          <w:tcPr/>
          <w:p>
            <w:pPr>
              <w:pStyle w:val="Compact"/>
              <w:jc w:val="center"/>
            </w:pPr>
            <w:r>
              <w:t xml:space="preserve">Planungsfall 2031</w:t>
            </w:r>
          </w:p>
        </w:tc>
      </w:tr>
      <w:tr>
        <w:tc>
          <w:tcPr/>
          <w:p>
            <w:pPr>
              <w:pStyle w:val="Compact"/>
              <w:jc w:val="left"/>
            </w:pPr>
            <w:r>
              <w:t xml:space="preserve">Jährlicher Stromverbrauch (TWh)</w:t>
            </w:r>
          </w:p>
        </w:tc>
        <w:tc>
          <w:tcPr/>
          <w:p>
            <w:pPr>
              <w:pStyle w:val="Compact"/>
              <w:jc w:val="center"/>
            </w:pPr>
            <w:r>
              <w:t xml:space="preserve">142</w:t>
            </w:r>
          </w:p>
        </w:tc>
        <w:tc>
          <w:tcPr/>
          <w:p>
            <w:pPr>
              <w:pStyle w:val="Compact"/>
              <w:jc w:val="center"/>
            </w:pPr>
            <w:r>
              <w:t xml:space="preserve">157</w:t>
            </w:r>
          </w:p>
        </w:tc>
        <w:tc>
          <w:tcPr/>
          <w:p>
            <w:pPr>
              <w:pStyle w:val="Compact"/>
              <w:jc w:val="center"/>
            </w:pPr>
            <w:r>
              <w:t xml:space="preserve">190</w:t>
            </w:r>
          </w:p>
        </w:tc>
      </w:tr>
      <w:tr>
        <w:tc>
          <w:tcPr/>
          <w:p>
            <w:pPr>
              <w:pStyle w:val="Compact"/>
              <w:jc w:val="left"/>
            </w:pPr>
            <w:r>
              <w:t xml:space="preserve">Sommerspitzenlast (MW)</w:t>
            </w:r>
          </w:p>
        </w:tc>
        <w:tc>
          <w:tcPr/>
          <w:p>
            <w:pPr>
              <w:pStyle w:val="Compact"/>
              <w:jc w:val="center"/>
            </w:pPr>
            <w:r>
              <w:t xml:space="preserve">24.800</w:t>
            </w:r>
          </w:p>
        </w:tc>
        <w:tc>
          <w:tcPr/>
          <w:p>
            <w:pPr>
              <w:pStyle w:val="Compact"/>
              <w:jc w:val="center"/>
            </w:pPr>
            <w:r>
              <w:t xml:space="preserve">28.900</w:t>
            </w:r>
          </w:p>
        </w:tc>
        <w:tc>
          <w:tcPr/>
          <w:p>
            <w:pPr>
              <w:pStyle w:val="Compact"/>
              <w:jc w:val="center"/>
            </w:pPr>
            <w:r>
              <w:t xml:space="preserve">36.500</w:t>
            </w:r>
          </w:p>
        </w:tc>
      </w:tr>
      <w:tr>
        <w:tc>
          <w:tcPr/>
          <w:p>
            <w:pPr>
              <w:pStyle w:val="Compact"/>
              <w:jc w:val="left"/>
            </w:pPr>
            <w:r>
              <w:t xml:space="preserve">Spitzenlast Rechenzentren (MW)</w:t>
            </w:r>
          </w:p>
        </w:tc>
        <w:tc>
          <w:tcPr/>
          <w:p>
            <w:pPr>
              <w:pStyle w:val="Compact"/>
              <w:jc w:val="center"/>
            </w:pPr>
            <w:r>
              <w:t xml:space="preserve">650</w:t>
            </w:r>
          </w:p>
        </w:tc>
        <w:tc>
          <w:tcPr/>
          <w:p>
            <w:pPr>
              <w:pStyle w:val="Compact"/>
              <w:jc w:val="center"/>
            </w:pPr>
            <w:r>
              <w:t xml:space="preserve">2.750</w:t>
            </w:r>
          </w:p>
        </w:tc>
        <w:tc>
          <w:tcPr/>
          <w:p>
            <w:pPr>
              <w:pStyle w:val="Compact"/>
              <w:jc w:val="center"/>
            </w:pPr>
            <w:r>
              <w:t xml:space="preserve">7.200</w:t>
            </w:r>
          </w:p>
        </w:tc>
      </w:tr>
      <w:tr>
        <w:tc>
          <w:tcPr/>
          <w:p>
            <w:pPr>
              <w:pStyle w:val="Compact"/>
              <w:jc w:val="left"/>
            </w:pPr>
            <w:r>
              <w:t xml:space="preserve">Disponierbare thermische Kapazität (M</w:t>
            </w:r>
          </w:p>
        </w:tc>
        <w:tc>
          <w:tcPr/>
          <w:p>
            <w:pPr>
              <w:pStyle w:val="Compact"/>
              <w:jc w:val="center"/>
            </w:pPr>
            <w:r>
              <w:t xml:space="preserve">W) 21.400</w:t>
            </w:r>
          </w:p>
        </w:tc>
        <w:tc>
          <w:tcPr/>
          <w:p>
            <w:pPr>
              <w:pStyle w:val="Compact"/>
              <w:jc w:val="center"/>
            </w:pPr>
            <w:r>
              <w:t xml:space="preserve">19.900</w:t>
            </w:r>
          </w:p>
        </w:tc>
        <w:tc>
          <w:tcPr/>
          <w:p>
            <w:pPr>
              <w:pStyle w:val="Compact"/>
              <w:jc w:val="center"/>
            </w:pPr>
            <w:r>
              <w:t xml:space="preserve">18.100</w:t>
            </w:r>
          </w:p>
        </w:tc>
      </w:tr>
      <w:tr>
        <w:tc>
          <w:tcPr/>
          <w:p>
            <w:pPr>
              <w:pStyle w:val="Compact"/>
              <w:jc w:val="left"/>
            </w:pPr>
            <w:r>
              <w:t xml:space="preserve">Batterieleistung / -energie</w:t>
            </w:r>
          </w:p>
        </w:tc>
        <w:tc>
          <w:tcPr/>
          <w:p>
            <w:pPr>
              <w:pStyle w:val="Compact"/>
              <w:jc w:val="center"/>
            </w:pPr>
            <w:r>
              <w:t xml:space="preserve">450 MW / 1.000 MWh</w:t>
            </w:r>
          </w:p>
        </w:tc>
        <w:tc>
          <w:tcPr/>
          <w:p>
            <w:pPr>
              <w:pStyle w:val="Compact"/>
              <w:jc w:val="center"/>
            </w:pPr>
            <w:r>
              <w:t xml:space="preserve">2.250 MW / 7.200 MWh</w:t>
            </w:r>
          </w:p>
        </w:tc>
        <w:tc>
          <w:tcPr/>
          <w:p>
            <w:pPr>
              <w:pStyle w:val="Compact"/>
              <w:jc w:val="center"/>
            </w:pPr>
            <w:r>
              <w:t xml:space="preserve">5.100 MW / 20.400 MWh</w:t>
            </w:r>
          </w:p>
        </w:tc>
      </w:tr>
    </w:tbl>
    <w:p>
      <w:pPr>
        <w:pStyle w:val="BodyText"/>
      </w:pPr>
      <w:r>
        <w:t xml:space="preserve">Alle Zahlen für Blue River sind fiktiv. Die installierte Nennkapazität erneuerbarer Energien entspricht nicht der während der Systemspitze verfügbaren Leistung.</w:t>
      </w:r>
    </w:p>
    <w:bookmarkEnd w:id="9"/>
    <w:bookmarkStart w:id="10" w:name="das-tägliche-betriebsrätsel"/>
    <w:p>
      <w:pPr>
        <w:pStyle w:val="Heading1"/>
      </w:pPr>
      <w:r>
        <w:t xml:space="preserve">Das tägliche Betriebsrätsel</w:t>
      </w:r>
    </w:p>
    <w:p>
      <w:pPr>
        <w:pStyle w:val="FirstParagraph"/>
      </w:pPr>
      <w:r>
        <w:t xml:space="preserve">Jeden Nachmittag verpflichtete BRSO ausreichend Erzeugungskapazität für den folgenden Tag. Große Kernkraftwerke liefen im Allgemeinen kontinuierlich. Kohle- und Dampfkraftwerke benötigten viele Stunden zum Anfahren und konnten ihre Leistung nicht schnell ändern. Gas-und-Dampf-Kombikraftwerke waren flexibler, hingen aber von Pipelinekapazität und Gaspreisen ab. Einfach-Zyklus-Turbinen konnten schnell starten, waren aber teuer. Wind und Solar hatten niedrige Betriebskosten, aber BRSO konnte dem Wind nicht befehlen zu wehen oder verhindern, dass eine Wolkenbank über ein Solarfeld zog.</w:t>
      </w:r>
    </w:p>
    <w:p>
      <w:pPr>
        <w:pStyle w:val="BodyText"/>
      </w:pPr>
      <w:r>
        <w:t xml:space="preserve">In Echtzeit mussten die Systembetreiber Stromangebot und -nachfrage in nahezu perfektem Gleichgewicht halten. Eine Diskrepanz konnte dazu führen, dass die Frequenz von 60 Hertz abwich, was möglicherweise Geräte beschädigte oder automatische Abschaltungen auslöste. Dispositionsanweisungen und Marktpreise wurden alle fünf Minuten aktualisiert, während Regelressourcen die Leistung alle paar Sekunden anpassten. Übertragungsengpässe komplizierten die Lage: Preisgünstiger Strom im Norden konnte die südlichen Lastzentren nicht immer erreichen, da zwei wichtige Leitungen sich ihren thermischen Grenzen näherten.</w:t>
      </w:r>
    </w:p>
    <w:p>
      <w:pPr>
        <w:pStyle w:val="BodyText"/>
      </w:pPr>
      <w:r>
        <w:t xml:space="preserve">Auch die Nachfrageprognose war selbst ein bewegliches Ziel. Ein Ein-Grad-Fehler in der Abendtemperaturprognose konnte die Spitzennachfrage um etwa 280 MW verändern. Bewölkung konnte gleichzeitig die Solarproduktion verringern und die Klimaanlagennachfrage senken, jedoch nicht immer an denselben Orten. Ein großes Sportereignis konnte innerhalb von Minuten Hunderte von Megawatt verschieben, wenn Zuschauer nach Hause zurückkehrten. Industriekunden konnten den Verbrauch bei Aufforderung reduzieren, aber ihre Reaktion hing von Produktionsverpflichtungen, Personalausstattung und der Anreizzahlung ab.</w:t>
      </w:r>
    </w:p>
    <w:p>
      <w:pPr>
        <w:pStyle w:val="BodyText"/>
      </w:pPr>
      <w:r>
        <w:t xml:space="preserve">Exhibit 2. Betriebsposition für den 22. Juli, 18:00 Uhr</w:t>
      </w:r>
    </w:p>
    <w:tbl>
      <w:tblPr>
        <w:tblStyle w:val="Table"/>
        <w:tblW w:type="pct" w:w="4917"/>
        <w:tblLayout w:type="fixed"/>
        <w:tblLook w:firstRow="1" w:lastRow="0" w:firstColumn="0" w:lastColumn="0" w:noHBand="0" w:noVBand="0" w:val="0020"/>
      </w:tblPr>
      <w:tblGrid>
        <w:gridCol w:w="2376"/>
        <w:gridCol w:w="1188"/>
        <w:gridCol w:w="1254"/>
        <w:gridCol w:w="2970"/>
      </w:tblGrid>
      <w:tr>
        <w:trPr>
          <w:tblHeader w:val="on"/>
        </w:trPr>
        <w:tc>
          <w:tcPr/>
          <w:p>
            <w:pPr>
              <w:pStyle w:val="Compact"/>
              <w:jc w:val="left"/>
            </w:pPr>
            <w:r>
              <w:t xml:space="preserve">Ressource oder Anforderung</w:t>
            </w:r>
          </w:p>
        </w:tc>
        <w:tc>
          <w:tcPr/>
          <w:p>
            <w:pPr>
              <w:pStyle w:val="Compact"/>
              <w:jc w:val="center"/>
            </w:pPr>
            <w:r>
              <w:t xml:space="preserve">Erwartete MW</w:t>
            </w:r>
          </w:p>
        </w:tc>
        <w:tc>
          <w:tcPr/>
          <w:p>
            <w:pPr>
              <w:pStyle w:val="Compact"/>
              <w:jc w:val="right"/>
            </w:pPr>
            <w:r>
              <w:t xml:space="preserve">Ungünstigster F</w:t>
            </w:r>
          </w:p>
        </w:tc>
        <w:tc>
          <w:tcPr/>
          <w:p>
            <w:pPr>
              <w:pStyle w:val="Compact"/>
              <w:jc w:val="left"/>
            </w:pPr>
            <w:r>
              <w:t xml:space="preserve">all MW Betriebliche Erwägung</w:t>
            </w:r>
          </w:p>
        </w:tc>
      </w:tr>
      <w:tr>
        <w:tc>
          <w:tcPr/>
          <w:p>
            <w:pPr>
              <w:pStyle w:val="Compact"/>
              <w:jc w:val="left"/>
            </w:pPr>
            <w:r>
              <w:t xml:space="preserve">Kundennachfrage</w:t>
            </w:r>
          </w:p>
        </w:tc>
        <w:tc>
          <w:tcPr/>
          <w:p>
            <w:pPr>
              <w:pStyle w:val="Compact"/>
              <w:jc w:val="center"/>
            </w:pPr>
            <w:r>
              <w:t xml:space="preserve">30.850</w:t>
            </w:r>
          </w:p>
        </w:tc>
        <w:tc>
          <w:tcPr/>
          <w:p>
            <w:pPr>
              <w:pStyle w:val="Compact"/>
              <w:jc w:val="right"/>
            </w:pPr>
            <w:r>
              <w:t xml:space="preserve">31.700</w:t>
            </w:r>
          </w:p>
        </w:tc>
        <w:tc>
          <w:tcPr/>
          <w:p>
            <w:pPr>
              <w:pStyle w:val="Compact"/>
              <w:jc w:val="left"/>
            </w:pPr>
            <w:r>
              <w:t xml:space="preserve">Temperatur und Luftfeuchtigkeit bleiben unsicher</w:t>
            </w:r>
          </w:p>
        </w:tc>
      </w:tr>
      <w:tr>
        <w:tc>
          <w:tcPr/>
          <w:p>
            <w:pPr>
              <w:pStyle w:val="Compact"/>
              <w:jc w:val="left"/>
            </w:pPr>
            <w:r>
              <w:t xml:space="preserve">Kernkraft und Must-Run-Erzeugung</w:t>
            </w:r>
          </w:p>
        </w:tc>
        <w:tc>
          <w:tcPr/>
          <w:p>
            <w:pPr>
              <w:pStyle w:val="Compact"/>
              <w:jc w:val="center"/>
            </w:pPr>
            <w:r>
              <w:t xml:space="preserve">5.900</w:t>
            </w:r>
          </w:p>
        </w:tc>
        <w:tc>
          <w:tcPr/>
          <w:p>
            <w:pPr>
              <w:pStyle w:val="Compact"/>
              <w:jc w:val="right"/>
            </w:pPr>
            <w:r>
              <w:t xml:space="preserve">5.900</w:t>
            </w:r>
          </w:p>
        </w:tc>
        <w:tc>
          <w:tcPr/>
          <w:p>
            <w:pPr>
              <w:pStyle w:val="Compact"/>
              <w:jc w:val="left"/>
            </w:pPr>
            <w:r>
              <w:t xml:space="preserve">Geringe kurzfristige Flexibilität</w:t>
            </w:r>
          </w:p>
        </w:tc>
      </w:tr>
      <w:tr>
        <w:tc>
          <w:tcPr/>
          <w:p>
            <w:pPr>
              <w:pStyle w:val="Compact"/>
              <w:jc w:val="left"/>
            </w:pPr>
            <w:r>
              <w:t xml:space="preserve">Kohle- und Dampferzeugung</w:t>
            </w:r>
          </w:p>
        </w:tc>
        <w:tc>
          <w:tcPr/>
          <w:p>
            <w:pPr>
              <w:pStyle w:val="Compact"/>
              <w:jc w:val="center"/>
            </w:pPr>
            <w:r>
              <w:t xml:space="preserve">4.850</w:t>
            </w:r>
          </w:p>
        </w:tc>
        <w:tc>
          <w:tcPr/>
          <w:p>
            <w:pPr>
              <w:pStyle w:val="Compact"/>
              <w:jc w:val="right"/>
            </w:pPr>
            <w:r>
              <w:t xml:space="preserve">4.550</w:t>
            </w:r>
          </w:p>
        </w:tc>
        <w:tc>
          <w:tcPr/>
          <w:p>
            <w:pPr>
              <w:pStyle w:val="Compact"/>
              <w:jc w:val="left"/>
            </w:pPr>
            <w:r>
              <w:t xml:space="preserve">Eine Einheit hat Bedenken bezüglich der Kesseltemperatur</w:t>
            </w:r>
          </w:p>
        </w:tc>
      </w:tr>
      <w:tr>
        <w:tc>
          <w:tcPr/>
          <w:p>
            <w:pPr>
              <w:pStyle w:val="Compact"/>
              <w:jc w:val="left"/>
            </w:pPr>
            <w:r>
              <w:t xml:space="preserve">Gas-Kombikraftwerke</w:t>
            </w:r>
          </w:p>
        </w:tc>
        <w:tc>
          <w:tcPr/>
          <w:p>
            <w:pPr>
              <w:pStyle w:val="Compact"/>
              <w:jc w:val="center"/>
            </w:pPr>
            <w:r>
              <w:t xml:space="preserve">8.300</w:t>
            </w:r>
          </w:p>
        </w:tc>
        <w:tc>
          <w:tcPr/>
          <w:p>
            <w:pPr>
              <w:pStyle w:val="Compact"/>
              <w:jc w:val="right"/>
            </w:pPr>
            <w:r>
              <w:t xml:space="preserve">7.580</w:t>
            </w:r>
          </w:p>
        </w:tc>
        <w:tc>
          <w:tcPr/>
          <w:p>
            <w:pPr>
              <w:pStyle w:val="Compact"/>
              <w:jc w:val="left"/>
            </w:pPr>
            <w:r>
              <w:t xml:space="preserve">Enthält Riverbend Unit 4</w:t>
            </w:r>
          </w:p>
        </w:tc>
      </w:tr>
      <w:tr>
        <w:tc>
          <w:tcPr/>
          <w:p>
            <w:pPr>
              <w:pStyle w:val="Compact"/>
              <w:jc w:val="left"/>
            </w:pPr>
            <w:r>
              <w:t xml:space="preserve">Schnellstart-Gas und -Öl</w:t>
            </w:r>
          </w:p>
        </w:tc>
        <w:tc>
          <w:tcPr/>
          <w:p>
            <w:pPr>
              <w:pStyle w:val="Compact"/>
              <w:jc w:val="center"/>
            </w:pPr>
            <w:r>
              <w:t xml:space="preserve">1.850</w:t>
            </w:r>
          </w:p>
        </w:tc>
        <w:tc>
          <w:tcPr/>
          <w:p>
            <w:pPr>
              <w:pStyle w:val="Compact"/>
              <w:jc w:val="right"/>
            </w:pPr>
            <w:r>
              <w:t xml:space="preserve">1.850</w:t>
            </w:r>
          </w:p>
        </w:tc>
        <w:tc>
          <w:tcPr/>
          <w:p>
            <w:pPr>
              <w:pStyle w:val="Compact"/>
              <w:jc w:val="left"/>
            </w:pPr>
            <w:r>
              <w:t xml:space="preserve">Hohe Kosten; 20–60 Minuten Anfahrzeit</w:t>
            </w:r>
          </w:p>
        </w:tc>
      </w:tr>
      <w:tr>
        <w:tc>
          <w:tcPr/>
          <w:p>
            <w:pPr>
              <w:pStyle w:val="Compact"/>
              <w:jc w:val="left"/>
            </w:pPr>
            <w:r>
              <w:t xml:space="preserve">Wind</w:t>
            </w:r>
          </w:p>
        </w:tc>
        <w:tc>
          <w:tcPr/>
          <w:p>
            <w:pPr>
              <w:pStyle w:val="Compact"/>
              <w:jc w:val="center"/>
            </w:pPr>
            <w:r>
              <w:t xml:space="preserve">3.050</w:t>
            </w:r>
          </w:p>
        </w:tc>
        <w:tc>
          <w:tcPr/>
          <w:p>
            <w:pPr>
              <w:pStyle w:val="Compact"/>
              <w:jc w:val="right"/>
            </w:pPr>
            <w:r>
              <w:t xml:space="preserve">2.200</w:t>
            </w:r>
          </w:p>
        </w:tc>
        <w:tc>
          <w:tcPr/>
          <w:p>
            <w:pPr>
              <w:pStyle w:val="Compact"/>
              <w:jc w:val="left"/>
            </w:pPr>
            <w:r>
              <w:t xml:space="preserve">Front könnte Leistung vor der Spitze reduzieren</w:t>
            </w:r>
          </w:p>
        </w:tc>
      </w:tr>
      <w:tr>
        <w:tc>
          <w:tcPr/>
          <w:p>
            <w:pPr>
              <w:pStyle w:val="Compact"/>
              <w:jc w:val="left"/>
            </w:pPr>
            <w:r>
              <w:t xml:space="preserve">Solar</w:t>
            </w:r>
          </w:p>
        </w:tc>
        <w:tc>
          <w:tcPr/>
          <w:p>
            <w:pPr>
              <w:pStyle w:val="Compact"/>
              <w:jc w:val="center"/>
            </w:pPr>
            <w:r>
              <w:t xml:space="preserve">3.600</w:t>
            </w:r>
          </w:p>
        </w:tc>
        <w:tc>
          <w:tcPr/>
          <w:p>
            <w:pPr>
              <w:pStyle w:val="Compact"/>
              <w:jc w:val="right"/>
            </w:pPr>
            <w:r>
              <w:t xml:space="preserve">2.300</w:t>
            </w:r>
          </w:p>
        </w:tc>
        <w:tc>
          <w:tcPr/>
          <w:p>
            <w:pPr>
              <w:pStyle w:val="Compact"/>
              <w:jc w:val="left"/>
            </w:pPr>
            <w:r>
              <w:t xml:space="preserve">Gewitter könnten früher eintreffen</w:t>
            </w:r>
          </w:p>
        </w:tc>
      </w:tr>
      <w:tr>
        <w:tc>
          <w:tcPr/>
          <w:p>
            <w:pPr>
              <w:pStyle w:val="Compact"/>
              <w:jc w:val="left"/>
            </w:pPr>
            <w:r>
              <w:t xml:space="preserve">Wasserkraft und Importe</w:t>
            </w:r>
          </w:p>
        </w:tc>
        <w:tc>
          <w:tcPr/>
          <w:p>
            <w:pPr>
              <w:pStyle w:val="Compact"/>
              <w:jc w:val="center"/>
            </w:pPr>
            <w:r>
              <w:t xml:space="preserve">2.150</w:t>
            </w:r>
          </w:p>
        </w:tc>
        <w:tc>
          <w:tcPr/>
          <w:p>
            <w:pPr>
              <w:pStyle w:val="Compact"/>
              <w:jc w:val="right"/>
            </w:pPr>
            <w:r>
              <w:t xml:space="preserve">1.750</w:t>
            </w:r>
          </w:p>
        </w:tc>
        <w:tc>
          <w:tcPr/>
          <w:p>
            <w:pPr>
              <w:pStyle w:val="Compact"/>
              <w:jc w:val="left"/>
            </w:pPr>
            <w:r>
              <w:t xml:space="preserve">Auch benachbarte Regionen sind angespannt</w:t>
            </w:r>
          </w:p>
        </w:tc>
      </w:tr>
      <w:tr>
        <w:tc>
          <w:tcPr/>
          <w:p>
            <w:pPr>
              <w:pStyle w:val="Compact"/>
              <w:jc w:val="left"/>
            </w:pPr>
            <w:r>
              <w:t xml:space="preserve">Verfügbare Batterieentladung</w:t>
            </w:r>
          </w:p>
        </w:tc>
        <w:tc>
          <w:tcPr/>
          <w:p>
            <w:pPr>
              <w:pStyle w:val="Compact"/>
              <w:jc w:val="center"/>
            </w:pPr>
            <w:r>
              <w:t xml:space="preserve">1.650</w:t>
            </w:r>
          </w:p>
        </w:tc>
        <w:tc>
          <w:tcPr/>
          <w:p>
            <w:pPr>
              <w:pStyle w:val="Compact"/>
              <w:jc w:val="right"/>
            </w:pPr>
            <w:r>
              <w:t xml:space="preserve">1.650</w:t>
            </w:r>
          </w:p>
        </w:tc>
        <w:tc>
          <w:tcPr/>
          <w:p>
            <w:pPr>
              <w:pStyle w:val="Compact"/>
              <w:jc w:val="left"/>
            </w:pPr>
            <w:r>
              <w:t xml:space="preserve">Maximal vier Stunden Dauer</w:t>
            </w:r>
          </w:p>
        </w:tc>
      </w:tr>
      <w:tr>
        <w:tc>
          <w:tcPr/>
          <w:p>
            <w:pPr>
              <w:pStyle w:val="Compact"/>
              <w:jc w:val="left"/>
            </w:pPr>
            <w:r>
              <w:t xml:space="preserve">Vertraglich vereinbarte Demand Respo</w:t>
            </w:r>
          </w:p>
        </w:tc>
        <w:tc>
          <w:tcPr/>
          <w:p>
            <w:pPr>
              <w:pStyle w:val="Compact"/>
              <w:jc w:val="center"/>
            </w:pPr>
            <w:r>
              <w:t xml:space="preserve">nse 900</w:t>
            </w:r>
          </w:p>
        </w:tc>
        <w:tc>
          <w:tcPr/>
          <w:p>
            <w:pPr>
              <w:pStyle w:val="Compact"/>
              <w:jc w:val="right"/>
            </w:pPr>
            <w:r>
              <w:t xml:space="preserve">550</w:t>
            </w:r>
          </w:p>
        </w:tc>
        <w:tc>
          <w:tcPr/>
          <w:p>
            <w:pPr>
              <w:pStyle w:val="Compact"/>
              <w:jc w:val="left"/>
            </w:pPr>
            <w:r>
              <w:t xml:space="preserve">Teilnahme nicht garantiert</w:t>
            </w:r>
          </w:p>
        </w:tc>
      </w:tr>
      <w:tr>
        <w:tc>
          <w:tcPr/>
          <w:p>
            <w:pPr>
              <w:pStyle w:val="Compact"/>
              <w:jc w:val="left"/>
            </w:pPr>
            <w:r>
              <w:t xml:space="preserve">Gesamtes potenzielles Angebot / Reak</w:t>
            </w:r>
          </w:p>
        </w:tc>
        <w:tc>
          <w:tcPr/>
          <w:p>
            <w:pPr>
              <w:pStyle w:val="Compact"/>
              <w:jc w:val="center"/>
            </w:pPr>
            <w:r>
              <w:t xml:space="preserve">tion 32.250</w:t>
            </w:r>
          </w:p>
        </w:tc>
        <w:tc>
          <w:tcPr/>
          <w:p>
            <w:pPr>
              <w:pStyle w:val="Compact"/>
              <w:jc w:val="right"/>
            </w:pPr>
            <w:r>
              <w:t xml:space="preserve">28.330</w:t>
            </w:r>
          </w:p>
        </w:tc>
        <w:tc>
          <w:tcPr/>
          <w:p>
            <w:pPr>
              <w:pStyle w:val="Compact"/>
              <w:jc w:val="left"/>
            </w:pPr>
            <w:r>
              <w:t xml:space="preserve">Der ungünstigste Fall impliziert einen erheblichen Fehlbedarf</w:t>
            </w:r>
          </w:p>
        </w:tc>
      </w:tr>
    </w:tbl>
    <w:p>
      <w:pPr>
        <w:pStyle w:val="BodyText"/>
      </w:pPr>
      <w:r>
        <w:t xml:space="preserve">Der ungünstigste Fall kombiniert nachteilige Annahmen und stellt keine formale Wahrscheinlichkeitsprognose dar.</w:t>
      </w:r>
    </w:p>
    <w:bookmarkEnd w:id="10"/>
    <w:bookmarkStart w:id="11" w:name="die-kosten-der-bereitschaft"/>
    <w:p>
      <w:pPr>
        <w:pStyle w:val="Heading1"/>
      </w:pPr>
      <w:r>
        <w:t xml:space="preserve">Die Kosten der Bereitschaft</w:t>
      </w:r>
    </w:p>
    <w:p>
      <w:pPr>
        <w:pStyle w:val="FirstParagraph"/>
      </w:pPr>
      <w:r>
        <w:t xml:space="preserve">Zuverlässigkeit hatte historisch die Betriebskultur von BRSO dominiert. Doch Kunden und Regulierungsbehörden sorgten sich zunehmend um die Kosten. Der durchschnittliche Großhandelspreis für Energie in der Region war von $34 pro Megawattstunde im Jahr 2022 auf $58 im Jahr 2025 gestiegen. Kapazitätszahlungen – geleistet, um sicherzustellen, dass Ressourcen bei Bedarf verfügbar sind – wurden voraussichtlich in der nächsten Auktion verdreifacht. Die Einzelhandelsrechnungen enthielten auch Übertragungsinvestitionen, die erforderlich waren, um neue Erzeugung anzuschließen und Großverbraucher zu versorgen.</w:t>
      </w:r>
    </w:p>
    <w:p>
      <w:pPr>
        <w:pStyle w:val="BodyText"/>
      </w:pPr>
      <w:r>
        <w:t xml:space="preserve">Die zuverlässigste Maßnahme war oft nicht die kostengünstigste. Die Verpflichtung zu vieler thermischer Generatoren schützte vor Prognosefehlern, zwang die Kunden aber, Anfahr- und Mindestbetriebskosten zu zahlen, selbst wenn sich Nachfrage oder Erzeugung aus erneuerbaren Quellen günstig entwickelten. Die Verpflichtung zu weniger Einheiten setzte das System volatilen Echtzeitpreisen und Notfallengpässen aus. Eine Batterie könnte den Start eines Spitzenlastkraftwerks vermeiden, aber ihre Entladung um 16:00 Uhr könnte um 19:30 Uhr keine gespeicherte Energie mehr übriglassen. Ein Demand-Response-Aufruf könnte die Zuverlässigkeit schützen, aber die Produktion in Fabriken unterbrechen und das Vertrauen in das Programm verringern, wenn er zu häufig erfolgte.</w:t>
      </w:r>
    </w:p>
    <w:p>
      <w:pPr>
        <w:pStyle w:val="BodyText"/>
      </w:pPr>
      <w:r>
        <w:t xml:space="preserve">Auch die Umweltauswirkungen waren ungleichmäßig. Die Ölspitzenlastkraftwerke von BRSO emittierten weit mehr Kohlendioxid und lokale Schadstoffe als Gaserzeugung. Ein vorgeschlagenes 900-MW-Gaskraftwerk würde die Zuverlässigkeit verbessern, könnte aber dreißig Jahre lang betrieben werden. Ein größeres Batterieportfolio vermied direkte Emissionen, benötigte jedoch genügend Überschussenergie zum Aufladen, und Vier-Stunden-Batterien konnten einen mehrtägigen Winterengpass nicht abdecken. Neue Übertragungsleitungen könnten Windressourcen erschließen, aber Genehmigung und Bau würden voraussichtlich sieben bis zehn Jahre dauern.</w:t>
      </w:r>
    </w:p>
    <w:p>
      <w:pPr>
        <w:pStyle w:val="BodyText"/>
      </w:pPr>
      <w:r>
        <w:t xml:space="preserve">Exhibit 3. Ausgewählte Betriebsalternativen</w:t>
      </w:r>
    </w:p>
    <w:tbl>
      <w:tblPr>
        <w:tblStyle w:val="Table"/>
        <w:tblW w:type="pct" w:w="4924"/>
        <w:tblLayout w:type="fixed"/>
        <w:tblLook w:firstRow="1" w:lastRow="0" w:firstColumn="0" w:lastColumn="0" w:noHBand="0" w:noVBand="0" w:val="0020"/>
      </w:tblPr>
      <w:tblGrid>
        <w:gridCol w:w="1740"/>
        <w:gridCol w:w="2160"/>
        <w:gridCol w:w="1080"/>
        <w:gridCol w:w="2820"/>
      </w:tblGrid>
      <w:tr>
        <w:trPr>
          <w:tblHeader w:val="on"/>
        </w:trPr>
        <w:tc>
          <w:tcPr/>
          <w:p>
            <w:pPr>
              <w:pStyle w:val="Compact"/>
              <w:jc w:val="left"/>
            </w:pPr>
            <w:r>
              <w:t xml:space="preserve">Alternative</w:t>
            </w:r>
          </w:p>
        </w:tc>
        <w:tc>
          <w:tcPr/>
          <w:p>
            <w:pPr>
              <w:pStyle w:val="Compact"/>
              <w:jc w:val="left"/>
            </w:pPr>
            <w:r>
              <w:t xml:space="preserve">Ungefähre variable Kosten</w:t>
            </w:r>
          </w:p>
        </w:tc>
        <w:tc>
          <w:tcPr/>
          <w:p>
            <w:pPr>
              <w:pStyle w:val="Compact"/>
              <w:jc w:val="right"/>
            </w:pPr>
            <w:r>
              <w:t xml:space="preserve">Reaktionszeit</w:t>
            </w:r>
          </w:p>
        </w:tc>
        <w:tc>
          <w:tcPr/>
          <w:p>
            <w:pPr>
              <w:pStyle w:val="Compact"/>
              <w:jc w:val="center"/>
            </w:pPr>
            <w:r>
              <w:t xml:space="preserve">Dauer / Einschränkung</w:t>
            </w:r>
          </w:p>
        </w:tc>
      </w:tr>
      <w:tr>
        <w:tc>
          <w:tcPr/>
          <w:p>
            <w:pPr>
              <w:pStyle w:val="Compact"/>
              <w:jc w:val="left"/>
            </w:pPr>
            <w:r>
              <w:t xml:space="preserve">Gas-Kombikraftwerk</w:t>
            </w:r>
          </w:p>
        </w:tc>
        <w:tc>
          <w:tcPr/>
          <w:p>
            <w:pPr>
              <w:pStyle w:val="Compact"/>
              <w:jc w:val="left"/>
            </w:pPr>
            <w:r>
              <w:t xml:space="preserve">$42–$78/MWh</w:t>
            </w:r>
          </w:p>
        </w:tc>
        <w:tc>
          <w:tcPr/>
          <w:p>
            <w:pPr>
              <w:pStyle w:val="Compact"/>
              <w:jc w:val="right"/>
            </w:pPr>
            <w:r>
              <w:t xml:space="preserve">10–60 Minuten</w:t>
            </w:r>
          </w:p>
        </w:tc>
        <w:tc>
          <w:tcPr/>
          <w:p>
            <w:pPr>
              <w:pStyle w:val="Compact"/>
              <w:jc w:val="center"/>
            </w:pPr>
            <w:r>
              <w:t xml:space="preserve">Gaspipeline- und Einheitenverfügbarkeit</w:t>
            </w:r>
          </w:p>
        </w:tc>
      </w:tr>
      <w:tr>
        <w:tc>
          <w:tcPr/>
          <w:p>
            <w:pPr>
              <w:pStyle w:val="Compact"/>
              <w:jc w:val="left"/>
            </w:pPr>
            <w:r>
              <w:t xml:space="preserve">Einfach-Zyklus-Gas</w:t>
            </w:r>
          </w:p>
        </w:tc>
        <w:tc>
          <w:tcPr/>
          <w:p>
            <w:pPr>
              <w:pStyle w:val="Compact"/>
              <w:jc w:val="left"/>
            </w:pPr>
            <w:r>
              <w:t xml:space="preserve">$85–$150/MWh</w:t>
            </w:r>
          </w:p>
        </w:tc>
        <w:tc>
          <w:tcPr/>
          <w:p>
            <w:pPr>
              <w:pStyle w:val="Compact"/>
              <w:jc w:val="right"/>
            </w:pPr>
            <w:r>
              <w:t xml:space="preserve">10–20 Minuten</w:t>
            </w:r>
          </w:p>
        </w:tc>
        <w:tc>
          <w:tcPr/>
          <w:p>
            <w:pPr>
              <w:pStyle w:val="Compact"/>
              <w:jc w:val="center"/>
            </w:pPr>
            <w:r>
              <w:t xml:space="preserve">Hohe Brennstoffkosten und Emissionen</w:t>
            </w:r>
          </w:p>
        </w:tc>
      </w:tr>
      <w:tr>
        <w:tc>
          <w:tcPr/>
          <w:p>
            <w:pPr>
              <w:pStyle w:val="Compact"/>
              <w:jc w:val="left"/>
            </w:pPr>
            <w:r>
              <w:t xml:space="preserve">Ölspitzenlastkraftwerk</w:t>
            </w:r>
          </w:p>
        </w:tc>
        <w:tc>
          <w:tcPr/>
          <w:p>
            <w:pPr>
              <w:pStyle w:val="Compact"/>
              <w:jc w:val="left"/>
            </w:pPr>
            <w:r>
              <w:t xml:space="preserve">$180–$320/MWh</w:t>
            </w:r>
          </w:p>
        </w:tc>
        <w:tc>
          <w:tcPr/>
          <w:p>
            <w:pPr>
              <w:pStyle w:val="Compact"/>
              <w:jc w:val="right"/>
            </w:pPr>
            <w:r>
              <w:t xml:space="preserve">30–60 Minuten</w:t>
            </w:r>
          </w:p>
        </w:tc>
        <w:tc>
          <w:tcPr/>
          <w:p>
            <w:pPr>
              <w:pStyle w:val="Compact"/>
              <w:jc w:val="center"/>
            </w:pPr>
            <w:r>
              <w:t xml:space="preserve">Höchste Emissionen; begrenzter Brennstoffvorrat</w:t>
            </w:r>
          </w:p>
        </w:tc>
      </w:tr>
      <w:tr>
        <w:tc>
          <w:tcPr/>
          <w:p>
            <w:pPr>
              <w:pStyle w:val="Compact"/>
              <w:jc w:val="left"/>
            </w:pPr>
            <w:r>
              <w:t xml:space="preserve">Marktimport</w:t>
            </w:r>
          </w:p>
        </w:tc>
        <w:tc>
          <w:tcPr/>
          <w:p>
            <w:pPr>
              <w:pStyle w:val="Compact"/>
              <w:jc w:val="left"/>
            </w:pPr>
            <w:r>
              <w:t xml:space="preserve">-$20 bis $1.000+/MWh</w:t>
            </w:r>
          </w:p>
        </w:tc>
        <w:tc>
          <w:tcPr/>
          <w:p>
            <w:pPr>
              <w:pStyle w:val="Compact"/>
              <w:jc w:val="right"/>
            </w:pPr>
            <w:r>
              <w:t xml:space="preserve">5 Minuten</w:t>
            </w:r>
          </w:p>
        </w:tc>
        <w:tc>
          <w:tcPr/>
          <w:p>
            <w:pPr>
              <w:pStyle w:val="Compact"/>
              <w:jc w:val="center"/>
            </w:pPr>
            <w:r>
              <w:t xml:space="preserve">Preis und Übertragungsverfügbarkeit variieren</w:t>
            </w:r>
          </w:p>
        </w:tc>
      </w:tr>
      <w:tr>
        <w:tc>
          <w:tcPr/>
          <w:p>
            <w:pPr>
              <w:pStyle w:val="Compact"/>
              <w:jc w:val="left"/>
            </w:pPr>
            <w:r>
              <w:t xml:space="preserve">Vier-Stunden-Batterie</w:t>
            </w:r>
          </w:p>
        </w:tc>
        <w:tc>
          <w:tcPr/>
          <w:p>
            <w:pPr>
              <w:pStyle w:val="Compact"/>
              <w:jc w:val="left"/>
            </w:pPr>
            <w:r>
              <w:t xml:space="preserve">Opportunitätskosten gespeicherter En</w:t>
            </w:r>
          </w:p>
        </w:tc>
        <w:tc>
          <w:tcPr/>
          <w:p>
            <w:pPr>
              <w:pStyle w:val="Compact"/>
              <w:jc w:val="right"/>
            </w:pPr>
            <w:r>
              <w:t xml:space="preserve">ergie Sekunden</w:t>
            </w:r>
          </w:p>
        </w:tc>
        <w:tc>
          <w:tcPr/>
          <w:p>
            <w:pPr>
              <w:pStyle w:val="Compact"/>
              <w:jc w:val="center"/>
            </w:pPr>
            <w:r>
              <w:t xml:space="preserve">Energie nach anhaltender Entladung erschöpft</w:t>
            </w:r>
          </w:p>
        </w:tc>
      </w:tr>
      <w:tr>
        <w:tc>
          <w:tcPr/>
          <w:p>
            <w:pPr>
              <w:pStyle w:val="Compact"/>
              <w:jc w:val="left"/>
            </w:pPr>
            <w:r>
              <w:t xml:space="preserve">Industrielle Demand Response</w:t>
            </w:r>
          </w:p>
        </w:tc>
        <w:tc>
          <w:tcPr/>
          <w:p>
            <w:pPr>
              <w:pStyle w:val="Compact"/>
              <w:jc w:val="left"/>
            </w:pPr>
            <w:r>
              <w:t xml:space="preserve">$250–$900/MWh gekürzt</w:t>
            </w:r>
          </w:p>
        </w:tc>
        <w:tc>
          <w:tcPr/>
          <w:p>
            <w:pPr>
              <w:pStyle w:val="Compact"/>
              <w:jc w:val="right"/>
            </w:pPr>
            <w:r>
              <w:t xml:space="preserve">10–30 Minuten</w:t>
            </w:r>
          </w:p>
        </w:tc>
        <w:tc>
          <w:tcPr/>
          <w:p>
            <w:pPr>
              <w:pStyle w:val="Compact"/>
              <w:jc w:val="center"/>
            </w:pPr>
            <w:r>
              <w:t xml:space="preserve">Kundenteilnahme und Produktionsauswirkung</w:t>
            </w:r>
          </w:p>
        </w:tc>
      </w:tr>
      <w:tr>
        <w:tc>
          <w:tcPr/>
          <w:p>
            <w:pPr>
              <w:pStyle w:val="Compact"/>
              <w:jc w:val="left"/>
            </w:pPr>
            <w:r>
              <w:t xml:space="preserve">Kontrollierte Unterbrechung</w:t>
            </w:r>
          </w:p>
        </w:tc>
        <w:tc>
          <w:tcPr/>
          <w:p>
            <w:pPr>
              <w:pStyle w:val="Compact"/>
              <w:jc w:val="left"/>
            </w:pPr>
            <w:r>
              <w:t xml:space="preserve">Wird nicht als gewöhnliche Energie b</w:t>
            </w:r>
          </w:p>
        </w:tc>
        <w:tc>
          <w:tcPr/>
          <w:p>
            <w:pPr>
              <w:pStyle w:val="Compact"/>
              <w:jc w:val="right"/>
            </w:pPr>
            <w:r>
              <w:t xml:space="preserve">ewertet Minuten</w:t>
            </w:r>
          </w:p>
        </w:tc>
        <w:tc>
          <w:tcPr/>
          <w:p>
            <w:pPr>
              <w:pStyle w:val="Compact"/>
              <w:jc w:val="center"/>
            </w:pPr>
            <w:r>
              <w:t xml:space="preserve">Schwerwiegende soziale, sicherheitsbezogene und Reputationskosten</w:t>
            </w:r>
          </w:p>
        </w:tc>
      </w:tr>
    </w:tbl>
    <w:p>
      <w:pPr>
        <w:pStyle w:val="BodyText"/>
      </w:pPr>
      <w:r>
        <w:t xml:space="preserve">Die Werte sind fiktive Planungsschätzungen, die Unterschiede in Kosten, Geschwindigkeit und Ausdauer veranschaulichen sollen.</w:t>
      </w:r>
    </w:p>
    <w:bookmarkEnd w:id="11"/>
    <w:bookmarkStart w:id="12" w:name="X0de81791c5d2a96e47f561c2b8e2cafe5d94b44"/>
    <w:p>
      <w:pPr>
        <w:pStyle w:val="Heading1"/>
      </w:pPr>
      <w:r>
        <w:t xml:space="preserve">Investitionen, die den künftigen Betrieb prägen</w:t>
      </w:r>
    </w:p>
    <w:p>
      <w:pPr>
        <w:pStyle w:val="FirstParagraph"/>
      </w:pPr>
      <w:r>
        <w:t xml:space="preserve">Das Betriebsproblem vom 22. Juli war unmittelbar, aber der Vorstand hatte Marquez gebeten, eine Ressourcenstrategie für das nächste Jahrzehnt zu empfehlen. Die Belegschaft hatte fünf Initiativen entwickelt: ein 1.000-MW-Gaskraftwerk; 3.000 MW zusätzliche Vier-Stunden-Batterien; eine 500-Meilen-Übertragungserweiterung, die nördliche Windressourcen anbindet; fortschrittliche Sensoren und dynamische Leitungsbewertungen, die die nutzbare Übertragungskapazität erhöhen könnten; sowie ein umfangreiches Flexibilitätsprogramm für Rechenzentren, Hersteller, Gewerbegebäude, Elektrofahrzeuge und private Thermostate.</w:t>
      </w:r>
    </w:p>
    <w:p>
      <w:pPr>
        <w:pStyle w:val="BodyText"/>
      </w:pPr>
      <w:r>
        <w:t xml:space="preserve">Jede Initiative hing von Annahmen ab, die außerhalb der Kontrolle von BRSO lagen. Die Gaspreise könnten moderat bleiben oder stark steigen. Die Batteriekosten könnten weiter sinken, während Lieferketten- oder Sicherheitsanforderungen sie erhöhen könnten. Rechenzentren könnten flexiblen Versorgungsbedingungen zustimmen, jedoch nur bei vorhersehbaren Unterbrechungsregeln. Übertragungsprojekte könnten durch Grundeigentümer, Umweltprüfungen oder Uneinigkeit zwischen den Bundesstaaten über die Kostenverteilung verzögert werden. Kleine modulare Kernreaktoren und Langzeitspeicherung könnten kommerziell rentabel werden, aber ihr Zeitpunkt und ihre Kosten blieben ungewiss.</w:t>
      </w:r>
    </w:p>
    <w:p>
      <w:pPr>
        <w:pStyle w:val="BodyText"/>
      </w:pPr>
      <w:r>
        <w:t xml:space="preserve">Auch die Regulierungsbehörden hatten unterschiedliche Prioritäten. Franklin wollte eine schnellere Netzanbindung von Rechenzentren aufgrund von Steuereinnahmen und Bauarbeitsplätzen. Monroe widersprach der Zahlung für Übertragungsleitungen, die hauptsächlich dem Wachstum von Franklin dienten. Easton wollte, dass BRSO strengere Kohlenstoffziele einhält und einkommensschwache Kunden vor Tariferhöhungen schützt. Verbraucherschutzorganisationen argumentierten, dass große neue Verbraucher die von ihnen benötigte Kapazität finanzieren sollten. Entwickler von Rechenzentren entgegneten, dass Sonderabgaben Investitionen in andere Regionen lenken würden.</w:t>
      </w:r>
    </w:p>
    <w:p>
      <w:pPr>
        <w:pStyle w:val="BodyText"/>
      </w:pPr>
      <w:r>
        <w:t xml:space="preserve">Exhibit 4. In Erwägung gezogene langfristige Initiativen</w:t>
      </w:r>
    </w:p>
    <w:tbl>
      <w:tblPr>
        <w:tblStyle w:val="Table"/>
        <w:tblW w:type="pct" w:w="4931"/>
        <w:tblLayout w:type="fixed"/>
        <w:tblLook w:firstRow="1" w:lastRow="0" w:firstColumn="0" w:lastColumn="0" w:noHBand="0" w:noVBand="0" w:val="0020"/>
      </w:tblPr>
      <w:tblGrid>
        <w:gridCol w:w="2090"/>
        <w:gridCol w:w="1595"/>
        <w:gridCol w:w="1045"/>
        <w:gridCol w:w="3080"/>
      </w:tblGrid>
      <w:tr>
        <w:trPr>
          <w:tblHeader w:val="on"/>
        </w:trPr>
        <w:tc>
          <w:tcPr/>
          <w:p>
            <w:pPr>
              <w:pStyle w:val="Compact"/>
              <w:jc w:val="left"/>
            </w:pPr>
            <w:r>
              <w:t xml:space="preserve">Initiative</w:t>
            </w:r>
          </w:p>
        </w:tc>
        <w:tc>
          <w:tcPr/>
          <w:p>
            <w:pPr>
              <w:pStyle w:val="Compact"/>
            </w:pPr>
            <w:r>
              <w:t xml:space="preserve">Veranschaulichende Kapitalkos</w:t>
            </w:r>
          </w:p>
        </w:tc>
        <w:tc>
          <w:tcPr/>
          <w:p>
            <w:pPr>
              <w:pStyle w:val="Compact"/>
            </w:pPr>
            <w:r>
              <w:t xml:space="preserve">ten Frühester Be</w:t>
            </w:r>
          </w:p>
        </w:tc>
        <w:tc>
          <w:tcPr/>
          <w:p>
            <w:pPr>
              <w:pStyle w:val="Compact"/>
              <w:jc w:val="left"/>
            </w:pPr>
            <w:r>
              <w:t xml:space="preserve">trieb Zentrale offene Frage</w:t>
            </w:r>
          </w:p>
        </w:tc>
      </w:tr>
      <w:tr>
        <w:tc>
          <w:tcPr/>
          <w:p>
            <w:pPr>
              <w:pStyle w:val="Compact"/>
              <w:jc w:val="left"/>
            </w:pPr>
            <w:r>
              <w:t xml:space="preserve">1.000-MW-Gas-Kombikraftwerk</w:t>
            </w:r>
          </w:p>
        </w:tc>
        <w:tc>
          <w:tcPr/>
          <w:p>
            <w:pPr>
              <w:pStyle w:val="Compact"/>
            </w:pPr>
            <w:r>
              <w:t xml:space="preserve">$1,4 Milliarden</w:t>
            </w:r>
          </w:p>
        </w:tc>
        <w:tc>
          <w:tcPr/>
          <w:p>
            <w:pPr>
              <w:pStyle w:val="Compact"/>
            </w:pPr>
            <w:r>
              <w:t xml:space="preserve">2030</w:t>
            </w:r>
          </w:p>
        </w:tc>
        <w:tc>
          <w:tcPr/>
          <w:p>
            <w:pPr>
              <w:pStyle w:val="Compact"/>
              <w:jc w:val="left"/>
            </w:pPr>
            <w:r>
              <w:t xml:space="preserve">Brennstoff, Emissionspolitik und Auslastung</w:t>
            </w:r>
          </w:p>
        </w:tc>
      </w:tr>
      <w:tr>
        <w:tc>
          <w:tcPr/>
          <w:p>
            <w:pPr>
              <w:pStyle w:val="Compact"/>
              <w:jc w:val="left"/>
            </w:pPr>
            <w:r>
              <w:t xml:space="preserve">3.000 MW / 12.000 MWh Batterien</w:t>
            </w:r>
          </w:p>
        </w:tc>
        <w:tc>
          <w:tcPr/>
          <w:p>
            <w:pPr>
              <w:pStyle w:val="Compact"/>
            </w:pPr>
            <w:r>
              <w:t xml:space="preserve">$4,2 Milliarden</w:t>
            </w:r>
          </w:p>
        </w:tc>
        <w:tc>
          <w:tcPr/>
          <w:p>
            <w:pPr>
              <w:pStyle w:val="Compact"/>
            </w:pPr>
            <w:r>
              <w:t xml:space="preserve">2028–2031</w:t>
            </w:r>
          </w:p>
        </w:tc>
        <w:tc>
          <w:tcPr/>
          <w:p>
            <w:pPr>
              <w:pStyle w:val="Compact"/>
              <w:jc w:val="left"/>
            </w:pPr>
            <w:r>
              <w:t xml:space="preserve">Wert bei langen Engpässen und Ersatzkosten</w:t>
            </w:r>
          </w:p>
        </w:tc>
      </w:tr>
      <w:tr>
        <w:tc>
          <w:tcPr/>
          <w:p>
            <w:pPr>
              <w:pStyle w:val="Compact"/>
              <w:jc w:val="left"/>
            </w:pPr>
            <w:r>
              <w:t xml:space="preserve">Nördliches Übertragungsprogramm</w:t>
            </w:r>
          </w:p>
        </w:tc>
        <w:tc>
          <w:tcPr/>
          <w:p>
            <w:pPr>
              <w:pStyle w:val="Compact"/>
            </w:pPr>
            <w:r>
              <w:t xml:space="preserve">$7,8 Milliarden</w:t>
            </w:r>
          </w:p>
        </w:tc>
        <w:tc>
          <w:tcPr/>
          <w:p>
            <w:pPr>
              <w:pStyle w:val="Compact"/>
            </w:pPr>
            <w:r>
              <w:t xml:space="preserve">2034</w:t>
            </w:r>
          </w:p>
        </w:tc>
        <w:tc>
          <w:tcPr/>
          <w:p>
            <w:pPr>
              <w:pStyle w:val="Compact"/>
              <w:jc w:val="left"/>
            </w:pPr>
            <w:r>
              <w:t xml:space="preserve">Genehmigung, Kostenverteilung, Ausbau erneuerbarer Energien</w:t>
            </w:r>
          </w:p>
        </w:tc>
      </w:tr>
      <w:tr>
        <w:tc>
          <w:tcPr/>
          <w:p>
            <w:pPr>
              <w:pStyle w:val="Compact"/>
              <w:jc w:val="left"/>
            </w:pPr>
            <w:r>
              <w:t xml:space="preserve">Sensoren und dynamische Leitungsbewert</w:t>
            </w:r>
          </w:p>
        </w:tc>
        <w:tc>
          <w:tcPr/>
          <w:p>
            <w:pPr>
              <w:pStyle w:val="Compact"/>
            </w:pPr>
            <w:r>
              <w:t xml:space="preserve">ungen $620 Millionen</w:t>
            </w:r>
          </w:p>
        </w:tc>
        <w:tc>
          <w:tcPr/>
          <w:p>
            <w:pPr>
              <w:pStyle w:val="Compact"/>
            </w:pPr>
            <w:r>
              <w:t xml:space="preserve">2028</w:t>
            </w:r>
          </w:p>
        </w:tc>
        <w:tc>
          <w:tcPr/>
          <w:p>
            <w:pPr>
              <w:pStyle w:val="Compact"/>
              <w:jc w:val="left"/>
            </w:pPr>
            <w:r>
              <w:t xml:space="preserve">Wie viel verlässliche Kapazität geschaffen wird</w:t>
            </w:r>
          </w:p>
        </w:tc>
      </w:tr>
      <w:tr>
        <w:tc>
          <w:tcPr/>
          <w:p>
            <w:pPr>
              <w:pStyle w:val="Compact"/>
              <w:jc w:val="left"/>
            </w:pPr>
            <w:r>
              <w:t xml:space="preserve">Flexible-Last-Plattform</w:t>
            </w:r>
          </w:p>
        </w:tc>
        <w:tc>
          <w:tcPr/>
          <w:p>
            <w:pPr>
              <w:pStyle w:val="Compact"/>
            </w:pPr>
            <w:r>
              <w:t xml:space="preserve">$850 Millionen über 7 Jahre</w:t>
            </w:r>
          </w:p>
        </w:tc>
        <w:tc>
          <w:tcPr/>
          <w:p>
            <w:pPr>
              <w:pStyle w:val="Compact"/>
            </w:pPr>
            <w:r>
              <w:t xml:space="preserve">2028</w:t>
            </w:r>
          </w:p>
        </w:tc>
        <w:tc>
          <w:tcPr/>
          <w:p>
            <w:pPr>
              <w:pStyle w:val="Compact"/>
              <w:jc w:val="left"/>
            </w:pPr>
            <w:r>
              <w:t xml:space="preserve">Anmeldung, Reaktion, Cybersicherheit, Kundenermüdung</w:t>
            </w:r>
          </w:p>
        </w:tc>
      </w:tr>
      <w:tr>
        <w:tc>
          <w:tcPr/>
          <w:p>
            <w:pPr>
              <w:pStyle w:val="Compact"/>
              <w:jc w:val="left"/>
            </w:pPr>
            <w:r>
              <w:t xml:space="preserve">Demonstration von Langzeitspeicherung</w:t>
            </w:r>
          </w:p>
        </w:tc>
        <w:tc>
          <w:tcPr/>
          <w:p>
            <w:pPr>
              <w:pStyle w:val="Compact"/>
            </w:pPr>
            <w:r>
              <w:t xml:space="preserve">$1,1 Milliarden</w:t>
            </w:r>
          </w:p>
        </w:tc>
        <w:tc>
          <w:tcPr/>
          <w:p>
            <w:pPr>
              <w:pStyle w:val="Compact"/>
            </w:pPr>
            <w:r>
              <w:t xml:space="preserve">2031</w:t>
            </w:r>
          </w:p>
        </w:tc>
        <w:tc>
          <w:tcPr/>
          <w:p>
            <w:pPr>
              <w:pStyle w:val="Compact"/>
              <w:jc w:val="left"/>
            </w:pPr>
            <w:r>
              <w:t xml:space="preserve">Technologieleistung und kommerzielle Skalierbarkeit</w:t>
            </w:r>
          </w:p>
        </w:tc>
      </w:tr>
    </w:tbl>
    <w:p>
      <w:pPr>
        <w:pStyle w:val="BodyText"/>
      </w:pPr>
      <w:r>
        <w:t xml:space="preserve">Alle Kosten und Termine sind fiktiv und würden erheblicher Unsicherheit unterliegen.</w:t>
      </w:r>
    </w:p>
    <w:bookmarkEnd w:id="12"/>
    <w:bookmarkStart w:id="13" w:name="der-anruf-um-1400-uhr"/>
    <w:p>
      <w:pPr>
        <w:pStyle w:val="Heading1"/>
      </w:pPr>
      <w:r>
        <w:t xml:space="preserve">Der Anruf um 14:00 Uhr</w:t>
      </w:r>
    </w:p>
    <w:p>
      <w:pPr>
        <w:pStyle w:val="FirstParagraph"/>
      </w:pPr>
      <w:r>
        <w:t xml:space="preserve">Um 13:55 Uhr teilte der Eigentümer von Riverbend BRSO mit, dass Unit 4 wahrscheinlich mit 500 MW online bleiben könnte, es jedoch eine Wahrscheinlichkeit von 20 Prozent gebe, dass Vibrationen vor 19:00 Uhr eine vollständige Abschaltung erzwingen würden. Das Onlinehalten der Einheit könnte den Geräteschaden verschlimmern. Der westliche Wetterdienst verschob die erwartete Ankunft des Gewitters um fünfundvierzig Minuten nach vorn. Die Echtzeit-Importpreise hatten sich innerhalb von fünfzehn Minuten verdoppelt.</w:t>
      </w:r>
    </w:p>
    <w:p>
      <w:pPr>
        <w:pStyle w:val="BodyText"/>
      </w:pPr>
      <w:r>
        <w:t xml:space="preserve">Der Vizepräsident für Betrieb empfahl, beide Ölspitzenlastkraftwerke sofort zu starten und die Batterien bis nach Sonnenuntergang zu schonen. Der Marktdirektor bevorzugte den Kauf von Importen und das Abwarten besserer Informationen, mit dem Argument, dass die Ölanlagen möglicherweise unnötig liefen. Die Nachhaltigkeitsdirektorin schlug vor, 600 MW Demand Response vor 16:00 Uhr aufzurufen, aber der Industriekundenrat hatte sich beschwert, dass BRSO in diesem Sommer bereits vier Ereignisse ausgerufen hatte. Der Zuverlässigkeitsbeauftragte wollte die Genehmigung für alle drei Maßnahmen.</w:t>
      </w:r>
    </w:p>
    <w:p>
      <w:pPr>
        <w:pStyle w:val="BodyText"/>
      </w:pPr>
      <w:r>
        <w:t xml:space="preserve">Marquez wusste auch, dass alles, was geschehen würde, die Investitionsdebatte prägen würde. Ein reibungsloser Abend könnte genutzt werden, um zu argumentieren, dass Batterien und flexible Nachfrage ausreichend seien. Ein Notfall könnte die Argumente für ein Gaskraftwerk oder eine Übertragungserweiterung stärken. Doch ein einzelner stressiger Tag war nicht notwendigerweise repräsentativ für die nächsten zwanzig Jahre.</w:t>
      </w:r>
    </w:p>
    <w:p>
      <w:pPr>
        <w:pStyle w:val="BodyText"/>
      </w:pPr>
      <w:r>
        <w:t xml:space="preserve">Um 14:00 Uhr bat der Kontrollraumdirektor um Anweisungen. Marquez musste entscheiden, was jetzt verpflichtet werden sollte, was als Reserve gehalten werden sollte, und wie viel Risiko BRSO akzeptieren sollte, während man auf Informationen wartete, die erst eintreffen würden, nachdem einige Optionen bereits verschwunden waren.</w:t>
      </w:r>
    </w:p>
    <w:bookmarkEnd w:id="13"/>
    <w:bookmarkStart w:id="14" w:name="diskussionsfragen"/>
    <w:p>
      <w:pPr>
        <w:pStyle w:val="Heading1"/>
      </w:pPr>
      <w:r>
        <w:t xml:space="preserve">Diskussionsfragen</w:t>
      </w:r>
    </w:p>
    <w:p>
      <w:pPr>
        <w:numPr>
          <w:ilvl w:val="0"/>
          <w:numId w:val="1001"/>
        </w:numPr>
      </w:pPr>
      <w:r>
        <w:t xml:space="preserve">Was sollte Marquez um 14:00 Uhr genehmigen? Welche Ressourcen sollten sofort verpflichtet werden, und welche sollten für später zurückgehalten werden?</w:t>
      </w:r>
    </w:p>
    <w:p>
      <w:pPr>
        <w:numPr>
          <w:ilvl w:val="0"/>
          <w:numId w:val="1001"/>
        </w:numPr>
      </w:pPr>
      <w:r>
        <w:t xml:space="preserve">Wie sollte BRSO eine teure präventive Maßnahme mit den Konsequenzen eines Engpasses vergleichen, die eine geringe Wahrscheinlichkeit, aber schwerwiegende Folgen haben?</w:t>
      </w:r>
    </w:p>
    <w:p>
      <w:pPr>
        <w:numPr>
          <w:ilvl w:val="0"/>
          <w:numId w:val="1001"/>
        </w:numPr>
      </w:pPr>
      <w:r>
        <w:t xml:space="preserve">Welche Informationen wären in den nächsten zwei Stunden am wertvollsten? Wie könnte BRSO sie erhalten?</w:t>
      </w:r>
    </w:p>
    <w:p>
      <w:pPr>
        <w:numPr>
          <w:ilvl w:val="0"/>
          <w:numId w:val="1001"/>
        </w:numPr>
      </w:pPr>
      <w:r>
        <w:t xml:space="preserve">Wie sollte der Betreiber gespeicherte Batterieenergie zu unterschiedlichen Tageszeiten bewerten?</w:t>
      </w:r>
    </w:p>
    <w:p>
      <w:pPr>
        <w:numPr>
          <w:ilvl w:val="0"/>
          <w:numId w:val="1001"/>
        </w:numPr>
      </w:pPr>
      <w:r>
        <w:t xml:space="preserve">Wann sollte Demand Response als gewöhnliche Betriebsressource behandelt werden, und wann untergräbt wiederholte Nutzung ihren künftigen Wert?</w:t>
      </w:r>
    </w:p>
    <w:p>
      <w:pPr>
        <w:numPr>
          <w:ilvl w:val="0"/>
          <w:numId w:val="1001"/>
        </w:numPr>
      </w:pPr>
      <w:r>
        <w:t xml:space="preserve">Welche langfristigen Investitionen erscheinen komplementär, welche sind Substitute, und wie sollten ihre Kosten verteilt werden?</w:t>
      </w:r>
    </w:p>
    <w:p>
      <w:pPr>
        <w:pStyle w:val="FirstParagraph"/>
      </w:pPr>
      <w:r>
        <w:t xml:space="preserve">Fallnotiz: Dieser fiktive Fall stützt sich konzeptionell auf Warren B. Powell,</w:t>
      </w:r>
      <w:r>
        <w:t xml:space="preserve"> </w:t>
      </w:r>
      <w:r>
        <w:t xml:space="preserve">“Electric Power Grid Management”</w:t>
      </w:r>
      <w:r>
        <w:t xml:space="preserve">, Kapitel 2 aus Bridging Decision Problems, Volume I: Framing the Problem. Der aktuelle Kontext verwendet die U.S. Energy Information Administration, 12. März 2026, und NERC’s 2025 Long-Term Reliability Assessment, Januar 2026. Alle Blue-River-Einrichtungen, Ereignisse und Zahlen sind fiktiv, und der Fall identifiziert absichtlich keine optimale Strategie.</w:t>
      </w:r>
    </w:p>
    <w:bookmarkEnd w:id="14"/>
    <w:bookmarkStart w:id="20"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15">
        <w:r>
          <w:rPr>
            <w:rStyle w:val="Hyperlink"/>
          </w:rPr>
          <w:t xml:space="preserve">Metrik-Pyramiden-Werkzeug</w:t>
        </w:r>
      </w:hyperlink>
      <w:r>
        <w:t xml:space="preserve">, um die verschiedenen Leistungskennzahlen zu identifizieren und zu priorisieren. Klicken Sie auf das Oval, das die Kennzahl enthält, um festzustellen, ob es sich um eine zu maximierende Kennzahl (grün), eine zu minimierende Kennzahl (rot), ein Zielwert, der eine Untergrenze darstellt (hellgrün), oder eine Obergrenze (hellrot), oder schließlich um einen Zielwert (violett) handelt.</w:t>
      </w:r>
    </w:p>
    <w:p>
      <w:pPr>
        <w:numPr>
          <w:ilvl w:val="0"/>
          <w:numId w:val="1002"/>
        </w:numPr>
      </w:pPr>
      <w:r>
        <w:t xml:space="preserve">Verwenden Sie das</w:t>
      </w:r>
      <w:r>
        <w:t xml:space="preserve"> </w:t>
      </w:r>
      <w:hyperlink r:id="rId16">
        <w:r>
          <w:rPr>
            <w:rStyle w:val="Hyperlink"/>
          </w:rPr>
          <w:t xml:space="preserve">Entscheidungspriorisierungs-Werkzeug</w:t>
        </w:r>
      </w:hyperlink>
      <w:r>
        <w:t xml:space="preserve">, um zunächst die verschiedenen Arten von Entscheidungen aufzulisten (verwenden Sie die</w:t>
      </w:r>
      <w:r>
        <w:t xml:space="preserve"> </w:t>
      </w:r>
      <w:hyperlink r:id="rId17">
        <w:r>
          <w:rPr>
            <w:rStyle w:val="Hyperlink"/>
          </w:rPr>
          <w:t xml:space="preserve">Arten von Entscheidungen</w:t>
        </w:r>
      </w:hyperlink>
      <w:r>
        <w:t xml:space="preserve"> </w:t>
      </w:r>
      <w:r>
        <w:t xml:space="preserve">als Leitfaden).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dem größten Einfluss auf die wichtigsten Kennzahlen weiter oben stehen. Die Zellen in der oberen linken Ecke sollten die größte Konzentration roter und oranger Zellen aufweisen. Identifizieren Sie an diesem Punkt die Entscheidungen, die in Ihrer Studie die meiste Aufmerksamkeit erhalten sollten. Wenn Sie keine Entscheidungen mit mittlerem oder hohem Einfluss auf die wichtigsten Kennzahlen haben, überarbeiten Sie Ihre Liste der Entscheidungen.</w:t>
      </w:r>
    </w:p>
    <w:p>
      <w:pPr>
        <w:numPr>
          <w:ilvl w:val="0"/>
          <w:numId w:val="1002"/>
        </w:numPr>
      </w:pPr>
      <w:r>
        <w:t xml:space="preserve">Wiederholen Sie den Prozess, um die Unsicherheiten mithilfe des</w:t>
      </w:r>
      <w:r>
        <w:t xml:space="preserve"> </w:t>
      </w:r>
      <w:hyperlink r:id="rId18">
        <w:r>
          <w:rPr>
            <w:rStyle w:val="Hyperlink"/>
          </w:rPr>
          <w:t xml:space="preserve">Unsicherheitspriorisierungs-Werkzeugs</w:t>
        </w:r>
      </w:hyperlink>
      <w:r>
        <w:t xml:space="preserve"> </w:t>
      </w:r>
      <w:r>
        <w:t xml:space="preserve">aufzulisten und zu priorisieren. Verwenden Sie die</w:t>
      </w:r>
      <w:r>
        <w:t xml:space="preserve"> </w:t>
      </w:r>
      <w:hyperlink r:id="rId19">
        <w:r>
          <w:rPr>
            <w:rStyle w:val="Hyperlink"/>
          </w:rPr>
          <w:t xml:space="preserve">Kategorien der Unsicherheit</w:t>
        </w:r>
      </w:hyperlink>
      <w:r>
        <w:t xml:space="preserve">, um Ihnen dabei zu helfen,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im Zeitverlauf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den größten Einfluss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Leistungskennzahlen, bei denen die Entscheidung eine hohe oder mittlere Auswirkung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0"/>
    <w:bookmarkStart w:id="23" w:name="chatgpt-notizen"/>
    <w:p>
      <w:pPr>
        <w:pStyle w:val="Heading1"/>
      </w:pPr>
      <w:r>
        <w:t xml:space="preserve">ChatGPT-Notizen</w:t>
      </w:r>
    </w:p>
    <w:bookmarkStart w:id="21" w:name="prompt"/>
    <w:p>
      <w:pPr>
        <w:pStyle w:val="Heading2"/>
      </w:pPr>
      <w:r>
        <w:t xml:space="preserve">Prompt</w:t>
      </w:r>
    </w:p>
    <w:p>
      <w:pPr>
        <w:pStyle w:val="FirstParagraph"/>
      </w:pPr>
      <w:r>
        <w:t xml:space="preserve">Schreiben Sie eine 4-6-seitige Fallstudie basierend auf dem Material im Abschnitt unter https://warrenpowell.org/bridging-vol1/chapter-2/#electric-power-grid-management. Erstellen Sie einen Kontext basierend auf den Kennzahlen, Entscheidungen und Unsicherheiten im Abschnitt, jedoch ohne diese explizit hervorzuheben. Motivieren Sie Ihr Entscheidungsproblem mit Daten.</w:t>
      </w:r>
    </w:p>
    <w:bookmarkEnd w:id="21"/>
    <w:bookmarkStart w:id="22" w:name="zusammenfassung"/>
    <w:p>
      <w:pPr>
        <w:pStyle w:val="Heading2"/>
      </w:pPr>
      <w:r>
        <w:t xml:space="preserve">Zusammenfassung</w:t>
      </w:r>
    </w:p>
    <w:p>
      <w:pPr>
        <w:pStyle w:val="FirstParagraph"/>
      </w:pPr>
      <w:r>
        <w:t xml:space="preserve">Der Fall platziert einen fiktiven regionalen Netzbetreiber mitten in einen Tag mit rekordverdächtiger Sommernachfrage. Er muss entscheiden, wie er auf unsichere Solar- und Winderzeugung, einen möglicherweise ausfallenden Gasgenerator, steigende Marktpreise, begrenzte Batteriedauer, Übertragungsengpässe und unzuverlässige Demand-Response-Teilnahme reagiert.</w:t>
      </w:r>
    </w:p>
    <w:p>
      <w:pPr>
        <w:pStyle w:val="BodyText"/>
      </w:pPr>
      <w:r>
        <w:t xml:space="preserve">Er enthält:</w:t>
      </w:r>
    </w:p>
    <w:p>
      <w:pPr>
        <w:numPr>
          <w:ilvl w:val="0"/>
          <w:numId w:val="1005"/>
        </w:numPr>
      </w:pPr>
      <w:r>
        <w:t xml:space="preserve">Stunden-im-Voraus- und Echtzeit-Betriebsentscheidungen</w:t>
      </w:r>
    </w:p>
    <w:p>
      <w:pPr>
        <w:numPr>
          <w:ilvl w:val="0"/>
          <w:numId w:val="1005"/>
        </w:numPr>
      </w:pPr>
      <w:r>
        <w:t xml:space="preserve">Kernkraft-, Kohle-, Gas-, Öl-, Wind-, Solar-, Wasserkraft-, Import- und Batterieressourcen</w:t>
      </w:r>
    </w:p>
    <w:p>
      <w:pPr>
        <w:numPr>
          <w:ilvl w:val="0"/>
          <w:numId w:val="1005"/>
        </w:numPr>
      </w:pPr>
      <w:r>
        <w:t xml:space="preserve">Anfahrzeiten von Generatoren und Unterschiede in den Betriebskosten</w:t>
      </w:r>
    </w:p>
    <w:p>
      <w:pPr>
        <w:numPr>
          <w:ilvl w:val="0"/>
          <w:numId w:val="1005"/>
        </w:numPr>
      </w:pPr>
      <w:r>
        <w:t xml:space="preserve">Fünf-Minuten-Strommärkte und sekundengenaue Frequenzregelung</w:t>
      </w:r>
    </w:p>
    <w:p>
      <w:pPr>
        <w:numPr>
          <w:ilvl w:val="0"/>
          <w:numId w:val="1005"/>
        </w:numPr>
      </w:pPr>
      <w:r>
        <w:t xml:space="preserve">Wetter-, Geräteausfall-, Brennstoffpreis-, Regulierungs- und Technologieunsicherheit</w:t>
      </w:r>
    </w:p>
    <w:p>
      <w:pPr>
        <w:numPr>
          <w:ilvl w:val="0"/>
          <w:numId w:val="1005"/>
        </w:numPr>
      </w:pPr>
      <w:r>
        <w:t xml:space="preserve">Konflikte zwischen Zuverlässigkeit, Kundenkosten, Emissionen und Versorgungskontinuität</w:t>
      </w:r>
    </w:p>
    <w:p>
      <w:pPr>
        <w:numPr>
          <w:ilvl w:val="0"/>
          <w:numId w:val="1005"/>
        </w:numPr>
      </w:pPr>
      <w:r>
        <w:t xml:space="preserve">Langfristige Alternativen mit Gaserzeugung, Batterien, Übertragung, Netzsensoren, flexibler Nachfrage und Langzeitspeicherung</w:t>
      </w:r>
    </w:p>
    <w:p>
      <w:pPr>
        <w:numPr>
          <w:ilvl w:val="0"/>
          <w:numId w:val="1005"/>
        </w:numPr>
      </w:pPr>
      <w:r>
        <w:t xml:space="preserve">Vier quantitative Exhibits und einen ungelösten Entscheidungspunkt</w:t>
      </w:r>
    </w:p>
    <w:p>
      <w:pPr>
        <w:pStyle w:val="FirstParagraph"/>
      </w:pPr>
      <w:r>
        <w:t xml:space="preserve">Das geschäftliche Umfeld wird durch EIA-Erkenntnisse motiviert, wonach die US-Stromnachfrage von 2020 bis 2025 um etwa 1,7 % jährlich wuchs, nach etwa einem Jahrzehnt nahezu stagnierenden Wachstums. Die Einschätzung von NERC für 2025 prognostizierte über zehn Jahre 224 GW zusätzliche Sommerspitzennachfrage, wobei Rechenzentren für einen Großteil des Anstiegs verantwortlich waren.</w:t>
      </w:r>
    </w:p>
    <w:p>
      <w:pPr>
        <w:pStyle w:val="BodyText"/>
      </w:pPr>
      <w:r>
        <w:t xml:space="preserve">Der Fall folgt der Struktur des angegebenen Abschnitts zum Management von Stromnetzen, ohne dessen zugrunde liegende Leistungskennzahlen, verfügbare Maßnahmen und Unsicherheitsquellen explizit zu trennen.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2026-09-11T16:05:17Z</dcterms:created>
  <dcterms:modified xsi:type="dcterms:W3CDTF">2026-09-11T16:05:17Z</dcterms:modified>
</cp:coreProperties>
</file>

<file path=docProps/custom.xml><?xml version="1.0" encoding="utf-8"?>
<Properties xmlns="http://schemas.openxmlformats.org/officeDocument/2006/custom-properties" xmlns:vt="http://schemas.openxmlformats.org/officeDocument/2006/docPropsVTypes"/>
</file>