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EIN BUSINESS-SCHOOL-LEHRFALL | JULI 2026</w:t>
      </w:r>
    </w:p>
    <w:p>
      <w:pPr>
        <w:pStyle w:val="BodyText"/>
      </w:pPr>
      <w:r>
        <w:t xml:space="preserve">BrightNest Home Services</w:t>
      </w:r>
    </w:p>
    <w:p>
      <w:pPr>
        <w:pStyle w:val="BodyText"/>
      </w:pPr>
      <w:r>
        <w:t xml:space="preserve">Das Dilemma des zweiseitigen Markteintritts</w:t>
      </w:r>
    </w:p>
    <w:p>
      <w:pPr>
        <w:pStyle w:val="BodyText"/>
      </w:pPr>
      <w:r>
        <w:t xml:space="preserve">Alle Organisationen und Personen in diesem Fall sind fiktiv. Öffentliche Statistiken werden nur verwendet, um den Markt- und Arbeitsmarktkontext herzustellen. Der Fall benennt absichtlich keine bevorzugte Lösung.</w:t>
      </w:r>
    </w:p>
    <w:p>
      <w:pPr>
        <w:pStyle w:val="BodyText"/>
      </w:pPr>
      <w:r>
        <w:t xml:space="preserve">Um 7:15 Uhr an einem Montag im Juli 2026 öffnete Maya Chen, Gründerin und Geschäftsführerin von BrightNest Home Services, ein Dashboard, das sowohl das Versprechen als auch die Gefahr des von ihr aufgebauten Unternehmens zu bestätigen schien. In den drei Pilotmärkten hatten 2.840 Haushalte in den vorherigen sechs Wochen eine Erstreinigung angefordert. Dennoch hatte BrightNest nur 1.910 Termine abgeschlossen. Fast jeder fünfte Kunde hatte mehr als sieben Tage gewartet, und 14 Prozent der geplanten Aufträge waren neu vergeben worden, nachdem eine Reinigungskraft abgesagt oder nicht bestätigt hatte.</w:t>
      </w:r>
    </w:p>
    <w:p>
      <w:pPr>
        <w:pStyle w:val="BodyText"/>
      </w:pPr>
      <w:r>
        <w:t xml:space="preserve">Das Unternehmen hatte 18 Millionen $ aufgenommen, um einen technologiegestützten Reinigungsdienst für Privathaushalte aufzubauen. Kunden konnten über eine App eine einmalige oder wiederkehrende Reinigung anfordern, einen Sofortpreis erhalten, ein Zeitfenster auswählen und die Arbeit bewerten. BrightNest plante, Reinigungskräfte über eine landesweite Jobsuch-Plattform zu rekrutieren, die flexible Reinigungsmöglichkeiten in jedem größeren US-Arbeitsmarkt bewerben konnte. Das Konzept wirkte skalierbar: Werbung konnte Kunden generieren, und die Jobplattform konnte Arbeitskräfte generieren. Die Wirtschaftlichkeit war weniger entgegenkommend.</w:t>
      </w:r>
    </w:p>
    <w:p>
      <w:pPr>
        <w:pStyle w:val="BodyText"/>
      </w:pPr>
      <w:r>
        <w:t xml:space="preserve">BrightNest berechnete im Durchschnitt 168 $ für eine standardmäßige Erstreinigung und 142 $ für einen wiederkehrenden Besuch. Um Kunden anzulocken, hatte es Rabatte von 20 bis 40 Prozent getestet. Um Reinigungskräfte anzulocken, warb es mit Einnahmen von 24 bis 30 $ pro aktiver Reinigungsstunde, flexibler Terminplanung, Sofortzahlung und Kilometerzuschlägen in ausgewählten Gebieten. Sobald Fahrzeit, Lohnsteuern oder Auftragnehmergebühren, Versicherung, Kundenakquisitionskosten, Reinigungsmittel, Rückerstattungen und Supportkosten eingerechnet wurden, führten mehrere Kunde-Reinigungskraft-Kombinationen zu einem Verlust.</w:t>
      </w:r>
    </w:p>
    <w:p>
      <w:pPr>
        <w:pStyle w:val="BodyText"/>
      </w:pPr>
      <w:r>
        <w:t xml:space="preserve">Chen hatte dem Vorstand eine Startempfehlung innerhalb von vier Wochen versprochen. Der Vorstand wollte wissen, ob BrightNest in fünf sorgfältig ausgewählte Metropolregionen eintreten, in 25 Städten unter Nutzung der Jobplattform starten oder landesweit öffnen und Angebot und Nachfrage organisch entstehen lassen sollte. Die Entscheidung hing von mehr als der Marktgröße ab. BrightNest benötigte genügend Reinigungskräfte in jedem Stadtviertel, zu den richtigen Zeiten, mit verlässlicher Transportmöglichkeit und geeigneter Ausrüstung. Es benötigte außerdem Kunden, deren Zahlungsbereitschaft eine attraktive Vergütung unterstützen konnte.</w:t>
      </w:r>
    </w:p>
    <w:bookmarkStart w:id="9" w:name="ein-großer-aber-schwer-messbarer-markt"/>
    <w:p>
      <w:pPr>
        <w:pStyle w:val="Heading1"/>
      </w:pPr>
      <w:r>
        <w:t xml:space="preserve">Ein großer, aber schwer messbarer Markt</w:t>
      </w:r>
    </w:p>
    <w:p>
      <w:pPr>
        <w:pStyle w:val="FirstParagraph"/>
      </w:pPr>
      <w:r>
        <w:t xml:space="preserve">Die Haushaltsreinigung befindet sich in einem fragmentierten Markt, der lokale Unternehmen, Franchises, Einzelunternehmer, informelle Vereinbarungen und app-vermittelte Dienstleistungen umfasst. Die Vereinigten Staaten hatten Mitte der 2020er Jahre etwa 132 Millionen Haushalte. BrightNest schätzte, dass 5 bis 12 Prozent mindestens einmal im Jahr eine bezahlte Haushaltsreinigung kauften, während ein deutlich kleinerer Anteil wöchentlich oder alle zwei Wochen einen Dienst kaufte. Da viele Transaktionen Einzelunternehmer oder informelle Vereinbarungen betreffen, ist der nationale Umsatz schwer direkt zu beobachten.</w:t>
      </w:r>
    </w:p>
    <w:p>
      <w:pPr>
        <w:pStyle w:val="BodyText"/>
      </w:pPr>
      <w:r>
        <w:t xml:space="preserve">Census-Daten zeigten die Bedeutung unabhängiger Anbieter in angrenzenden Reinigungstätigkeiten: Einzelunternehmen im Bereich Gebäudereinigungsdienste erzielten 2023 etwa 20 Milliarden $ an Einnahmen. BrightNest glaubte, dass die Haushaltsreinigung eine Chance im Wert mehrerer Milliarden Dollar darstellte, aber das Management war sich stark uneinig über den erschließbaren Markt für eine Marken-App zu Preisen, die hoch genug waren, um Qualität, Versicherung und verlässliche Arbeitskräfte zu unterstützen.</w:t>
      </w:r>
    </w:p>
    <w:bookmarkEnd w:id="9"/>
    <w:bookmarkStart w:id="11" w:name="die-kundenakquisitionsmaschine"/>
    <w:p>
      <w:pPr>
        <w:pStyle w:val="Heading1"/>
      </w:pPr>
      <w:r>
        <w:t xml:space="preserve">Die Kundenakquisitionsmaschine</w:t>
      </w:r>
    </w:p>
    <w:p>
      <w:pPr>
        <w:pStyle w:val="FirstParagraph"/>
      </w:pPr>
      <w:r>
        <w:t xml:space="preserve">Das Wachstumsteam hatte die Kundenakquisition um vier Kanäle organisiert: Suchmaschinenwerbung, soziale Medien, lokale digitale Marktplätze und Nachbarschafts-Empfehlungsprogramme. Jeder Kanal erzeugte eine unterschiedliche Kundenmischung. Suchwerbung zog Menschen mit unmittelbarer Kaufabsicht an, war aber teuer. Soziale Medien generierten günstig Leads, hatten aber niedrige Buchungsraten. Empfehlungsgutschriften brachten Stammkunden, benötigten aber Zeit zur Entwicklung. Partnerschaften mit Hausverwaltungen, Immobilienmaklern und Arbeitgebern boten größere Nachfrageblöcke, erforderten aber meist Rabatte oder Serviceversprechen.</w:t>
      </w:r>
    </w:p>
    <w:p>
      <w:pPr>
        <w:pStyle w:val="BodyText"/>
      </w:pPr>
      <w:r>
        <w:t xml:space="preserve">Der Rabatt auf die Erstreinigung erzeugte die größte Uneinigkeit. Die Leiterin für Wachstum argumentierte, dass ein rabattierter Erstbesuch das von Kunden wahrgenommene Risiko verringere und dem Unternehmen die Möglichkeit gebe, sie zu wiederkehrendem Service zu konvertieren. Der Finanzvorstand betrachtete tiefe Rabatte als Mechanismus, der preissensible Kunden anzieht, die möglicherweise nie erneut bestellen würden. Betriebsleiter sorgten sich, dass Werbeaktionen einen Buchungsansturm erzeugen könnten, bevor ein lokaler Reinigungskräftepool bereit war.</w:t>
      </w:r>
    </w:p>
    <w:bookmarkStart w:id="10" w:name="X926b5131562b735b76c67a57b906ad2a0ce0bd4"/>
    <w:p>
      <w:pPr>
        <w:pStyle w:val="Heading2"/>
      </w:pPr>
      <w:r>
        <w:t xml:space="preserve">Exhibit 1. Ergebnisse der Pilot-Kundenakquisition</w:t>
      </w:r>
    </w:p>
    <w:tbl>
      <w:tblPr>
        <w:tblStyle w:val="Table"/>
        <w:tblW w:type="pct" w:w="4922"/>
        <w:tblLayout w:type="fixed"/>
        <w:tblLook w:firstRow="1" w:lastRow="0" w:firstColumn="0" w:lastColumn="0" w:noHBand="0" w:noVBand="0" w:val="0020"/>
      </w:tblPr>
      <w:tblGrid>
        <w:gridCol w:w="1794"/>
        <w:gridCol w:w="1856"/>
        <w:gridCol w:w="1175"/>
        <w:gridCol w:w="1299"/>
        <w:gridCol w:w="1670"/>
      </w:tblGrid>
      <w:tr>
        <w:trPr>
          <w:tblHeader w:val="on"/>
        </w:trPr>
        <w:tc>
          <w:tcPr/>
          <w:p>
            <w:pPr>
              <w:pStyle w:val="Compact"/>
              <w:jc w:val="left"/>
            </w:pPr>
            <w:r>
              <w:t xml:space="preserve">Kanal</w:t>
            </w:r>
          </w:p>
        </w:tc>
        <w:tc>
          <w:tcPr/>
          <w:p>
            <w:pPr>
              <w:pStyle w:val="Compact"/>
              <w:jc w:val="right"/>
            </w:pPr>
            <w:r>
              <w:t xml:space="preserve">Kosten pro gebuchter Erstrein</w:t>
            </w:r>
          </w:p>
        </w:tc>
        <w:tc>
          <w:tcPr/>
          <w:p>
            <w:pPr>
              <w:pStyle w:val="Compact"/>
            </w:pPr>
            <w:r>
              <w:t xml:space="preserve">igung Durchschnit</w:t>
            </w:r>
          </w:p>
        </w:tc>
        <w:tc>
          <w:tcPr/>
          <w:p>
            <w:pPr>
              <w:pStyle w:val="Compact"/>
            </w:pPr>
            <w:r>
              <w:t xml:space="preserve">tlicher Rabatt 30-T</w:t>
            </w:r>
          </w:p>
        </w:tc>
        <w:tc>
          <w:tcPr/>
          <w:p>
            <w:pPr>
              <w:pStyle w:val="Compact"/>
            </w:pPr>
            <w:r>
              <w:t xml:space="preserve">age-Wiederholungsrate Stornierungs-/Rückerstattungsrate</w:t>
            </w:r>
          </w:p>
        </w:tc>
      </w:tr>
      <w:tr>
        <w:tc>
          <w:tcPr/>
          <w:p>
            <w:pPr>
              <w:pStyle w:val="Compact"/>
              <w:jc w:val="left"/>
            </w:pPr>
            <w:r>
              <w:t xml:space="preserve">Suchmaschinenwerbung</w:t>
            </w:r>
          </w:p>
        </w:tc>
        <w:tc>
          <w:tcPr/>
          <w:p>
            <w:pPr>
              <w:pStyle w:val="Compact"/>
              <w:jc w:val="right"/>
            </w:pPr>
            <w:r>
              <w:t xml:space="preserve">72 $</w:t>
            </w:r>
          </w:p>
        </w:tc>
        <w:tc>
          <w:tcPr/>
          <w:p>
            <w:pPr>
              <w:pStyle w:val="Compact"/>
            </w:pPr>
            <w:r>
              <w:t xml:space="preserve">25%</w:t>
            </w:r>
          </w:p>
        </w:tc>
        <w:tc>
          <w:tcPr/>
          <w:p>
            <w:pPr>
              <w:pStyle w:val="Compact"/>
            </w:pPr>
            <w:r>
              <w:t xml:space="preserve">31%</w:t>
            </w:r>
          </w:p>
        </w:tc>
        <w:tc>
          <w:tcPr/>
          <w:p>
            <w:pPr>
              <w:pStyle w:val="Compact"/>
            </w:pPr>
            <w:r>
              <w:t xml:space="preserve">9%</w:t>
            </w:r>
          </w:p>
        </w:tc>
      </w:tr>
      <w:tr>
        <w:tc>
          <w:tcPr/>
          <w:p>
            <w:pPr>
              <w:pStyle w:val="Compact"/>
              <w:jc w:val="left"/>
            </w:pPr>
            <w:r>
              <w:t xml:space="preserve">Soziale Medien</w:t>
            </w:r>
          </w:p>
        </w:tc>
        <w:tc>
          <w:tcPr/>
          <w:p>
            <w:pPr>
              <w:pStyle w:val="Compact"/>
              <w:jc w:val="right"/>
            </w:pPr>
            <w:r>
              <w:t xml:space="preserve">48 $</w:t>
            </w:r>
          </w:p>
        </w:tc>
        <w:tc>
          <w:tcPr/>
          <w:p>
            <w:pPr>
              <w:pStyle w:val="Compact"/>
            </w:pPr>
            <w:r>
              <w:t xml:space="preserve">35%</w:t>
            </w:r>
          </w:p>
        </w:tc>
        <w:tc>
          <w:tcPr/>
          <w:p>
            <w:pPr>
              <w:pStyle w:val="Compact"/>
            </w:pPr>
            <w:r>
              <w:t xml:space="preserve">18%</w:t>
            </w:r>
          </w:p>
        </w:tc>
        <w:tc>
          <w:tcPr/>
          <w:p>
            <w:pPr>
              <w:pStyle w:val="Compact"/>
            </w:pPr>
            <w:r>
              <w:t xml:space="preserve">14%</w:t>
            </w:r>
          </w:p>
        </w:tc>
      </w:tr>
      <w:tr>
        <w:tc>
          <w:tcPr/>
          <w:p>
            <w:pPr>
              <w:pStyle w:val="Compact"/>
              <w:jc w:val="left"/>
            </w:pPr>
            <w:r>
              <w:t xml:space="preserve">Nachbarschafts-Empfehlungen</w:t>
            </w:r>
          </w:p>
        </w:tc>
        <w:tc>
          <w:tcPr/>
          <w:p>
            <w:pPr>
              <w:pStyle w:val="Compact"/>
              <w:jc w:val="right"/>
            </w:pPr>
            <w:r>
              <w:t xml:space="preserve">39 $</w:t>
            </w:r>
          </w:p>
        </w:tc>
        <w:tc>
          <w:tcPr/>
          <w:p>
            <w:pPr>
              <w:pStyle w:val="Compact"/>
            </w:pPr>
            <w:r>
              <w:t xml:space="preserve">15%</w:t>
            </w:r>
          </w:p>
        </w:tc>
        <w:tc>
          <w:tcPr/>
          <w:p>
            <w:pPr>
              <w:pStyle w:val="Compact"/>
            </w:pPr>
            <w:r>
              <w:t xml:space="preserve">46%</w:t>
            </w:r>
          </w:p>
        </w:tc>
        <w:tc>
          <w:tcPr/>
          <w:p>
            <w:pPr>
              <w:pStyle w:val="Compact"/>
            </w:pPr>
            <w:r>
              <w:t xml:space="preserve">6%</w:t>
            </w:r>
          </w:p>
        </w:tc>
      </w:tr>
      <w:tr>
        <w:tc>
          <w:tcPr/>
          <w:p>
            <w:pPr>
              <w:pStyle w:val="Compact"/>
              <w:jc w:val="left"/>
            </w:pPr>
            <w:r>
              <w:t xml:space="preserve">Immobilien-/Arbeitgeberpartne</w:t>
            </w:r>
          </w:p>
        </w:tc>
        <w:tc>
          <w:tcPr/>
          <w:p>
            <w:pPr>
              <w:pStyle w:val="Compact"/>
              <w:jc w:val="right"/>
            </w:pPr>
            <w:r>
              <w:t xml:space="preserve">r 61 $</w:t>
            </w:r>
          </w:p>
        </w:tc>
        <w:tc>
          <w:tcPr/>
          <w:p>
            <w:pPr>
              <w:pStyle w:val="Compact"/>
            </w:pPr>
            <w:r>
              <w:t xml:space="preserve">22%</w:t>
            </w:r>
          </w:p>
        </w:tc>
        <w:tc>
          <w:tcPr/>
          <w:p>
            <w:pPr>
              <w:pStyle w:val="Compact"/>
            </w:pPr>
            <w:r>
              <w:t xml:space="preserve">38%</w:t>
            </w:r>
          </w:p>
        </w:tc>
        <w:tc>
          <w:tcPr/>
          <w:p>
            <w:pPr>
              <w:pStyle w:val="Compact"/>
            </w:pPr>
            <w:r>
              <w:t xml:space="preserve">7%</w:t>
            </w:r>
          </w:p>
        </w:tc>
      </w:tr>
      <w:tr>
        <w:tc>
          <w:tcPr/>
          <w:p>
            <w:pPr>
              <w:pStyle w:val="Compact"/>
              <w:jc w:val="left"/>
            </w:pPr>
            <w:r>
              <w:t xml:space="preserve">Lokale Dienstleistungsmarktpl</w:t>
            </w:r>
          </w:p>
        </w:tc>
        <w:tc>
          <w:tcPr/>
          <w:p>
            <w:pPr>
              <w:pStyle w:val="Compact"/>
              <w:jc w:val="right"/>
            </w:pPr>
            <w:r>
              <w:t xml:space="preserve">ätze 84 $</w:t>
            </w:r>
          </w:p>
        </w:tc>
        <w:tc>
          <w:tcPr/>
          <w:p>
            <w:pPr>
              <w:pStyle w:val="Compact"/>
            </w:pPr>
            <w:r>
              <w:t xml:space="preserve">18%</w:t>
            </w:r>
          </w:p>
        </w:tc>
        <w:tc>
          <w:tcPr/>
          <w:p>
            <w:pPr>
              <w:pStyle w:val="Compact"/>
            </w:pPr>
            <w:r>
              <w:t xml:space="preserve">27%</w:t>
            </w:r>
          </w:p>
        </w:tc>
        <w:tc>
          <w:tcPr/>
          <w:p>
            <w:pPr>
              <w:pStyle w:val="Compact"/>
            </w:pPr>
            <w:r>
              <w:t xml:space="preserve">12%</w:t>
            </w:r>
          </w:p>
        </w:tc>
      </w:tr>
    </w:tbl>
    <w:p>
      <w:pPr>
        <w:pStyle w:val="BodyText"/>
      </w:pPr>
      <w:r>
        <w:t xml:space="preserve">Ein Kunde, der einmalig buchte, erzeugte sofortigen Umsatz, aber wenig langfristigen Wert. Ein wiederkehrender Kunde könnte 12 bis 24 Besuche pro Jahr buchen, aber nur, wenn die Erstreinigung die Erwartungen erfüllte und das Unternehmen konsistente Termine anbieten konnte. BrightNest hatte noch nicht herausgefunden, ob Kunden der Marke, einer bestimmten Reinigungskraft oder einfach dem niedrigsten verfügbaren Preis treu waren.</w:t>
      </w:r>
    </w:p>
    <w:bookmarkEnd w:id="10"/>
    <w:bookmarkEnd w:id="11"/>
    <w:bookmarkStart w:id="13" w:name="nachfrageschätzung"/>
    <w:p>
      <w:pPr>
        <w:pStyle w:val="Heading1"/>
      </w:pPr>
      <w:r>
        <w:t xml:space="preserve">Nachfrageschätzung</w:t>
      </w:r>
    </w:p>
    <w:p>
      <w:pPr>
        <w:pStyle w:val="FirstParagraph"/>
      </w:pPr>
      <w:r>
        <w:t xml:space="preserve">Das Management erstellte eine Top-down-Nachfrageschätzung. Ausgehend von etwa 132 Millionen US-Haushalten nahm es an, dass 7,5 Prozent mindestens eine professionelle Reinigung pro Jahr kaufen würden. Bei durchschnittlich sechs Besuchen und 150 $ pro Besuch implizierte dies jährliche Ausgaben von nahezu 9 Milliarden $. Eine breitere Annahme von 12 Prozent Beteiligung und acht Besuchen implizierte mehr als 19 Milliarden $. Das Team bezeichnete beide Zahlen als</w:t>
      </w:r>
      <w:r>
        <w:t xml:space="preserve"> </w:t>
      </w:r>
      <w:r>
        <w:t xml:space="preserve">“Markthypothesen”</w:t>
      </w:r>
      <w:r>
        <w:t xml:space="preserve">, nicht als Prognosen.</w:t>
      </w:r>
    </w:p>
    <w:p>
      <w:pPr>
        <w:pStyle w:val="BodyText"/>
      </w:pPr>
      <w:r>
        <w:t xml:space="preserve">Die Bottom-up-Schätzung war weniger großzügig. In den 30 zunächst untersuchten Metropolregionen identifizierte BrightNest 24 Millionen Haushalte. Basierend auf Einkommen, Haushaltszusammensetzung, Wohnungstyp, digitalem Kaufverhalten und lokalen Servicepreisen klassifizierte es 3,7 Millionen als plausible wiederkehrende Servicekunden. Die Erfassung von 1 Prozent dieser Gruppe würde 37.000 Kunden ergeben. Bei 15 jährlichen Reinigungen pro Kunde wären mehr als 550.000 abgeschlossene Besuche pro Jahr erforderlich - etwa 2.200 Besuche an jedem Werktag.</w:t>
      </w:r>
    </w:p>
    <w:bookmarkStart w:id="12" w:name="Xb1e058c118f38b6186921b024496f8442e0d68c"/>
    <w:p>
      <w:pPr>
        <w:pStyle w:val="Heading2"/>
      </w:pPr>
      <w:r>
        <w:t xml:space="preserve">Exhibit 2. Illustrative nationale Nachfrageszenarien</w:t>
      </w:r>
    </w:p>
    <w:tbl>
      <w:tblPr>
        <w:tblStyle w:val="Table"/>
        <w:tblW w:type="pct" w:w="4914"/>
        <w:tblLayout w:type="fixed"/>
        <w:tblLook w:firstRow="1" w:lastRow="0" w:firstColumn="0" w:lastColumn="0" w:noHBand="0" w:noVBand="0" w:val="0020"/>
      </w:tblPr>
      <w:tblGrid>
        <w:gridCol w:w="1024"/>
        <w:gridCol w:w="2253"/>
        <w:gridCol w:w="1638"/>
        <w:gridCol w:w="1092"/>
        <w:gridCol w:w="1775"/>
      </w:tblGrid>
      <w:tr>
        <w:trPr>
          <w:tblHeader w:val="on"/>
        </w:trPr>
        <w:tc>
          <w:tcPr/>
          <w:p>
            <w:pPr>
              <w:pStyle w:val="Compact"/>
              <w:jc w:val="left"/>
            </w:pPr>
            <w:r>
              <w:t xml:space="preserve">Szenario</w:t>
            </w:r>
          </w:p>
        </w:tc>
        <w:tc>
          <w:tcPr/>
          <w:p>
            <w:pPr>
              <w:pStyle w:val="Compact"/>
            </w:pPr>
            <w:r>
              <w:t xml:space="preserve">Haushalte, die bezahlte Reinigung</w:t>
            </w:r>
          </w:p>
        </w:tc>
        <w:tc>
          <w:tcPr/>
          <w:p>
            <w:pPr>
              <w:pStyle w:val="Compact"/>
              <w:jc w:val="right"/>
            </w:pPr>
            <w:r>
              <w:t xml:space="preserve">nutzen Durchschnittli</w:t>
            </w:r>
          </w:p>
        </w:tc>
        <w:tc>
          <w:tcPr/>
          <w:p>
            <w:pPr>
              <w:pStyle w:val="Compact"/>
            </w:pPr>
            <w:r>
              <w:t xml:space="preserve">che jährliche Be</w:t>
            </w:r>
          </w:p>
        </w:tc>
        <w:tc>
          <w:tcPr/>
          <w:p>
            <w:pPr>
              <w:pStyle w:val="Compact"/>
            </w:pPr>
            <w:r>
              <w:t xml:space="preserve">suche Durchschnittspreis Geschätzte jährliche Nachfrage</w:t>
            </w:r>
          </w:p>
        </w:tc>
      </w:tr>
      <w:tr>
        <w:tc>
          <w:tcPr/>
          <w:p>
            <w:pPr>
              <w:pStyle w:val="Compact"/>
              <w:jc w:val="left"/>
            </w:pPr>
            <w:r>
              <w:t xml:space="preserve">Konservativ 6</w:t>
            </w:r>
          </w:p>
        </w:tc>
        <w:tc>
          <w:tcPr/>
          <w:p>
            <w:pPr>
              <w:pStyle w:val="Compact"/>
            </w:pPr>
            <w:r>
              <w:t xml:space="preserve">,6 Millionen (5%)</w:t>
            </w:r>
          </w:p>
        </w:tc>
        <w:tc>
          <w:tcPr/>
          <w:p>
            <w:pPr>
              <w:pStyle w:val="Compact"/>
              <w:jc w:val="right"/>
            </w:pPr>
            <w:r>
              <w:t xml:space="preserve">4</w:t>
            </w:r>
          </w:p>
        </w:tc>
        <w:tc>
          <w:tcPr/>
          <w:p>
            <w:pPr>
              <w:pStyle w:val="Compact"/>
            </w:pPr>
            <w:r>
              <w:t xml:space="preserve">145 $</w:t>
            </w:r>
          </w:p>
        </w:tc>
        <w:tc>
          <w:tcPr/>
          <w:p>
            <w:pPr>
              <w:pStyle w:val="Compact"/>
            </w:pPr>
            <w:r>
              <w:t xml:space="preserve">3,8 Milliarden $</w:t>
            </w:r>
          </w:p>
        </w:tc>
      </w:tr>
      <w:tr>
        <w:tc>
          <w:tcPr/>
          <w:p>
            <w:pPr>
              <w:pStyle w:val="Compact"/>
              <w:jc w:val="left"/>
            </w:pPr>
            <w:r>
              <w:t xml:space="preserve">Basis</w:t>
            </w:r>
          </w:p>
        </w:tc>
        <w:tc>
          <w:tcPr/>
          <w:p>
            <w:pPr>
              <w:pStyle w:val="Compact"/>
            </w:pPr>
            <w:r>
              <w:t xml:space="preserve">9,9 Millionen (7,5%)</w:t>
            </w:r>
          </w:p>
        </w:tc>
        <w:tc>
          <w:tcPr/>
          <w:p>
            <w:pPr>
              <w:pStyle w:val="Compact"/>
              <w:jc w:val="right"/>
            </w:pPr>
            <w:r>
              <w:t xml:space="preserve">6</w:t>
            </w:r>
          </w:p>
        </w:tc>
        <w:tc>
          <w:tcPr/>
          <w:p>
            <w:pPr>
              <w:pStyle w:val="Compact"/>
            </w:pPr>
            <w:r>
              <w:t xml:space="preserve">150 $</w:t>
            </w:r>
          </w:p>
        </w:tc>
        <w:tc>
          <w:tcPr/>
          <w:p>
            <w:pPr>
              <w:pStyle w:val="Compact"/>
            </w:pPr>
            <w:r>
              <w:t xml:space="preserve">8,9 Milliarden $</w:t>
            </w:r>
          </w:p>
        </w:tc>
      </w:tr>
      <w:tr>
        <w:tc>
          <w:tcPr/>
          <w:p>
            <w:pPr>
              <w:pStyle w:val="Compact"/>
              <w:jc w:val="left"/>
            </w:pPr>
            <w:r>
              <w:t xml:space="preserve">Hoch</w:t>
            </w:r>
          </w:p>
        </w:tc>
        <w:tc>
          <w:tcPr/>
          <w:p>
            <w:pPr>
              <w:pStyle w:val="Compact"/>
            </w:pPr>
            <w:r>
              <w:t xml:space="preserve">15,8 Millionen (12%)</w:t>
            </w:r>
          </w:p>
        </w:tc>
        <w:tc>
          <w:tcPr/>
          <w:p>
            <w:pPr>
              <w:pStyle w:val="Compact"/>
              <w:jc w:val="right"/>
            </w:pPr>
            <w:r>
              <w:t xml:space="preserve">8</w:t>
            </w:r>
          </w:p>
        </w:tc>
        <w:tc>
          <w:tcPr/>
          <w:p>
            <w:pPr>
              <w:pStyle w:val="Compact"/>
            </w:pPr>
            <w:r>
              <w:t xml:space="preserve">155 $</w:t>
            </w:r>
          </w:p>
        </w:tc>
        <w:tc>
          <w:tcPr/>
          <w:p>
            <w:pPr>
              <w:pStyle w:val="Compact"/>
            </w:pPr>
            <w:r>
              <w:t xml:space="preserve">19,6 Milliarden $</w:t>
            </w:r>
          </w:p>
        </w:tc>
      </w:tr>
    </w:tbl>
    <w:bookmarkEnd w:id="12"/>
    <w:bookmarkEnd w:id="13"/>
    <w:bookmarkStart w:id="15" w:name="aufbau-des-reinigungskräfte-netzwerks"/>
    <w:p>
      <w:pPr>
        <w:pStyle w:val="Heading1"/>
      </w:pPr>
      <w:r>
        <w:t xml:space="preserve">Aufbau des Reinigungskräfte-Netzwerks</w:t>
      </w:r>
    </w:p>
    <w:p>
      <w:pPr>
        <w:pStyle w:val="FirstParagraph"/>
      </w:pPr>
      <w:r>
        <w:t xml:space="preserve">BrightNest besaß weder Reinigungsniederlassungen noch beschäftigte es große lokale Rekrutierungsteams. Stattdessen plante es, Beschäftigungsmöglichkeiten über WorkReach zu bewerben, eine fiktive nationale Jobsuch-App. Ein Bewerber konnte geschätzte Einnahmen einsehen, bevorzugte Arbeitsgebiete und Arbeitszeiten auswählen, Identitäts- und Beschäftigungsdokumente hochladen, eine Hintergrundprüfung abschließen, Schulungsmodule ansehen und ein zugelassenes Ausstattungsset bestellen.</w:t>
      </w:r>
    </w:p>
    <w:p>
      <w:pPr>
        <w:pStyle w:val="BodyText"/>
      </w:pPr>
      <w:r>
        <w:t xml:space="preserve">Der nationale Arbeitskräftepool wirkte groß. Das Bureau of Labor Statistics schätzte im Mai 2025 860.670 Haus- und Reinigungskräfte, mit einem durchschnittlichen Lohn von 17,83 $ pro Stunde und einem Median von 17,07 $. Beschäftigte im Bereich Gebäude- und Grundstücksreinigung zählten 2024 mehr als 5,7 Millionen Personen, obwohl die meisten keine Tätigkeit im Privathaushalt ausübten. Diese Zahlen deuteten auf Arbeitskräfteverfügbarkeit hin, beantworteten aber nicht, wie viele Arbeitskräfte variable, per App vermittelte Reinigungsaufträge im Privathaushalt wollten.</w:t>
      </w:r>
    </w:p>
    <w:p>
      <w:pPr>
        <w:pStyle w:val="BodyText"/>
      </w:pPr>
      <w:r>
        <w:t xml:space="preserve">Die Arbeit war körperlich anstrengend, Fahrten zwischen den Häusern waren bei manchen Modellen unbezahlt, und Kunden forderten manchmal Abende oder Wochenenden an. Bewerber verglichen BrightNest außerdem mit Hotels, Krankenhäusern, gewerblichen Reinigungsunternehmen, häuslicher Pflegearbeit, Lieferplattformen und direkten Privatkunden. Ein Spitzensatz von 28 $ pro Reinigungsstunde konnte für eine Arbeitskraft, die 75 Minuten mit Fahren, dem Kauf von Reinigungsmitteln, der Kommunikation mit Kunden oder dem Warten zwischen Aufträgen verbrachte, in deutlich weniger übersetzt werden.</w:t>
      </w:r>
    </w:p>
    <w:bookmarkStart w:id="14" w:name="X711599f113001bad2574a9e9b674f7de3d3ba22"/>
    <w:p>
      <w:pPr>
        <w:pStyle w:val="Heading2"/>
      </w:pPr>
      <w:r>
        <w:t xml:space="preserve">Exhibit 3. Pilot-Trichter für Reinigungskräfte</w:t>
      </w:r>
    </w:p>
    <w:tbl>
      <w:tblPr>
        <w:tblStyle w:val="Table"/>
        <w:tblW w:type="pct" w:w="4912"/>
        <w:tblLayout w:type="fixed"/>
        <w:tblLook w:firstRow="1" w:lastRow="0" w:firstColumn="0" w:lastColumn="0" w:noHBand="0" w:noVBand="0" w:val="0020"/>
      </w:tblPr>
      <w:tblGrid>
        <w:gridCol w:w="1962"/>
        <w:gridCol w:w="911"/>
        <w:gridCol w:w="1612"/>
        <w:gridCol w:w="3294"/>
      </w:tblGrid>
      <w:tr>
        <w:trPr>
          <w:tblHeader w:val="on"/>
        </w:trPr>
        <w:tc>
          <w:tcPr/>
          <w:p>
            <w:pPr>
              <w:pStyle w:val="Compact"/>
              <w:jc w:val="left"/>
            </w:pPr>
            <w:r>
              <w:t xml:space="preserve">Stufe</w:t>
            </w:r>
          </w:p>
        </w:tc>
        <w:tc>
          <w:tcPr/>
          <w:p>
            <w:pPr>
              <w:pStyle w:val="Compact"/>
            </w:pPr>
            <w:r>
              <w:t xml:space="preserve">Bewerber An</w:t>
            </w:r>
          </w:p>
        </w:tc>
        <w:tc>
          <w:tcPr/>
          <w:p>
            <w:pPr>
              <w:pStyle w:val="Compact"/>
            </w:pPr>
            <w:r>
              <w:t xml:space="preserve">teil der vorherigen Stu</w:t>
            </w:r>
          </w:p>
        </w:tc>
        <w:tc>
          <w:tcPr/>
          <w:p>
            <w:pPr>
              <w:pStyle w:val="Compact"/>
              <w:jc w:val="left"/>
            </w:pPr>
            <w:r>
              <w:t xml:space="preserve">fe Hauptgrund für Verlust</w:t>
            </w:r>
          </w:p>
        </w:tc>
      </w:tr>
      <w:tr>
        <w:tc>
          <w:tcPr/>
          <w:p>
            <w:pPr>
              <w:pStyle w:val="Compact"/>
              <w:jc w:val="left"/>
            </w:pPr>
            <w:r>
              <w:t xml:space="preserve">Auf Stellenanzeige geklickt</w:t>
            </w:r>
          </w:p>
        </w:tc>
        <w:tc>
          <w:tcPr/>
          <w:p>
            <w:pPr>
              <w:pStyle w:val="Compact"/>
            </w:pPr>
            <w:r>
              <w:t xml:space="preserve">18.400</w:t>
            </w:r>
          </w:p>
        </w:tc>
        <w:tc>
          <w:tcPr/>
          <w:p>
            <w:pPr>
              <w:pStyle w:val="Compact"/>
            </w:pPr>
            <w:r>
              <w:t xml:space="preserve">-</w:t>
            </w:r>
          </w:p>
        </w:tc>
        <w:tc>
          <w:tcPr/>
          <w:p>
            <w:pPr>
              <w:pStyle w:val="Compact"/>
              <w:jc w:val="left"/>
            </w:pPr>
            <w:r>
              <w:t xml:space="preserve">-</w:t>
            </w:r>
          </w:p>
        </w:tc>
      </w:tr>
      <w:tr>
        <w:tc>
          <w:tcPr/>
          <w:p>
            <w:pPr>
              <w:pStyle w:val="Compact"/>
              <w:jc w:val="left"/>
            </w:pPr>
            <w:r>
              <w:t xml:space="preserve">Bewerbung begonnen</w:t>
            </w:r>
          </w:p>
        </w:tc>
        <w:tc>
          <w:tcPr/>
          <w:p>
            <w:pPr>
              <w:pStyle w:val="Compact"/>
            </w:pPr>
            <w:r>
              <w:t xml:space="preserve">7.920</w:t>
            </w:r>
          </w:p>
        </w:tc>
        <w:tc>
          <w:tcPr/>
          <w:p>
            <w:pPr>
              <w:pStyle w:val="Compact"/>
            </w:pPr>
            <w:r>
              <w:t xml:space="preserve">43%</w:t>
            </w:r>
          </w:p>
        </w:tc>
        <w:tc>
          <w:tcPr/>
          <w:p>
            <w:pPr>
              <w:pStyle w:val="Compact"/>
              <w:jc w:val="left"/>
            </w:pPr>
            <w:r>
              <w:t xml:space="preserve">Vergütung oder Standort unklar</w:t>
            </w:r>
          </w:p>
        </w:tc>
      </w:tr>
      <w:tr>
        <w:tc>
          <w:tcPr/>
          <w:p>
            <w:pPr>
              <w:pStyle w:val="Compact"/>
              <w:jc w:val="left"/>
            </w:pPr>
            <w:r>
              <w:t xml:space="preserve">Prüfung bestanden</w:t>
            </w:r>
          </w:p>
        </w:tc>
        <w:tc>
          <w:tcPr/>
          <w:p>
            <w:pPr>
              <w:pStyle w:val="Compact"/>
            </w:pPr>
            <w:r>
              <w:t xml:space="preserve">4.110</w:t>
            </w:r>
          </w:p>
        </w:tc>
        <w:tc>
          <w:tcPr/>
          <w:p>
            <w:pPr>
              <w:pStyle w:val="Compact"/>
            </w:pPr>
            <w:r>
              <w:t xml:space="preserve">52%</w:t>
            </w:r>
          </w:p>
        </w:tc>
        <w:tc>
          <w:tcPr/>
          <w:p>
            <w:pPr>
              <w:pStyle w:val="Compact"/>
              <w:jc w:val="left"/>
            </w:pPr>
            <w:r>
              <w:t xml:space="preserve">Dokumentation/Hintergrundprüfung</w:t>
            </w:r>
          </w:p>
        </w:tc>
      </w:tr>
      <w:tr>
        <w:tc>
          <w:tcPr/>
          <w:p>
            <w:pPr>
              <w:pStyle w:val="Compact"/>
              <w:jc w:val="left"/>
            </w:pPr>
            <w:r>
              <w:t xml:space="preserve">Schulung abgeschlossen</w:t>
            </w:r>
          </w:p>
        </w:tc>
        <w:tc>
          <w:tcPr/>
          <w:p>
            <w:pPr>
              <w:pStyle w:val="Compact"/>
            </w:pPr>
            <w:r>
              <w:t xml:space="preserve">2.380</w:t>
            </w:r>
          </w:p>
        </w:tc>
        <w:tc>
          <w:tcPr/>
          <w:p>
            <w:pPr>
              <w:pStyle w:val="Compact"/>
            </w:pPr>
            <w:r>
              <w:t xml:space="preserve">58%</w:t>
            </w:r>
          </w:p>
        </w:tc>
        <w:tc>
          <w:tcPr/>
          <w:p>
            <w:pPr>
              <w:pStyle w:val="Compact"/>
              <w:jc w:val="left"/>
            </w:pPr>
            <w:r>
              <w:t xml:space="preserve">Zeit- und Ausrüstungsanforderungen</w:t>
            </w:r>
          </w:p>
        </w:tc>
      </w:tr>
      <w:tr>
        <w:tc>
          <w:tcPr/>
          <w:p>
            <w:pPr>
              <w:pStyle w:val="Compact"/>
              <w:jc w:val="left"/>
            </w:pPr>
            <w:r>
              <w:t xml:space="preserve">Ersten Auftrag angenommen</w:t>
            </w:r>
          </w:p>
        </w:tc>
        <w:tc>
          <w:tcPr/>
          <w:p>
            <w:pPr>
              <w:pStyle w:val="Compact"/>
            </w:pPr>
            <w:r>
              <w:t xml:space="preserve">1.420</w:t>
            </w:r>
          </w:p>
        </w:tc>
        <w:tc>
          <w:tcPr/>
          <w:p>
            <w:pPr>
              <w:pStyle w:val="Compact"/>
            </w:pPr>
            <w:r>
              <w:t xml:space="preserve">60%</w:t>
            </w:r>
          </w:p>
        </w:tc>
        <w:tc>
          <w:tcPr/>
          <w:p>
            <w:pPr>
              <w:pStyle w:val="Compact"/>
              <w:jc w:val="left"/>
            </w:pPr>
            <w:r>
              <w:t xml:space="preserve">Fahrt- oder Terminkonflikt</w:t>
            </w:r>
          </w:p>
        </w:tc>
      </w:tr>
      <w:tr>
        <w:tc>
          <w:tcPr/>
          <w:p>
            <w:pPr>
              <w:pStyle w:val="Compact"/>
              <w:jc w:val="left"/>
            </w:pPr>
            <w:r>
              <w:t xml:space="preserve">Aktiv nach 60 Tagen</w:t>
            </w:r>
          </w:p>
        </w:tc>
        <w:tc>
          <w:tcPr/>
          <w:p>
            <w:pPr>
              <w:pStyle w:val="Compact"/>
            </w:pPr>
            <w:r>
              <w:t xml:space="preserve">690</w:t>
            </w:r>
          </w:p>
        </w:tc>
        <w:tc>
          <w:tcPr/>
          <w:p>
            <w:pPr>
              <w:pStyle w:val="Compact"/>
            </w:pPr>
            <w:r>
              <w:t xml:space="preserve">49%</w:t>
            </w:r>
          </w:p>
        </w:tc>
        <w:tc>
          <w:tcPr/>
          <w:p>
            <w:pPr>
              <w:pStyle w:val="Compact"/>
              <w:jc w:val="left"/>
            </w:pPr>
            <w:r>
              <w:t xml:space="preserve">Unregelmäßige Stunden, Fahrten, Kundenbewertungen</w:t>
            </w:r>
          </w:p>
        </w:tc>
      </w:tr>
    </w:tbl>
    <w:p>
      <w:pPr>
        <w:pStyle w:val="BodyText"/>
      </w:pPr>
      <w:r>
        <w:t xml:space="preserve">Der Betrieb schlug ein garantiertes Minimum von 120 $ für Reinigungskräfte vor, die einen Sechs-Stunden-Block reservierten, selbst wenn die Nachfrage unzureichend war. Das Finanzteam schätzte, dass eine Garantie die Annahme- und Bindungsrate erhöhen könnte, aber erhebliche Leerzeitkosten während des Marktstarts erzeugen würde. Ein weiterer Vorschlag würde Reinigungskräften erlauben, ihre eigenen Preise festzulegen. Wachstumsmanager wandten ein, dass Kunden ein einfaches, konsistentes Angebot erwarteten.</w:t>
      </w:r>
    </w:p>
    <w:bookmarkEnd w:id="14"/>
    <w:bookmarkEnd w:id="15"/>
    <w:bookmarkStart w:id="16" w:name="X360f3702ba13c1b3364790b7eced2cd666d07e6"/>
    <w:p>
      <w:pPr>
        <w:pStyle w:val="Heading1"/>
      </w:pPr>
      <w:r>
        <w:t xml:space="preserve">Beschäftigungsmodell und Einwanderungsunsicherheit</w:t>
      </w:r>
    </w:p>
    <w:p>
      <w:pPr>
        <w:pStyle w:val="FirstParagraph"/>
      </w:pPr>
      <w:r>
        <w:t xml:space="preserve">Das Rechtsteam warnte, dass BrightNest entscheiden müsse, ob Reinigungskräfte Angestellte, unabhängige Auftragnehmer oder eine je nach Bundesstaat variierende Mischung sein würden. Die Antwort beeinflusste die Kontrolle über Zeitpläne, Schulung, Ausrüstung, Versicherung, Lohnsteuern, Leistungen und Beschäftigungsverifizierung. Wenn Reinigungskräfte Angestellte wären, verlangte das Bundesrecht, dass das Unternehmen für jede Einstellung das Formular I-9 ausfüllt, unabhängig von Staatsbürgerschaft oder nationaler Herkunft. Bundesstaatliche Regelungen konnten zusätzliche Anforderungen auferlegen oder die Einstufung als Auftragnehmer erschweren.</w:t>
      </w:r>
    </w:p>
    <w:p>
      <w:pPr>
        <w:pStyle w:val="BodyText"/>
      </w:pPr>
      <w:r>
        <w:t xml:space="preserve">Die Verfügbarkeit von Arbeitskräften war auch der Einwanderungspolitik ausgesetzt. Im Jahr 2025 waren im Ausland geborene Arbeitskräfte häufiger als im Inland geborene Arbeitskräfte in Dienstleistungsberufen tätig - 21,2 Prozent gegenüber 15,6 Prozent. BrightNest hatte keine verlässlichen Daten über die Herkunft oder den Status seiner potenziellen Reinigungskräfte, und das Management war sich einig, dass es die Arbeitserlaubnis nicht aus Sprache, Erscheinungsbild oder Beruf ableiten konnte. Trotzdem konnte verstärkte Einwanderungsdurchsetzung, sich ändernde Genehmigungsprogramme und Angst vor Durchsetzungsmaßnahmen Bewerbungen oder Mobilität in einigen lokalen Dienstleistungsarbeitsmärkten verringern, auch bei Personen, die vollständig zur Arbeit berechtigt waren, sich aber Sorgen um Familie oder Gemeinschaft machten.</w:t>
      </w:r>
    </w:p>
    <w:p>
      <w:pPr>
        <w:pStyle w:val="BodyText"/>
      </w:pPr>
      <w:r>
        <w:t xml:space="preserve">Das Unternehmen sah sich einem verwandten Reputationsrisiko gegenüber. Eine aggressive Verifizierung über die gesetzlichen Anforderungen hinaus könnte qualifizierte Arbeitskräfte abschrecken und Diskriminierungsklagen einladen. Schwache Kontrollen könnten das Unternehmen Strafen, Kundenbedenken und betrieblichen Störungen aussetzen. Ein landesweiter Start würde diese Probleme über verschiedene bundesstaatliche Arbeitsgesetze und lokale Arbeitsmarktbedingungen hinweg vervielfachen.</w:t>
      </w:r>
    </w:p>
    <w:bookmarkEnd w:id="16"/>
    <w:bookmarkStart w:id="18" w:name="werkzeuge-produkte-und-servicequalität"/>
    <w:p>
      <w:pPr>
        <w:pStyle w:val="Heading1"/>
      </w:pPr>
      <w:r>
        <w:t xml:space="preserve">Werkzeuge, Produkte und Servicequalität</w:t>
      </w:r>
    </w:p>
    <w:p>
      <w:pPr>
        <w:pStyle w:val="FirstParagraph"/>
      </w:pPr>
      <w:r>
        <w:t xml:space="preserve">BrightNest verlangte zunächst von Reinigungskräften, einen Staubsauger, einen Wischmopp, grundlegende Werkzeuge und zugelassene Reinigungsprodukte selbst mitzubringen. Bewerber konnten ein Starter-Set für 310 $ über Gehaltsabzüge kaufen oder nach Abschluss von 20 Aufträgen ein Ausrüstungsguthaben von 150 $ erhalten. Interviews mit Reinigungskräften deuteten darauf hin, dass diese Richtlinie drei Probleme erzeugte. Manchen Bewerbern fehlte das Bargeld oder der Stauraum für Ausrüstung. Andere besaßen bereits bevorzugte Produkte und ärgerten sich darüber, ein standardisiertes Set kaufen zu müssen. Kunden forderten manchmal duftstofffreie, haustiersichere oder umweltzertifizierte Produkte an, die nicht im Standardset enthalten waren.</w:t>
      </w:r>
    </w:p>
    <w:p>
      <w:pPr>
        <w:pStyle w:val="BodyText"/>
      </w:pPr>
      <w:r>
        <w:t xml:space="preserve">Das Betriebsteam erwog vier Versorgungsmodelle: von der Reinigungskraft bereitgestellte Ausrüstung; vom Unternehmen finanzierte Starter-Sets; lokale Ausrüstungsschließfächer; und firmeneigene Sets, die zu jedem Termin geliefert werden. Jedes Modell veränderte die Wirtschaftlichkeit, die Qualitätskontrollen und die Argumente zur Mitarbeiterklassifizierung. Firmeneigene Ausrüstung verbesserte die Konsistenz, fügte aber Bestand, Wartung, Reinigung, Diebstahl und Logistik der letzten Meile hinzu.</w:t>
      </w:r>
    </w:p>
    <w:bookmarkStart w:id="17" w:name="X030628a6f49aa265c11837016743bfbf2a36014"/>
    <w:p>
      <w:pPr>
        <w:pStyle w:val="Heading2"/>
      </w:pPr>
      <w:r>
        <w:t xml:space="preserve">Exhibit 4. Vergütung der Reinigungskräfte und Stückwirtschaft</w:t>
      </w:r>
    </w:p>
    <w:tbl>
      <w:tblPr>
        <w:tblStyle w:val="Table"/>
        <w:tblW w:type="pct" w:w="4896"/>
        <w:tblLayout w:type="fixed"/>
        <w:tblLook w:firstRow="1" w:lastRow="0" w:firstColumn="0" w:lastColumn="0" w:noHBand="0" w:noVBand="0" w:val="0020"/>
      </w:tblPr>
      <w:tblGrid>
        <w:gridCol w:w="3300"/>
        <w:gridCol w:w="2227"/>
        <w:gridCol w:w="2227"/>
      </w:tblGrid>
      <w:tr>
        <w:trPr>
          <w:tblHeader w:val="on"/>
        </w:trPr>
        <w:tc>
          <w:tcPr/>
          <w:p>
            <w:pPr>
              <w:pStyle w:val="Compact"/>
              <w:jc w:val="left"/>
            </w:pPr>
            <w:r>
              <w:t xml:space="preserve">Posten</w:t>
            </w:r>
          </w:p>
        </w:tc>
        <w:tc>
          <w:tcPr/>
          <w:p>
            <w:pPr>
              <w:pStyle w:val="Compact"/>
              <w:jc w:val="right"/>
            </w:pPr>
            <w:r>
              <w:t xml:space="preserve">Standardmäßige wiederkehr</w:t>
            </w:r>
          </w:p>
        </w:tc>
        <w:tc>
          <w:tcPr/>
          <w:p>
            <w:pPr>
              <w:pStyle w:val="Compact"/>
            </w:pPr>
            <w:r>
              <w:t xml:space="preserve">ende Reinigung Rabattierte Erstreinigung</w:t>
            </w:r>
          </w:p>
        </w:tc>
      </w:tr>
      <w:tr>
        <w:tc>
          <w:tcPr/>
          <w:p>
            <w:pPr>
              <w:pStyle w:val="Compact"/>
              <w:jc w:val="left"/>
            </w:pPr>
            <w:r>
              <w:t xml:space="preserve">Kundenpreis 142</w:t>
            </w:r>
          </w:p>
        </w:tc>
        <w:tc>
          <w:tcPr/>
          <w:p>
            <w:pPr>
              <w:pStyle w:val="Compact"/>
              <w:jc w:val="right"/>
            </w:pPr>
            <w:r>
              <w:t xml:space="preserve">$ 10</w:t>
            </w:r>
          </w:p>
        </w:tc>
        <w:tc>
          <w:tcPr/>
          <w:p>
            <w:pPr>
              <w:pStyle w:val="Compact"/>
            </w:pPr>
            <w:r>
              <w:t xml:space="preserve">7 $ (25% Rabatt)</w:t>
            </w:r>
          </w:p>
        </w:tc>
      </w:tr>
      <w:tr>
        <w:tc>
          <w:tcPr/>
          <w:p>
            <w:pPr>
              <w:pStyle w:val="Compact"/>
              <w:jc w:val="left"/>
            </w:pPr>
            <w:r>
              <w:t xml:space="preserve">Aktive Zeit der Reinigungskraft</w:t>
            </w:r>
          </w:p>
        </w:tc>
        <w:tc>
          <w:tcPr/>
          <w:p>
            <w:pPr>
              <w:pStyle w:val="Compact"/>
              <w:jc w:val="right"/>
            </w:pPr>
            <w:r>
              <w:t xml:space="preserve">3,0 Stunden</w:t>
            </w:r>
          </w:p>
        </w:tc>
        <w:tc>
          <w:tcPr/>
          <w:p>
            <w:pPr>
              <w:pStyle w:val="Compact"/>
            </w:pPr>
            <w:r>
              <w:t xml:space="preserve">3,5 Stunden</w:t>
            </w:r>
          </w:p>
        </w:tc>
      </w:tr>
      <w:tr>
        <w:tc>
          <w:tcPr/>
          <w:p>
            <w:pPr>
              <w:pStyle w:val="Compact"/>
              <w:jc w:val="left"/>
            </w:pPr>
            <w:r>
              <w:t xml:space="preserve">Bezahlung der Reinigungskraft</w:t>
            </w:r>
          </w:p>
        </w:tc>
        <w:tc>
          <w:tcPr/>
          <w:p>
            <w:pPr>
              <w:pStyle w:val="Compact"/>
              <w:jc w:val="right"/>
            </w:pPr>
            <w:r>
              <w:t xml:space="preserve">78 $</w:t>
            </w:r>
          </w:p>
        </w:tc>
        <w:tc>
          <w:tcPr/>
          <w:p>
            <w:pPr>
              <w:pStyle w:val="Compact"/>
            </w:pPr>
            <w:r>
              <w:t xml:space="preserve">91 $</w:t>
            </w:r>
          </w:p>
        </w:tc>
      </w:tr>
      <w:tr>
        <w:tc>
          <w:tcPr/>
          <w:p>
            <w:pPr>
              <w:pStyle w:val="Compact"/>
              <w:jc w:val="left"/>
            </w:pPr>
            <w:r>
              <w:t xml:space="preserve">Lohnsteuern/Auftragnehmergebühren und Ve</w:t>
            </w:r>
          </w:p>
        </w:tc>
        <w:tc>
          <w:tcPr/>
          <w:p>
            <w:pPr>
              <w:pStyle w:val="Compact"/>
              <w:jc w:val="right"/>
            </w:pPr>
            <w:r>
              <w:t xml:space="preserve">rsicherung 14 $</w:t>
            </w:r>
          </w:p>
        </w:tc>
        <w:tc>
          <w:tcPr/>
          <w:p>
            <w:pPr>
              <w:pStyle w:val="Compact"/>
            </w:pPr>
            <w:r>
              <w:t xml:space="preserve">17 $</w:t>
            </w:r>
          </w:p>
        </w:tc>
      </w:tr>
      <w:tr>
        <w:tc>
          <w:tcPr/>
          <w:p>
            <w:pPr>
              <w:pStyle w:val="Compact"/>
              <w:jc w:val="left"/>
            </w:pPr>
            <w:r>
              <w:t xml:space="preserve">Ausstattung und Ausrüstungszulage</w:t>
            </w:r>
          </w:p>
        </w:tc>
        <w:tc>
          <w:tcPr/>
          <w:p>
            <w:pPr>
              <w:pStyle w:val="Compact"/>
              <w:jc w:val="right"/>
            </w:pPr>
            <w:r>
              <w:t xml:space="preserve">9 $</w:t>
            </w:r>
          </w:p>
        </w:tc>
        <w:tc>
          <w:tcPr/>
          <w:p>
            <w:pPr>
              <w:pStyle w:val="Compact"/>
            </w:pPr>
            <w:r>
              <w:t xml:space="preserve">12 $</w:t>
            </w:r>
          </w:p>
        </w:tc>
      </w:tr>
      <w:tr>
        <w:tc>
          <w:tcPr/>
          <w:p>
            <w:pPr>
              <w:pStyle w:val="Compact"/>
              <w:jc w:val="left"/>
            </w:pPr>
            <w:r>
              <w:t xml:space="preserve">Fahrt-/Kilometerunterstützung</w:t>
            </w:r>
          </w:p>
        </w:tc>
        <w:tc>
          <w:tcPr/>
          <w:p>
            <w:pPr>
              <w:pStyle w:val="Compact"/>
              <w:jc w:val="right"/>
            </w:pPr>
            <w:r>
              <w:t xml:space="preserve">8 $</w:t>
            </w:r>
          </w:p>
        </w:tc>
        <w:tc>
          <w:tcPr/>
          <w:p>
            <w:pPr>
              <w:pStyle w:val="Compact"/>
            </w:pPr>
            <w:r>
              <w:t xml:space="preserve">10 $</w:t>
            </w:r>
          </w:p>
        </w:tc>
      </w:tr>
      <w:tr>
        <w:tc>
          <w:tcPr/>
          <w:p>
            <w:pPr>
              <w:pStyle w:val="Compact"/>
              <w:jc w:val="left"/>
            </w:pPr>
            <w:r>
              <w:t xml:space="preserve">Zugeordnete Kundenakquisitionskosten</w:t>
            </w:r>
          </w:p>
        </w:tc>
        <w:tc>
          <w:tcPr/>
          <w:p>
            <w:pPr>
              <w:pStyle w:val="Compact"/>
              <w:jc w:val="right"/>
            </w:pPr>
            <w:r>
              <w:t xml:space="preserve">12 $</w:t>
            </w:r>
          </w:p>
        </w:tc>
        <w:tc>
          <w:tcPr/>
          <w:p>
            <w:pPr>
              <w:pStyle w:val="Compact"/>
            </w:pPr>
            <w:r>
              <w:t xml:space="preserve">61 $</w:t>
            </w:r>
          </w:p>
        </w:tc>
      </w:tr>
      <w:tr>
        <w:tc>
          <w:tcPr/>
          <w:p>
            <w:pPr>
              <w:pStyle w:val="Compact"/>
              <w:jc w:val="left"/>
            </w:pPr>
            <w:r>
              <w:t xml:space="preserve">Support, Rückerstattungen, Zahlungsabwic</w:t>
            </w:r>
          </w:p>
        </w:tc>
        <w:tc>
          <w:tcPr/>
          <w:p>
            <w:pPr>
              <w:pStyle w:val="Compact"/>
              <w:jc w:val="right"/>
            </w:pPr>
            <w:r>
              <w:t xml:space="preserve">klung 10 $</w:t>
            </w:r>
          </w:p>
        </w:tc>
        <w:tc>
          <w:tcPr/>
          <w:p>
            <w:pPr>
              <w:pStyle w:val="Compact"/>
            </w:pPr>
            <w:r>
              <w:t xml:space="preserve">13 $</w:t>
            </w:r>
          </w:p>
        </w:tc>
      </w:tr>
      <w:tr>
        <w:tc>
          <w:tcPr/>
          <w:p>
            <w:pPr>
              <w:pStyle w:val="Compact"/>
              <w:jc w:val="left"/>
            </w:pPr>
            <w:r>
              <w:t xml:space="preserve">Beitrag vor Gemeinkosten 11</w:t>
            </w:r>
          </w:p>
        </w:tc>
        <w:tc>
          <w:tcPr/>
          <w:p>
            <w:pPr>
              <w:pStyle w:val="Compact"/>
              <w:jc w:val="right"/>
            </w:pPr>
            <w:r>
              <w:t xml:space="preserve">$ -97</w:t>
            </w:r>
          </w:p>
        </w:tc>
        <w:tc>
          <w:tcPr/>
          <w:p>
            <w:pPr>
              <w:pStyle w:val="Compact"/>
            </w:pPr>
            <w:r>
              <w:t xml:space="preserve">$</w:t>
            </w:r>
          </w:p>
        </w:tc>
      </w:tr>
    </w:tbl>
    <w:p>
      <w:pPr>
        <w:pStyle w:val="BodyText"/>
      </w:pPr>
      <w:r>
        <w:t xml:space="preserve">Das Exhibit spiegelte Durchschnittswerte wider. Eine kompakte Wohnung in der Nähe eines anderen Termins konnte eine gesunde Marge erzeugen, während ein großes Vorstadthaus mit einer Fahrtzeit von 35 Minuten selbst zum vollen Preis Geld verlieren konnte. Das Sofortpreismodell von BrightNest nutzte Schlafzimmer, Badezimmer, Quadratmeterzahl, Haustiere und angeforderte Aufgaben, berücksichtigte aber noch nicht gut Unordnung, Parkmöglichkeiten, Zugangsverzögerungen oder den Zustand des Hauses.</w:t>
      </w:r>
    </w:p>
    <w:bookmarkEnd w:id="17"/>
    <w:bookmarkEnd w:id="18"/>
    <w:bookmarkStart w:id="20" w:name="die-geografische-startentscheidung"/>
    <w:p>
      <w:pPr>
        <w:pStyle w:val="Heading1"/>
      </w:pPr>
      <w:r>
        <w:t xml:space="preserve">Die geografische Startentscheidung</w:t>
      </w:r>
    </w:p>
    <w:p>
      <w:pPr>
        <w:pStyle w:val="FirstParagraph"/>
      </w:pPr>
      <w:r>
        <w:t xml:space="preserve">Ein landesweiter Rollout bot Geschwindigkeit, Markenbekanntheit und einen großen Rekrutierungstrichter. Er erzeugte auch das Risiko</w:t>
      </w:r>
      <w:r>
        <w:t xml:space="preserve"> </w:t>
      </w:r>
      <w:r>
        <w:t xml:space="preserve">“dünner Märkte”</w:t>
      </w:r>
      <w:r>
        <w:t xml:space="preserve">: Kunden und Reinigungskräfte könnten in derselben Stadt, aber nicht im selben Stadtviertel oder zu passenden Zeiten existieren. Eine Reinigungskraft, die bereit war, dienstagvormittags in nördlichen Vororten zu arbeiten, löste keinen Samstagsnachfrageanstieg in der Innenstadt.</w:t>
      </w:r>
    </w:p>
    <w:p>
      <w:pPr>
        <w:pStyle w:val="BodyText"/>
      </w:pPr>
      <w:r>
        <w:t xml:space="preserve">Ein regionaler Start konnte Werbung, lokale Aufsicht, Empfehlungen und die Dichte der Reinigungskräfte konzentrieren. Doch die Auswahl nur wohlhabender Metropolregionen könnte hohe Kundenpreise neben hohen Löhnen, Verkehrsstaus und Kundenakquisitionskosten erzeugen. Kostengünstigere Regionen könnten leichtere Rekrutierung, aber geringere Zahlungsbereitschaft bieten. Die Intensität der Einwanderungsdurchsetzung und lokale Einstellungen könnten das Vertrauen der Bewerber und die Kundenwahrnehmung ebenfalls auf schwer quantifizierbare Weise beeinflussen.</w:t>
      </w:r>
    </w:p>
    <w:bookmarkStart w:id="19" w:name="exhibit-5.-profile-möglicher-startmärkte"/>
    <w:p>
      <w:pPr>
        <w:pStyle w:val="Heading2"/>
      </w:pPr>
      <w:r>
        <w:t xml:space="preserve">Exhibit 5. Profile möglicher Startmärkte</w:t>
      </w:r>
    </w:p>
    <w:tbl>
      <w:tblPr>
        <w:tblStyle w:val="Table"/>
        <w:tblW w:type="pct" w:w="4939"/>
        <w:tblLayout w:type="fixed"/>
        <w:tblLook w:firstRow="1" w:lastRow="0" w:firstColumn="0" w:lastColumn="0" w:noHBand="0" w:noVBand="0" w:val="0020"/>
      </w:tblPr>
      <w:tblGrid>
        <w:gridCol w:w="1207"/>
        <w:gridCol w:w="1448"/>
        <w:gridCol w:w="1014"/>
        <w:gridCol w:w="1207"/>
        <w:gridCol w:w="1110"/>
        <w:gridCol w:w="1835"/>
      </w:tblGrid>
      <w:tr>
        <w:trPr>
          <w:tblHeader w:val="on"/>
        </w:trPr>
        <w:tc>
          <w:tcPr/>
          <w:p>
            <w:pPr>
              <w:pStyle w:val="Compact"/>
            </w:pPr>
            <w:r>
              <w:t xml:space="preserve">Markttyp Ill</w:t>
            </w:r>
          </w:p>
        </w:tc>
        <w:tc>
          <w:tcPr/>
          <w:p>
            <w:pPr>
              <w:pStyle w:val="Compact"/>
            </w:pPr>
            <w:r>
              <w:t xml:space="preserve">ustrativer Kundenpreis Ziel-</w:t>
            </w:r>
          </w:p>
        </w:tc>
        <w:tc>
          <w:tcPr/>
          <w:p>
            <w:pPr>
              <w:pStyle w:val="Compact"/>
            </w:pPr>
            <w:r>
              <w:t xml:space="preserve">Vergütung Reinigungsk</w:t>
            </w:r>
          </w:p>
        </w:tc>
        <w:tc>
          <w:tcPr/>
          <w:p>
            <w:pPr>
              <w:pStyle w:val="Compact"/>
            </w:pPr>
            <w:r>
              <w:t xml:space="preserve">raft Geschätzte CAC pro</w:t>
            </w:r>
          </w:p>
        </w:tc>
        <w:tc>
          <w:tcPr/>
          <w:p>
            <w:pPr>
              <w:pStyle w:val="Compact"/>
              <w:jc w:val="right"/>
            </w:pPr>
            <w:r>
              <w:t xml:space="preserve">Erstbuchung Risiko d</w:t>
            </w:r>
          </w:p>
        </w:tc>
        <w:tc>
          <w:tcPr/>
          <w:p>
            <w:pPr>
              <w:pStyle w:val="Compact"/>
            </w:pPr>
            <w:r>
              <w:t xml:space="preserve">er Dichte an Reinigungskräften Andere Bedenken</w:t>
            </w:r>
          </w:p>
        </w:tc>
      </w:tr>
      <w:tr>
        <w:tc>
          <w:tcPr/>
          <w:p>
            <w:pPr>
              <w:pStyle w:val="Compact"/>
            </w:pPr>
            <w:r>
              <w:t xml:space="preserve">Wohlhabend, Küstenregion</w:t>
            </w:r>
          </w:p>
        </w:tc>
        <w:tc>
          <w:tcPr/>
          <w:p>
            <w:pPr>
              <w:pStyle w:val="Compact"/>
            </w:pPr>
            <w:r>
              <w:t xml:space="preserve">175 $</w:t>
            </w:r>
          </w:p>
        </w:tc>
        <w:tc>
          <w:tcPr/>
          <w:p>
            <w:pPr>
              <w:pStyle w:val="Compact"/>
            </w:pPr>
            <w:r>
              <w:t xml:space="preserve">31 $/Std. 78</w:t>
            </w:r>
          </w:p>
        </w:tc>
        <w:tc>
          <w:tcPr/>
          <w:p>
            <w:pPr>
              <w:pStyle w:val="Compact"/>
            </w:pPr>
            <w:r>
              <w:t xml:space="preserve">$ M</w:t>
            </w:r>
          </w:p>
        </w:tc>
        <w:tc>
          <w:tcPr/>
          <w:p>
            <w:pPr>
              <w:pStyle w:val="Compact"/>
              <w:jc w:val="right"/>
            </w:pPr>
            <w:r>
              <w:t xml:space="preserve">ittel H</w:t>
            </w:r>
          </w:p>
        </w:tc>
        <w:tc>
          <w:tcPr/>
          <w:p>
            <w:pPr>
              <w:pStyle w:val="Compact"/>
            </w:pPr>
            <w:r>
              <w:t xml:space="preserve">ohe Fahrt- und Lohnkosten</w:t>
            </w:r>
          </w:p>
        </w:tc>
      </w:tr>
      <w:tr>
        <w:tc>
          <w:tcPr/>
          <w:p>
            <w:pPr>
              <w:pStyle w:val="Compact"/>
            </w:pPr>
            <w:r>
              <w:t xml:space="preserve">Schnell wachsender Sun Be</w:t>
            </w:r>
          </w:p>
        </w:tc>
        <w:tc>
          <w:tcPr/>
          <w:p>
            <w:pPr>
              <w:pStyle w:val="Compact"/>
            </w:pPr>
            <w:r>
              <w:t xml:space="preserve">lt 145 $</w:t>
            </w:r>
          </w:p>
        </w:tc>
        <w:tc>
          <w:tcPr/>
          <w:p>
            <w:pPr>
              <w:pStyle w:val="Compact"/>
            </w:pPr>
            <w:r>
              <w:t xml:space="preserve">25 $/Std. 54</w:t>
            </w:r>
          </w:p>
        </w:tc>
        <w:tc>
          <w:tcPr/>
          <w:p>
            <w:pPr>
              <w:pStyle w:val="Compact"/>
            </w:pPr>
            <w:r>
              <w:t xml:space="preserve">$ N</w:t>
            </w:r>
          </w:p>
        </w:tc>
        <w:tc>
          <w:tcPr/>
          <w:p>
            <w:pPr>
              <w:pStyle w:val="Compact"/>
              <w:jc w:val="right"/>
            </w:pPr>
            <w:r>
              <w:t xml:space="preserve">iedrig-Mittel</w:t>
            </w:r>
          </w:p>
        </w:tc>
        <w:tc>
          <w:tcPr/>
          <w:p>
            <w:pPr>
              <w:pStyle w:val="Compact"/>
            </w:pPr>
            <w:r>
              <w:t xml:space="preserve">Zersiedelung und Fahrzeugabhängigkeit</w:t>
            </w:r>
          </w:p>
        </w:tc>
      </w:tr>
      <w:tr>
        <w:tc>
          <w:tcPr/>
          <w:p>
            <w:pPr>
              <w:pStyle w:val="Compact"/>
            </w:pPr>
            <w:r>
              <w:t xml:space="preserve">Große Metropole im Mittle</w:t>
            </w:r>
          </w:p>
        </w:tc>
        <w:tc>
          <w:tcPr/>
          <w:p>
            <w:pPr>
              <w:pStyle w:val="Compact"/>
            </w:pPr>
            <w:r>
              <w:t xml:space="preserve">ren Westen 132 $</w:t>
            </w:r>
          </w:p>
        </w:tc>
        <w:tc>
          <w:tcPr/>
          <w:p>
            <w:pPr>
              <w:pStyle w:val="Compact"/>
            </w:pPr>
          </w:p>
        </w:tc>
        <w:tc>
          <w:tcPr/>
          <w:p>
            <w:pPr>
              <w:pStyle w:val="Compact"/>
            </w:pPr>
            <w:r>
              <w:t xml:space="preserve">23 $/Std. 49 $</w:t>
            </w:r>
          </w:p>
        </w:tc>
        <w:tc>
          <w:tcPr/>
          <w:p>
            <w:pPr>
              <w:pStyle w:val="Compact"/>
              <w:jc w:val="right"/>
            </w:pPr>
            <w:r>
              <w:t xml:space="preserve">Niedr</w:t>
            </w:r>
          </w:p>
        </w:tc>
        <w:tc>
          <w:tcPr/>
          <w:p>
            <w:pPr>
              <w:pStyle w:val="Compact"/>
            </w:pPr>
            <w:r>
              <w:t xml:space="preserve">ig Geringere Durchdringung wiederkehrenden Services</w:t>
            </w:r>
          </w:p>
        </w:tc>
      </w:tr>
      <w:tr>
        <w:tc>
          <w:tcPr/>
          <w:p>
            <w:pPr>
              <w:pStyle w:val="Compact"/>
            </w:pPr>
            <w:r>
              <w:t xml:space="preserve">Studenten-/Nebenstadt 1</w:t>
            </w:r>
          </w:p>
        </w:tc>
        <w:tc>
          <w:tcPr/>
          <w:p>
            <w:pPr>
              <w:pStyle w:val="Compact"/>
            </w:pPr>
            <w:r>
              <w:t xml:space="preserve">18 $</w:t>
            </w:r>
          </w:p>
        </w:tc>
        <w:tc>
          <w:tcPr/>
          <w:p>
            <w:pPr>
              <w:pStyle w:val="Compact"/>
            </w:pPr>
            <w:r>
              <w:t xml:space="preserve">21 $/Std. 42 $</w:t>
            </w:r>
          </w:p>
        </w:tc>
        <w:tc>
          <w:tcPr/>
          <w:p>
            <w:pPr>
              <w:pStyle w:val="Compact"/>
            </w:pPr>
            <w:r>
              <w:t xml:space="preserve">Hoch</w:t>
            </w:r>
          </w:p>
        </w:tc>
        <w:tc>
          <w:tcPr/>
          <w:p>
            <w:pPr>
              <w:pStyle w:val="Compact"/>
              <w:jc w:val="right"/>
            </w:pPr>
            <w:r>
              <w:t xml:space="preserve">Saisonale</w:t>
            </w:r>
          </w:p>
        </w:tc>
        <w:tc>
          <w:tcPr/>
          <w:p>
            <w:pPr>
              <w:pStyle w:val="Compact"/>
            </w:pPr>
            <w:r>
              <w:t xml:space="preserve">Fluktuation bei Arbeitskräften und Kunden</w:t>
            </w:r>
          </w:p>
        </w:tc>
      </w:tr>
      <w:tr>
        <w:tc>
          <w:tcPr/>
          <w:p>
            <w:pPr>
              <w:pStyle w:val="Compact"/>
            </w:pPr>
            <w:r>
              <w:t xml:space="preserve">Nationaler Self-Service</w:t>
            </w:r>
          </w:p>
        </w:tc>
        <w:tc>
          <w:tcPr/>
          <w:p>
            <w:pPr>
              <w:pStyle w:val="Compact"/>
            </w:pPr>
            <w:r>
              <w:t xml:space="preserve">135 $ Durchschnitt</w:t>
            </w:r>
          </w:p>
        </w:tc>
        <w:tc>
          <w:tcPr/>
          <w:p>
            <w:pPr>
              <w:pStyle w:val="Compact"/>
            </w:pPr>
            <w:r>
              <w:t xml:space="preserve">135 $ Durchsch</w:t>
            </w:r>
          </w:p>
        </w:tc>
        <w:tc>
          <w:tcPr/>
          <w:p>
            <w:pPr>
              <w:pStyle w:val="Compact"/>
            </w:pPr>
            <w:r>
              <w:t xml:space="preserve">nitt 24-$31 $/Std.</w:t>
            </w:r>
          </w:p>
        </w:tc>
        <w:tc>
          <w:tcPr/>
          <w:p>
            <w:pPr>
              <w:pStyle w:val="Compact"/>
              <w:jc w:val="right"/>
            </w:pPr>
            <w:r>
              <w:t xml:space="preserve">60 $ Durchschni</w:t>
            </w:r>
          </w:p>
        </w:tc>
        <w:tc>
          <w:tcPr/>
          <w:p>
            <w:pPr>
              <w:pStyle w:val="Compact"/>
            </w:pPr>
            <w:r>
              <w:t xml:space="preserve">tt Sehr hoch Ungleichmäßige Qualität und Compliance</w:t>
            </w:r>
          </w:p>
        </w:tc>
      </w:tr>
    </w:tbl>
    <w:bookmarkEnd w:id="19"/>
    <w:bookmarkEnd w:id="20"/>
    <w:bookmarkStart w:id="24" w:name="drei-startvorschläge"/>
    <w:p>
      <w:pPr>
        <w:pStyle w:val="Heading1"/>
      </w:pPr>
      <w:r>
        <w:t xml:space="preserve">Drei Startvorschläge</w:t>
      </w:r>
    </w:p>
    <w:p>
      <w:pPr>
        <w:pStyle w:val="FirstParagraph"/>
      </w:pPr>
      <w:r>
        <w:t xml:space="preserve">Am Ende des Pilotprojekts hatte das Führungsteam drei Vorschläge entwickelt.</w:t>
      </w:r>
    </w:p>
    <w:bookmarkStart w:id="21" w:name="X43501ab7efa33441f2ed0abc713817ea3e3fa09"/>
    <w:p>
      <w:pPr>
        <w:pStyle w:val="Heading2"/>
      </w:pPr>
      <w:r>
        <w:t xml:space="preserve">Vorschlag A - Fünf-Städte-Dichtestrategie.</w:t>
      </w:r>
    </w:p>
    <w:p>
      <w:pPr>
        <w:pStyle w:val="FirstParagraph"/>
      </w:pPr>
      <w:r>
        <w:t xml:space="preserve">BrightNest würde nur dort starten, wo es mindestens 150 geprüfte Reinigungskräfte rekrutieren konnte, bevor größere Kundenwerbung begann. Es würde lokale Partnerschaften aufbauen, Starter-Sets bereitstellen, begrenzte Arbeitsblöcke garantieren und Empfehlungen betonen. Der Plan erforderte etwa 11 Millionen $ über 18 Monate und zielte auf 22.000 wiederkehrende Kunden ab. Befürworter argumentierten, dass Dichte und Servicequalität Voraussetzungen für Wachstum seien. Kritiker sorgten sich, dass Wettbewerber andere Märkte zuerst besetzen könnten.</w:t>
      </w:r>
    </w:p>
    <w:bookmarkEnd w:id="21"/>
    <w:bookmarkStart w:id="22" w:name="Xb8de7dbe6e432badab8ab08512131169325e38f"/>
    <w:p>
      <w:pPr>
        <w:pStyle w:val="Heading2"/>
      </w:pPr>
      <w:r>
        <w:t xml:space="preserve">Vorschlag B - Fünfundzwanzig-Städte-Marktplatzstrategie.</w:t>
      </w:r>
    </w:p>
    <w:p>
      <w:pPr>
        <w:pStyle w:val="FirstParagraph"/>
      </w:pPr>
      <w:r>
        <w:t xml:space="preserve">Das Unternehmen würde WorkReach landesweit nutzen, aber Kundenwerbung in 25 Städten aktivieren. Vergütung der Reinigungskräfte, Kundenpreise, Rabatte und Servicegebiete würden je nach Markt angepasst. BrightNest würde 16 Millionen $ ausgeben und 48.000 wiederkehrende Kunden anstreben. Der Ansatz erzeugte mehr Erkenntnisse, erforderte aber ausgereifte lokale Preisgestaltung, Compliance und Angebots-Nachfrage-Steuerung, die noch nicht erprobt waren.</w:t>
      </w:r>
    </w:p>
    <w:bookmarkEnd w:id="22"/>
    <w:bookmarkStart w:id="23" w:name="X7c07e421b1908a12711fd75c68016d844c99007"/>
    <w:p>
      <w:pPr>
        <w:pStyle w:val="Heading2"/>
      </w:pPr>
      <w:r>
        <w:t xml:space="preserve">Vorschlag C - Nationale Verfügbarkeitsstrategie.</w:t>
      </w:r>
    </w:p>
    <w:p>
      <w:pPr>
        <w:pStyle w:val="FirstParagraph"/>
      </w:pPr>
      <w:r>
        <w:t xml:space="preserve">Kunden überall im zusammenhängenden Gebiet der USA könnten einen Service anfordern. BrightNest würde einen Termin nur bestätigen, nachdem eine verfügbare Reinigungskraft zugeordnet wurde. Die Rekrutierung von Reinigungskräften würde landesweit laufen, ohne garantierte Stunden und mit begrenzter Ausrüstungsunterstützung. Der Plan könnte bei relativ geringen Fixkosten schnell Daten erzeugen, aber lange Bestätigungszeiten, knappes Angebot und uneinheitlicher Service könnten der Marke schaden, bevor das Unternehmen herausfand, welche Märkte funktionierten.</w:t>
      </w:r>
    </w:p>
    <w:bookmarkEnd w:id="23"/>
    <w:bookmarkEnd w:id="24"/>
    <w:bookmarkStart w:id="26" w:name="Xbefe3be77aeb6afc3a052bc39b07045efb9aa87"/>
    <w:p>
      <w:pPr>
        <w:pStyle w:val="Heading1"/>
      </w:pPr>
      <w:r>
        <w:t xml:space="preserve">Was die Pilotprojekte nicht beantworteten</w:t>
      </w:r>
    </w:p>
    <w:p>
      <w:pPr>
        <w:pStyle w:val="FirstParagraph"/>
      </w:pPr>
      <w:r>
        <w:t xml:space="preserve">Die Pilotprojekte erzeugten Daten, aber keine Übereinstimmung. Hohe Vergütung der Reinigungskräfte erhöhte die Auftragsannahme, aber nur, wenn Termine geografisch gebündelt waren. Rabatte erhöhten die Buchungen, aber die preisgünstigsten Kunden waren auch am wenigsten wahrscheinlich, erneut zu bestellen. Kunden bevorzugten dieselbe Reinigungskraft, während das Planungssystem eine höhere Auslastung erreichte, indem es jeweils die nächstgelegene Reinigungskraft zuwies. Flexibilität der Reinigungskräfte verbesserte die Rekrutierung, doch unbegrenzte Terminwahl erschwerte es, Kunden eine bestimmte Zeit zu versprechen.</w:t>
      </w:r>
    </w:p>
    <w:p>
      <w:pPr>
        <w:pStyle w:val="BodyText"/>
      </w:pPr>
      <w:r>
        <w:t xml:space="preserve">Dem Management fehlte auch eine gemeinsame Definition von Erfolg. Wachstum betonte Buchungen und Markteintritt. Betrieb betonte Abschlussraten und Kundenbewertungen. Das Team für das Reinigungskräfte-Netzwerk betonte Stundenverdienst, Bindung und Terminwahl. Finanzen betonte die Beitragsmarge nach Akquisitionskosten. Eine Stadt konnte nach einem Maßstab erfolgreich und nach einem anderen erfolglos aussehen.</w:t>
      </w:r>
    </w:p>
    <w:bookmarkStart w:id="25" w:name="X5c1d5e76276576582b411198b823506657c1f5f"/>
    <w:p>
      <w:pPr>
        <w:pStyle w:val="Heading2"/>
      </w:pPr>
      <w:r>
        <w:t xml:space="preserve">Exhibit 6. Vorgeschlagene Ergebnisse des 18-monatigen Starts</w:t>
      </w:r>
    </w:p>
    <w:tbl>
      <w:tblPr>
        <w:tblStyle w:val="Table"/>
        <w:tblW w:type="pct" w:w="4914"/>
        <w:tblLayout w:type="fixed"/>
        <w:tblLook w:firstRow="1" w:lastRow="0" w:firstColumn="0" w:lastColumn="0" w:noHBand="0" w:noVBand="0" w:val="0020"/>
      </w:tblPr>
      <w:tblGrid>
        <w:gridCol w:w="3277"/>
        <w:gridCol w:w="1365"/>
        <w:gridCol w:w="1502"/>
        <w:gridCol w:w="1638"/>
      </w:tblGrid>
      <w:tr>
        <w:trPr>
          <w:tblHeader w:val="on"/>
        </w:trPr>
        <w:tc>
          <w:tcPr/>
          <w:p>
            <w:pPr>
              <w:pStyle w:val="Compact"/>
              <w:jc w:val="left"/>
            </w:pPr>
            <w:r>
              <w:t xml:space="preserve">Maßgröße</w:t>
            </w:r>
          </w:p>
        </w:tc>
        <w:tc>
          <w:tcPr/>
          <w:p>
            <w:pPr>
              <w:pStyle w:val="Compact"/>
              <w:jc w:val="right"/>
            </w:pPr>
            <w:r>
              <w:t xml:space="preserve">Fünf-Städte-Dichte</w:t>
            </w:r>
          </w:p>
        </w:tc>
        <w:tc>
          <w:tcPr/>
          <w:p>
            <w:pPr>
              <w:pStyle w:val="Compact"/>
              <w:jc w:val="right"/>
            </w:pPr>
            <w:r>
              <w:t xml:space="preserve">25-Städte-Marktplatz</w:t>
            </w:r>
          </w:p>
        </w:tc>
        <w:tc>
          <w:tcPr/>
          <w:p>
            <w:pPr>
              <w:pStyle w:val="Compact"/>
              <w:jc w:val="right"/>
            </w:pPr>
            <w:r>
              <w:t xml:space="preserve">Nationale Verfügbarkeit</w:t>
            </w:r>
          </w:p>
        </w:tc>
      </w:tr>
      <w:tr>
        <w:tc>
          <w:tcPr/>
          <w:p>
            <w:pPr>
              <w:pStyle w:val="Compact"/>
              <w:jc w:val="left"/>
            </w:pPr>
            <w:r>
              <w:t xml:space="preserve">Erforderliche Investition</w:t>
            </w:r>
          </w:p>
        </w:tc>
        <w:tc>
          <w:tcPr/>
          <w:p>
            <w:pPr>
              <w:pStyle w:val="Compact"/>
              <w:jc w:val="right"/>
            </w:pPr>
            <w:r>
              <w:t xml:space="preserve">11 Millionen</w:t>
            </w:r>
            <w:r>
              <w:br/>
            </w:r>
          </w:p>
        </w:tc>
        <w:tc>
          <w:tcPr/>
          <w:p>
            <w:pPr>
              <w:pStyle w:val="Compact"/>
              <w:jc w:val="right"/>
            </w:pPr>
            <w:r>
              <w:t xml:space="preserve">$ 16 Millionen</w:t>
            </w:r>
          </w:p>
        </w:tc>
        <w:tc>
          <w:tcPr/>
          <w:p>
            <w:pPr>
              <w:pStyle w:val="Compact"/>
              <w:jc w:val="right"/>
            </w:pPr>
            <w:r>
              <w:t xml:space="preserve">$ 13 Millionen $</w:t>
            </w:r>
          </w:p>
        </w:tc>
      </w:tr>
      <w:tr>
        <w:tc>
          <w:tcPr/>
          <w:p>
            <w:pPr>
              <w:pStyle w:val="Compact"/>
              <w:jc w:val="left"/>
            </w:pPr>
            <w:r>
              <w:t xml:space="preserve">Wiederkehrende Kunden nach Monat 18</w:t>
            </w:r>
          </w:p>
        </w:tc>
        <w:tc>
          <w:tcPr/>
          <w:p>
            <w:pPr>
              <w:pStyle w:val="Compact"/>
              <w:jc w:val="right"/>
            </w:pPr>
            <w:r>
              <w:t xml:space="preserve">22.000</w:t>
            </w:r>
          </w:p>
        </w:tc>
        <w:tc>
          <w:tcPr/>
          <w:p>
            <w:pPr>
              <w:pStyle w:val="Compact"/>
              <w:jc w:val="right"/>
            </w:pPr>
            <w:r>
              <w:t xml:space="preserve">48.000</w:t>
            </w:r>
          </w:p>
        </w:tc>
        <w:tc>
          <w:tcPr/>
          <w:p>
            <w:pPr>
              <w:pStyle w:val="Compact"/>
              <w:jc w:val="right"/>
            </w:pPr>
            <w:r>
              <w:t xml:space="preserve">55.000</w:t>
            </w:r>
          </w:p>
        </w:tc>
      </w:tr>
      <w:tr>
        <w:tc>
          <w:tcPr/>
          <w:p>
            <w:pPr>
              <w:pStyle w:val="Compact"/>
              <w:jc w:val="left"/>
            </w:pPr>
            <w:r>
              <w:t xml:space="preserve">Aktive Reinigungskräfte</w:t>
            </w:r>
          </w:p>
        </w:tc>
        <w:tc>
          <w:tcPr/>
          <w:p>
            <w:pPr>
              <w:pStyle w:val="Compact"/>
              <w:jc w:val="right"/>
            </w:pPr>
            <w:r>
              <w:t xml:space="preserve">1.050</w:t>
            </w:r>
          </w:p>
        </w:tc>
        <w:tc>
          <w:tcPr/>
          <w:p>
            <w:pPr>
              <w:pStyle w:val="Compact"/>
              <w:jc w:val="right"/>
            </w:pPr>
            <w:r>
              <w:t xml:space="preserve">2.750</w:t>
            </w:r>
          </w:p>
        </w:tc>
        <w:tc>
          <w:tcPr/>
          <w:p>
            <w:pPr>
              <w:pStyle w:val="Compact"/>
              <w:jc w:val="right"/>
            </w:pPr>
            <w:r>
              <w:t xml:space="preserve">4.200</w:t>
            </w:r>
          </w:p>
        </w:tc>
      </w:tr>
      <w:tr>
        <w:tc>
          <w:tcPr/>
          <w:p>
            <w:pPr>
              <w:pStyle w:val="Compact"/>
              <w:jc w:val="left"/>
            </w:pPr>
            <w:r>
              <w:t xml:space="preserve">Prognostizierte Abschlussrate</w:t>
            </w:r>
          </w:p>
        </w:tc>
        <w:tc>
          <w:tcPr/>
          <w:p>
            <w:pPr>
              <w:pStyle w:val="Compact"/>
              <w:jc w:val="right"/>
            </w:pPr>
            <w:r>
              <w:t xml:space="preserve">94%</w:t>
            </w:r>
          </w:p>
        </w:tc>
        <w:tc>
          <w:tcPr/>
          <w:p>
            <w:pPr>
              <w:pStyle w:val="Compact"/>
              <w:jc w:val="right"/>
            </w:pPr>
            <w:r>
              <w:t xml:space="preserve">88%</w:t>
            </w:r>
          </w:p>
        </w:tc>
        <w:tc>
          <w:tcPr/>
          <w:p>
            <w:pPr>
              <w:pStyle w:val="Compact"/>
              <w:jc w:val="right"/>
            </w:pPr>
            <w:r>
              <w:t xml:space="preserve">77%</w:t>
            </w:r>
          </w:p>
        </w:tc>
      </w:tr>
      <w:tr>
        <w:tc>
          <w:tcPr/>
          <w:p>
            <w:pPr>
              <w:pStyle w:val="Compact"/>
              <w:jc w:val="left"/>
            </w:pPr>
            <w:r>
              <w:t xml:space="preserve">Beitragsmarge pro wiederkehrendem Besuch</w:t>
            </w:r>
          </w:p>
        </w:tc>
        <w:tc>
          <w:tcPr/>
          <w:p>
            <w:pPr>
              <w:pStyle w:val="Compact"/>
              <w:jc w:val="right"/>
            </w:pPr>
            <w:r>
              <w:t xml:space="preserve">18 $</w:t>
            </w:r>
          </w:p>
        </w:tc>
        <w:tc>
          <w:tcPr/>
          <w:p>
            <w:pPr>
              <w:pStyle w:val="Compact"/>
              <w:jc w:val="right"/>
            </w:pPr>
            <w:r>
              <w:t xml:space="preserve">12 $ 7 $</w:t>
            </w:r>
          </w:p>
        </w:tc>
        <w:tc>
          <w:tcPr/>
          <w:p>
            <w:pPr>
              <w:pStyle w:val="Compact"/>
            </w:pPr>
          </w:p>
        </w:tc>
      </w:tr>
      <w:tr>
        <w:tc>
          <w:tcPr/>
          <w:p>
            <w:pPr>
              <w:pStyle w:val="Compact"/>
              <w:jc w:val="left"/>
            </w:pPr>
            <w:r>
              <w:t xml:space="preserve">Wahrscheinlichkeit der Planerfüllung (Teamschätz</w:t>
            </w:r>
          </w:p>
        </w:tc>
        <w:tc>
          <w:tcPr/>
          <w:p>
            <w:pPr>
              <w:pStyle w:val="Compact"/>
              <w:jc w:val="right"/>
            </w:pPr>
            <w:r>
              <w:t xml:space="preserve">ung) 65%</w:t>
            </w:r>
          </w:p>
        </w:tc>
        <w:tc>
          <w:tcPr/>
          <w:p>
            <w:pPr>
              <w:pStyle w:val="Compact"/>
              <w:jc w:val="right"/>
            </w:pPr>
            <w:r>
              <w:t xml:space="preserve">45%</w:t>
            </w:r>
          </w:p>
        </w:tc>
        <w:tc>
          <w:tcPr/>
          <w:p>
            <w:pPr>
              <w:pStyle w:val="Compact"/>
              <w:jc w:val="right"/>
            </w:pPr>
            <w:r>
              <w:t xml:space="preserve">30%</w:t>
            </w:r>
          </w:p>
        </w:tc>
      </w:tr>
    </w:tbl>
    <w:bookmarkEnd w:id="25"/>
    <w:bookmarkEnd w:id="26"/>
    <w:bookmarkStart w:id="27" w:name="die-entscheidung"/>
    <w:p>
      <w:pPr>
        <w:pStyle w:val="Heading1"/>
      </w:pPr>
      <w:r>
        <w:t xml:space="preserve">Die Entscheidung</w:t>
      </w:r>
    </w:p>
    <w:p>
      <w:pPr>
        <w:pStyle w:val="FirstParagraph"/>
      </w:pPr>
      <w:r>
        <w:t xml:space="preserve">Chen sah sich das Dashboard erneut an. BrightNest hatte Belege dafür, dass Kunden bequeme Haushaltsreinigung wollten und dass Tausende von Menschen auf flexible Reinigungsmöglichkeiten klicken würden. Es wusste noch nicht, ob es die richtige Reinigungskraft in das richtige Haus, zur richtigen Zeit, zu einem Preis bringen konnte, der beide Seiten wiederholt zufriedenstellte.</w:t>
      </w:r>
    </w:p>
    <w:p>
      <w:pPr>
        <w:pStyle w:val="BodyText"/>
      </w:pPr>
      <w:r>
        <w:t xml:space="preserve">Die Vorstandssitzung war vier Wochen entfernt. Bis dahin musste Chen entscheiden, welchen Startvorschlag sie empfehlen sollte, wie viel für Einführungsrabatte ausgegeben werden sollte, welches Vergütungs- und Ausrüstungspaket Reinigungskräften angeboten werden sollte, und welche Unsicherheiten weitere Experimente rechtfertigten. Warten würde Kapital erhalten, könnte aber die Rekrutierungsdynamik schwächen. Expandieren würde schneller Informationen erzeugen, könnte aber lokale Matching-Fehler in ein nationales Reputationsproblem verwandeln.</w:t>
      </w:r>
    </w:p>
    <w:bookmarkEnd w:id="27"/>
    <w:bookmarkStart w:id="28" w:name="diskussionsfragen"/>
    <w:p>
      <w:pPr>
        <w:pStyle w:val="Heading1"/>
      </w:pPr>
      <w:r>
        <w:t xml:space="preserve">Diskussionsfragen</w:t>
      </w:r>
    </w:p>
    <w:p>
      <w:pPr>
        <w:numPr>
          <w:ilvl w:val="0"/>
          <w:numId w:val="1001"/>
        </w:numPr>
      </w:pPr>
      <w:r>
        <w:t xml:space="preserve">Wie sollte BrightNest seine adressierbaren, erschließbaren und realistisch erreichbaren Märkte definieren?</w:t>
      </w:r>
    </w:p>
    <w:p>
      <w:pPr>
        <w:numPr>
          <w:ilvl w:val="0"/>
          <w:numId w:val="1001"/>
        </w:numPr>
      </w:pPr>
      <w:r>
        <w:t xml:space="preserve">Ist die primäre Einschränkung die Kundennachfrage, das Angebot an Reinigungskräften, die geografische Zuordnung, die Servicequalität oder die Stückwirtschaft? Welche Belege unterstützen Ihre Antwort?</w:t>
      </w:r>
    </w:p>
    <w:p>
      <w:pPr>
        <w:numPr>
          <w:ilvl w:val="0"/>
          <w:numId w:val="1001"/>
        </w:numPr>
      </w:pPr>
      <w:r>
        <w:t xml:space="preserve">Wie sollte das Unternehmen den Lebenszeitwert eines Kunden messen, wenn die Kundenbindung davon abhängen könnte, dieselbe Reinigungskraft zu behalten?</w:t>
      </w:r>
    </w:p>
    <w:p>
      <w:pPr>
        <w:numPr>
          <w:ilvl w:val="0"/>
          <w:numId w:val="1001"/>
        </w:numPr>
      </w:pPr>
      <w:r>
        <w:t xml:space="preserve">Welchen Einführungsrabatt sollte BrightNest, wenn überhaupt, anbieten? Wie sollte der Rabatt je nach Markt oder Kunde variieren?</w:t>
      </w:r>
    </w:p>
    <w:p>
      <w:pPr>
        <w:numPr>
          <w:ilvl w:val="0"/>
          <w:numId w:val="1001"/>
        </w:numPr>
      </w:pPr>
      <w:r>
        <w:t xml:space="preserve">Welches Vergütungssystem würde attraktive Verdienste, Terminflexibilität, Fahrzeit, Servicequalität und Unternehmensmargen ausgleichen?</w:t>
      </w:r>
    </w:p>
    <w:p>
      <w:pPr>
        <w:numPr>
          <w:ilvl w:val="0"/>
          <w:numId w:val="1001"/>
        </w:numPr>
      </w:pPr>
      <w:r>
        <w:t xml:space="preserve">Sollte BrightNest Reinigungswerkzeuge und -produkte liefern? Welche betrieblichen und rechtlichen Konsequenzen ergeben sich aus jedem Versorgungsmodell?</w:t>
      </w:r>
    </w:p>
    <w:p>
      <w:pPr>
        <w:numPr>
          <w:ilvl w:val="0"/>
          <w:numId w:val="1001"/>
        </w:numPr>
      </w:pPr>
      <w:r>
        <w:t xml:space="preserve">Welche Kennzahlen für Reinigungskräfte sollte das Management überwachen: Bezahlung nach aktiver Stunde, Bezahlung nach Gesamtstunde, Annahmequote, Stornierungen, Bindung, Bewertungen oder etwas anderes?</w:t>
      </w:r>
    </w:p>
    <w:p>
      <w:pPr>
        <w:numPr>
          <w:ilvl w:val="0"/>
          <w:numId w:val="1001"/>
        </w:numPr>
      </w:pPr>
      <w:r>
        <w:t xml:space="preserve">Wie sollte die Unsicherheit der Einwanderungspolitik die Marktauswahl, Rekrutierung, Compliance und Szenarioplanung beeinflussen, ohne diskriminierende Annahmen zu fördern?</w:t>
      </w:r>
    </w:p>
    <w:p>
      <w:pPr>
        <w:numPr>
          <w:ilvl w:val="0"/>
          <w:numId w:val="1001"/>
        </w:numPr>
      </w:pPr>
      <w:r>
        <w:t xml:space="preserve">Sollte BrightNest die Fünf-Städte-Dichte, einen 25-Städte-Marktplatz, nationale Verfügbarkeit oder eine andere Expansionsreihenfolge verfolgen?</w:t>
      </w:r>
    </w:p>
    <w:p>
      <w:pPr>
        <w:numPr>
          <w:ilvl w:val="0"/>
          <w:numId w:val="1001"/>
        </w:numPr>
      </w:pPr>
      <w:r>
        <w:t xml:space="preserve">Welche Experimente würden vor der Bindung des größten Teils seines Kapitals den größten Informationswert liefern?</w:t>
      </w:r>
    </w:p>
    <w:bookmarkEnd w:id="28"/>
    <w:bookmarkStart w:id="34" w:name="fragen-zur-entscheidungsstrukturierung"/>
    <w:p>
      <w:pPr>
        <w:pStyle w:val="Heading1"/>
      </w:pPr>
      <w:r>
        <w:t xml:space="preserve">Fragen zur Entscheidungsstrukturierung</w:t>
      </w:r>
    </w:p>
    <w:p>
      <w:pPr>
        <w:numPr>
          <w:ilvl w:val="0"/>
          <w:numId w:val="1002"/>
        </w:numPr>
      </w:pPr>
      <w:r>
        <w:t xml:space="preserve">Identifizieren und beschreiben Sie die Verantwortlichkeiten des Entscheidungsträgers. Dies sollte den Umfang des Problems festlegen.</w:t>
      </w:r>
    </w:p>
    <w:p>
      <w:pPr>
        <w:numPr>
          <w:ilvl w:val="0"/>
          <w:numId w:val="1002"/>
        </w:numPr>
      </w:pPr>
      <w:r>
        <w:t xml:space="preserve">Verwenden Sie das</w:t>
      </w:r>
      <w:r>
        <w:t xml:space="preserve"> </w:t>
      </w:r>
      <w:hyperlink r:id="rId29">
        <w:r>
          <w:rPr>
            <w:rStyle w:val="Hyperlink"/>
          </w:rPr>
          <w:t xml:space="preserve">Metrik-Pyramiden-Tool</w:t>
        </w:r>
      </w:hyperlink>
      <w:r>
        <w:t xml:space="preserve">, um die verschiedenen Leistungskennzahlen zu identifizieren und zu priorisieren. Klicken Sie auf das Oval mit der Kennzahl, um zu bestimmen, ob es sich um eine zu maximierende (grün), eine zu minimierende (rot), eine Zielvorgabe, die eine Untergrenze ist (hellgrün) oder eine Obergrenze (hellrot), oder schließlich um einen Zielwert (violett) handelt.</w:t>
      </w:r>
    </w:p>
    <w:p>
      <w:pPr>
        <w:numPr>
          <w:ilvl w:val="0"/>
          <w:numId w:val="1002"/>
        </w:numPr>
      </w:pPr>
      <w:r>
        <w:t xml:space="preserve">Verwenden Sie das</w:t>
      </w:r>
      <w:r>
        <w:t xml:space="preserve"> </w:t>
      </w:r>
      <w:hyperlink r:id="rId30">
        <w:r>
          <w:rPr>
            <w:rStyle w:val="Hyperlink"/>
          </w:rPr>
          <w:t xml:space="preserve">Entscheidungspriorisierungs-Tool</w:t>
        </w:r>
      </w:hyperlink>
      <w:r>
        <w:t xml:space="preserve">, um zunächst die verschiedenen Arten von Entscheidungen aufzulisten (verwenden Sie die</w:t>
      </w:r>
      <w:r>
        <w:t xml:space="preserve"> </w:t>
      </w:r>
      <w:hyperlink r:id="rId31">
        <w:r>
          <w:rPr>
            <w:rStyle w:val="Hyperlink"/>
          </w:rPr>
          <w:t xml:space="preserve">Arten von Entscheidungen</w:t>
        </w:r>
      </w:hyperlink>
      <w:r>
        <w:t xml:space="preserve"> </w:t>
      </w:r>
      <w:r>
        <w:t xml:space="preserve">als Leitfaden). Diese füllen dann die Zeilen der Matrix rechts, wobei die Spalten die Leistungskennzahlen sind, sortiert von links nach rechts nach der Priorität in der obigen Pyramide. Klicken Sie auf jede Zelle, um anzugeben, ob die Auswirkung der Entscheidung auf jede Kennzahl hoch (rot), mittel (orange), niedrig (gelb) oder keine (weiß) ist.</w:t>
      </w:r>
    </w:p>
    <w:p>
      <w:pPr>
        <w:numPr>
          <w:ilvl w:val="0"/>
          <w:numId w:val="1002"/>
        </w:numPr>
      </w:pPr>
      <w:r>
        <w:t xml:space="preserve">Sie können den Griff (drei Balken) ganz links in jeder Zeile nehmen, um sie nach oben oder unten zu verschieben. Sortieren Sie die Zeilen so, dass die Entscheidungen mit den größten Auswirkungen auf die wichtigsten Kennzahlen weiter oben stehen. Die Zellen in der oberen linken Ecke sollten die größte Konzentration an roten und orangen Zellen aufweisen. Identifizieren Sie an diesem Punkt die Entscheidungen, die in Ihrer Studie die meiste Aufmerksamkeit erhalten sollten. Wenn Sie keine Entscheidungen mit mittlerer oder hoher Auswirkung auf die wichtigsten Kennzahlen haben, überarbeiten Sie Ihre Liste der Entscheidungen.</w:t>
      </w:r>
    </w:p>
    <w:p>
      <w:pPr>
        <w:numPr>
          <w:ilvl w:val="0"/>
          <w:numId w:val="1002"/>
        </w:numPr>
      </w:pPr>
      <w:r>
        <w:t xml:space="preserve">Wiederholen Sie den Prozess, um die Unsicherheiten mit dem</w:t>
      </w:r>
      <w:r>
        <w:t xml:space="preserve"> </w:t>
      </w:r>
      <w:hyperlink r:id="rId32">
        <w:r>
          <w:rPr>
            <w:rStyle w:val="Hyperlink"/>
          </w:rPr>
          <w:t xml:space="preserve">Unsicherheits-Priorisierungs-Tool</w:t>
        </w:r>
      </w:hyperlink>
      <w:r>
        <w:t xml:space="preserve"> </w:t>
      </w:r>
      <w:r>
        <w:t xml:space="preserve">aufzulisten und zu priorisieren. Verwenden Sie die</w:t>
      </w:r>
      <w:r>
        <w:t xml:space="preserve"> </w:t>
      </w:r>
      <w:hyperlink r:id="rId33">
        <w:r>
          <w:rPr>
            <w:rStyle w:val="Hyperlink"/>
          </w:rPr>
          <w:t xml:space="preserve">Kategorien von Unsicherheit</w:t>
        </w:r>
      </w:hyperlink>
      <w:r>
        <w:t xml:space="preserve">, um diese zu identifizieren.</w:t>
      </w:r>
    </w:p>
    <w:p>
      <w:pPr>
        <w:numPr>
          <w:ilvl w:val="0"/>
          <w:numId w:val="1002"/>
        </w:numPr>
      </w:pPr>
      <w:r>
        <w:t xml:space="preserve">Es ist wichtig, Unsicherheiten zu unterscheiden, die im Durchschnitt oder als Risikoereignisse bewertet werden können:</w:t>
      </w:r>
    </w:p>
    <w:p>
      <w:pPr>
        <w:numPr>
          <w:ilvl w:val="1"/>
          <w:numId w:val="1003"/>
        </w:numPr>
      </w:pPr>
      <w:r>
        <w:t xml:space="preserve">Welche Unsicherheitsquellen würden durch durchschnittliche Leistung über die Zeit erfasst?</w:t>
      </w:r>
    </w:p>
    <w:p>
      <w:pPr>
        <w:numPr>
          <w:ilvl w:val="1"/>
          <w:numId w:val="1003"/>
        </w:numPr>
      </w:pPr>
      <w:r>
        <w:t xml:space="preserve">Welche Unsicherheitsquellen stellen Formen von Risiko dar, die durch Durchschnittswerte nicht angemessen erfasst werden?</w:t>
      </w:r>
    </w:p>
    <w:p>
      <w:pPr>
        <w:numPr>
          <w:ilvl w:val="0"/>
          <w:numId w:val="1002"/>
        </w:numPr>
      </w:pPr>
      <w:r>
        <w:t xml:space="preserve">Wählen Sie die einzelne Entscheidung, die die größte Auswirkung auf die wichtigste Kennzahl zu haben scheint.</w:t>
      </w:r>
    </w:p>
    <w:p>
      <w:pPr>
        <w:numPr>
          <w:ilvl w:val="1"/>
          <w:numId w:val="1004"/>
        </w:numPr>
      </w:pPr>
      <w:r>
        <w:t xml:space="preserve">Welchen Ansatz würden Sie vermutlich verwenden, um diese Entscheidung zu treffen?</w:t>
      </w:r>
    </w:p>
    <w:p>
      <w:pPr>
        <w:numPr>
          <w:ilvl w:val="1"/>
          <w:numId w:val="1004"/>
        </w:numPr>
      </w:pPr>
      <w:r>
        <w:t xml:space="preserve">Welche Daten scheinen notwendig zu sein, um diese Entscheidung zu treffen, einschließlich der Berechnung aller Leistungskennzahlen, auf die die Entscheidung eine hohe oder mittlere Auswirkung hätte.</w:t>
      </w:r>
    </w:p>
    <w:p>
      <w:pPr>
        <w:numPr>
          <w:ilvl w:val="0"/>
          <w:numId w:val="1002"/>
        </w:numPr>
      </w:pPr>
      <w:r>
        <w:t xml:space="preserve">Identifizieren Sie unter Verwendung derselben Entscheidung, die Sie in (7) identifiziert haben, die Personen, Abteilungen, Gruppen oder Organisationen, mit denen Sie zusammenarbeiten müssten, um die Entscheidung umzusetzen.</w:t>
      </w:r>
    </w:p>
    <w:bookmarkEnd w:id="34"/>
    <w:bookmarkStart w:id="35" w:name="öffentliche-daten-und-fallannahmen"/>
    <w:p>
      <w:pPr>
        <w:pStyle w:val="Heading1"/>
      </w:pPr>
      <w:r>
        <w:t xml:space="preserve">Öffentliche Daten und Fallannahmen</w:t>
      </w:r>
    </w:p>
    <w:p>
      <w:pPr>
        <w:pStyle w:val="FirstParagraph"/>
      </w:pPr>
      <w:r>
        <w:t xml:space="preserve">Der Fall kombiniert öffentliche Statistiken mit fiktiven Unternehmensdaten. Marktgrößenschätzungen sind Szenarioberechnungen, keine offiziellen Messungen der Ausgaben für Haushaltsreinigung. Wichtiger öffentlicher Kontext umfasst:</w:t>
      </w:r>
    </w:p>
    <w:p>
      <w:pPr>
        <w:numPr>
          <w:ilvl w:val="0"/>
          <w:numId w:val="1005"/>
        </w:numPr>
      </w:pPr>
      <w:r>
        <w:t xml:space="preserve">U.S. Census Bureau QuickFacts: etwa 2,53 Personen pro Haushalt im Zeitraum 2020-2024, kombiniert mit nationalen Bevölkerungsschätzungen, unterstützt eine Größenordnungsschätzung von etwa 132 Millionen Haushalten.</w:t>
      </w:r>
    </w:p>
    <w:p>
      <w:pPr>
        <w:numPr>
          <w:ilvl w:val="0"/>
          <w:numId w:val="1005"/>
        </w:numPr>
      </w:pPr>
      <w:r>
        <w:t xml:space="preserve">U.S. Bureau of Labor Statistics, Occupational Employment and Wage Statistics vom Mai 2025: 860.670 Haus- und Reinigungskräfte; durchschnittlicher Stundenlohn 17,83 $; Median-Stundenlohn 17,07 $.</w:t>
      </w:r>
    </w:p>
    <w:p>
      <w:pPr>
        <w:numPr>
          <w:ilvl w:val="0"/>
          <w:numId w:val="1005"/>
        </w:numPr>
      </w:pPr>
      <w:r>
        <w:t xml:space="preserve">BLS Foreign-Born Workers, 2025: im Ausland geborene Arbeitskräfte waren häufiger als im Inland geborene Arbeitskräfte in Dienstleistungsberufen beschäftigt, 21,2 Prozent gegenüber 15,6 Prozent.</w:t>
      </w:r>
    </w:p>
    <w:p>
      <w:pPr>
        <w:numPr>
          <w:ilvl w:val="0"/>
          <w:numId w:val="1005"/>
        </w:numPr>
      </w:pPr>
      <w:r>
        <w:t xml:space="preserve">Census Nonemployer Statistics: Gebäudereinigungsdienste zählten zu den größten wahrscheinlichen Gig-Economy-Branchen, mit etwa 20 Milliarden $ Einnahmen im Jahr 2023 für Einzelunternehmen.</w:t>
      </w:r>
    </w:p>
    <w:p>
      <w:pPr>
        <w:numPr>
          <w:ilvl w:val="0"/>
          <w:numId w:val="1005"/>
        </w:numPr>
      </w:pPr>
      <w:r>
        <w:t xml:space="preserve">USCIS-Leitfaden zum Formular I-9: US-Arbeitgeber müssen die Beschäftigungsberechtigung für jeden eingestellten Mitarbeiter überprüfen, einschließlich US-Bürgern, unter Einhaltung der Antidiskriminierungsanforderungen.</w:t>
      </w:r>
    </w:p>
    <w:p>
      <w:pPr>
        <w:pStyle w:val="FirstParagraph"/>
      </w:pPr>
      <w:r>
        <w:t xml:space="preserve">Konsultierte Quellen (abgerufen im Juli 2026): U.S. Bureau of Labor Statistics, Occupational Employment and Wage Statistics, Mai 2025; BLS, Labor Force Characteristics of Foreign-Born Workers, 2025; U.S. Census Bureau, QuickFacts und 2023 Nonemployer Statistics; U.S. Citizenship and Immigration Services, Form I-9 Central. Alle Preise, Umwandlungsraten, Kosten, Prognosen und Unternehmensereignisse von BrightNest sind fiktiv.</w:t>
      </w:r>
    </w:p>
    <w:bookmarkEnd w:id="35"/>
    <w:bookmarkStart w:id="36" w:name="chatgpt-kommentare"/>
    <w:p>
      <w:pPr>
        <w:pStyle w:val="Heading1"/>
      </w:pPr>
      <w:r>
        <w:t xml:space="preserve">ChatGPT-Kommentare</w:t>
      </w:r>
    </w:p>
    <w:p>
      <w:pPr>
        <w:pStyle w:val="FirstParagraph"/>
      </w:pPr>
      <w:r>
        <w:t xml:space="preserve">Der Fall untersucht ein fiktives Startup, das gleichzeitig Kundennachfrage aufbauen und ein geografisch dichtes, verlässliches Netzwerk von Reinigungskräften rekrutieren muss. Er umfasst:</w:t>
      </w:r>
    </w:p>
    <w:p>
      <w:pPr>
        <w:numPr>
          <w:ilvl w:val="0"/>
          <w:numId w:val="1006"/>
        </w:numPr>
      </w:pPr>
      <w:r>
        <w:t xml:space="preserve">Alternativen zur Kundenakquisition über Suche, soziale Medien, Empfehlungen, Marktplätze und institutionelle Partnerschaften</w:t>
      </w:r>
    </w:p>
    <w:p>
      <w:pPr>
        <w:numPr>
          <w:ilvl w:val="0"/>
          <w:numId w:val="1006"/>
        </w:numPr>
      </w:pPr>
      <w:r>
        <w:t xml:space="preserve">Einführungsrabatte und Unsicherheit über den Lebenszeitwert von Kunden</w:t>
      </w:r>
    </w:p>
    <w:p>
      <w:pPr>
        <w:numPr>
          <w:ilvl w:val="0"/>
          <w:numId w:val="1006"/>
        </w:numPr>
      </w:pPr>
      <w:r>
        <w:t xml:space="preserve">Vergütung, Flexibilität, Fahrzeit, Bindung und Ausrüstungsrichtlinien für Reinigungskräfte</w:t>
      </w:r>
    </w:p>
    <w:p>
      <w:pPr>
        <w:numPr>
          <w:ilvl w:val="0"/>
          <w:numId w:val="1006"/>
        </w:numPr>
      </w:pPr>
      <w:r>
        <w:t xml:space="preserve">Überlegungen zu Angestellten gegenüber Auftragnehmern</w:t>
      </w:r>
    </w:p>
    <w:p>
      <w:pPr>
        <w:numPr>
          <w:ilvl w:val="0"/>
          <w:numId w:val="1006"/>
        </w:numPr>
      </w:pPr>
      <w:r>
        <w:t xml:space="preserve">Unsicherheit bei Einwanderungspolitik und Beschäftigungsverifizierung</w:t>
      </w:r>
    </w:p>
    <w:p>
      <w:pPr>
        <w:numPr>
          <w:ilvl w:val="0"/>
          <w:numId w:val="1006"/>
        </w:numPr>
      </w:pPr>
      <w:r>
        <w:t xml:space="preserve">Regionale, mehrstädtische und nationale Rollout-Strategien</w:t>
      </w:r>
    </w:p>
    <w:p>
      <w:pPr>
        <w:numPr>
          <w:ilvl w:val="0"/>
          <w:numId w:val="1006"/>
        </w:numPr>
      </w:pPr>
      <w:r>
        <w:t xml:space="preserve">Marktnachfrageschätzungen, Stückwirtschaft, Rekrutierungstrichter und Startszenarien</w:t>
      </w:r>
    </w:p>
    <w:p>
      <w:pPr>
        <w:numPr>
          <w:ilvl w:val="0"/>
          <w:numId w:val="1006"/>
        </w:numPr>
      </w:pPr>
      <w:r>
        <w:t xml:space="preserve">Zehn Diskussionsfragen ohne bevorzugte Lösung</w:t>
      </w:r>
    </w:p>
    <w:p>
      <w:pPr>
        <w:pStyle w:val="FirstParagraph"/>
      </w:pPr>
      <w:r>
        <w:t xml:space="preserve">Der Arbeitsmarktkontext verwendet aktuelle BLS-Schätzungen von etwa 860.670 Haus- und Reinigungskräften, mit durchschnittlichen Stundenverdiensten von 17,83 $ im Mai 2025. Er berücksichtigt außerdem BLS-Ergebnisse, dass im Ausland geborene Arbeitskräfte 2025 stärker in Dienstleistungsberufen konzentriert waren als im Inland geborene Arbeitskräfte.</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warrenpowell.org/decision-framing-tool/#decision-prioritization-tool" TargetMode="External" /><Relationship Type="http://schemas.openxmlformats.org/officeDocument/2006/relationships/hyperlink" Id="rId29" Target="https://warrenpowell.org/decision-framing-tool/#metrics-pyramid-tool" TargetMode="External" /><Relationship Type="http://schemas.openxmlformats.org/officeDocument/2006/relationships/hyperlink" Id="rId32" Target="https://warrenpowell.org/decision-framing-tool/#uncertainty-prioritization-tool" TargetMode="External" /><Relationship Type="http://schemas.openxmlformats.org/officeDocument/2006/relationships/hyperlink" Id="rId31" Target="https://warrenpowell.org/decisionsdecisions/#types-of-decision-settings" TargetMode="External" /><Relationship Type="http://schemas.openxmlformats.org/officeDocument/2006/relationships/hyperlink" Id="rId33"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30" Target="https://warrenpowell.org/decision-framing-tool/#decision-prioritization-tool" TargetMode="External" /><Relationship Type="http://schemas.openxmlformats.org/officeDocument/2006/relationships/hyperlink" Id="rId29" Target="https://warrenpowell.org/decision-framing-tool/#metrics-pyramid-tool" TargetMode="External" /><Relationship Type="http://schemas.openxmlformats.org/officeDocument/2006/relationships/hyperlink" Id="rId32" Target="https://warrenpowell.org/decision-framing-tool/#uncertainty-prioritization-tool" TargetMode="External" /><Relationship Type="http://schemas.openxmlformats.org/officeDocument/2006/relationships/hyperlink" Id="rId31" Target="https://warrenpowell.org/decisionsdecisions/#types-of-decision-settings" TargetMode="External" /><Relationship Type="http://schemas.openxmlformats.org/officeDocument/2006/relationships/hyperlink" Id="rId33"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2026-09-11T16:07:20Z</dcterms:created>
  <dcterms:modified xsi:type="dcterms:W3CDTF">2026-09-11T16:07:20Z</dcterms:modified>
</cp:coreProperties>
</file>

<file path=docProps/custom.xml><?xml version="1.0" encoding="utf-8"?>
<Properties xmlns="http://schemas.openxmlformats.org/officeDocument/2006/custom-properties" xmlns:vt="http://schemas.openxmlformats.org/officeDocument/2006/docPropsVTypes"/>
</file>