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Crestline Biotherapies</w:t>
      </w:r>
    </w:p>
    <w:p>
      <w:pPr>
        <w:pStyle w:val="BodyText"/>
      </w:pPr>
      <w:r>
        <w:t xml:space="preserve">Die Woche-28-Entscheidung</w:t>
      </w:r>
    </w:p>
    <w:p>
      <w:pPr>
        <w:pStyle w:val="BodyText"/>
      </w:pPr>
      <w:r>
        <w:rPr>
          <w:i/>
          <w:iCs/>
        </w:rPr>
        <w:t xml:space="preserve">Eine Fallstudie zur klinischen Entwicklung darüber, was als Nächstes gelernt werden soll, wenn Zeit, Patienten, Kapital und Patentlaufzeit alle begrenzt sind</w:t>
      </w:r>
    </w:p>
    <w:p>
      <w:pPr>
        <w:pStyle w:val="BodyText"/>
      </w:pPr>
      <w:r>
        <w:t xml:space="preserve">Dieser Fall ist fiktiv und für den Unterrichtsgebrauch bestimmt. Namen, Ereignisse, Produkte und Unternehmensdaten sind erfunden; öffentliche Statistiken werden in der Quellenangabe zitiert.</w:t>
      </w:r>
    </w:p>
    <w:tbl>
      <w:tblPr>
        <w:tblStyle w:val="Table"/>
        <w:tblW w:type="auto" w:w="0"/>
        <w:tblLook w:firstRow="0" w:lastRow="0" w:firstColumn="0" w:lastColumn="0" w:noHBand="0" w:noVBand="0" w:val="0000"/>
      </w:tblPr>
      <w:tblGrid>
        <w:gridCol w:w="7920"/>
      </w:tblGrid>
      <w:tr>
        <w:tc>
          <w:tcPr/>
          <w:p>
            <w:pPr>
              <w:pStyle w:val="Compact"/>
            </w:pPr>
            <w:r>
              <w:t xml:space="preserve">Im Oktober 2026 muss Crestline entscheiden, ob eine Phase-II-Studie für eine experimentelle Behandlung einer entzündlichen Lungenerkrankung erweitert, neu gestaltet, pausiert oder beendet werden soll. Erste Ergebnisse deuten auf eine bedeutsame Verbesserung bei einigen Patienten hin, wenig Nutzen bei anderen, sowie ein Sicherheitssignal, das mit der Behandlung zusammenhängen könnte oder auch nicht. Die Rekrutierung liegt sechs Monate hinter dem Zeitplan zurück, ein Wettbewerber hat eine zulassungsrelevante Studie angekündigt, und Crestline verfügt über genügend liquide Mittel, um nur ein großes Entwicklungsprogramm zu verfolgen.</w:t>
            </w:r>
          </w:p>
        </w:tc>
      </w:tr>
    </w:tbl>
    <w:p>
      <w:r>
        <w:pict>
          <v:rect style="width:0;height:1.5pt" o:hralign="center" o:hrstd="t" o:hr="t"/>
        </w:pict>
      </w:r>
    </w:p>
    <w:p>
      <w:pPr>
        <w:pStyle w:val="FirstParagraph"/>
      </w:pPr>
      <w:r>
        <w:t xml:space="preserve">Dieser Fall ist fiktiv und für den Unterrichtsgebrauch bestimmt. Namen, Ereignisse, klinische Ergebnisse und interne Finanzkennzahlen wurden für den Fall erstellt. Öffentliche Statistiken werden in der Quellenangabe zusammengefasst.</w:t>
      </w:r>
    </w:p>
    <w:bookmarkStart w:id="9" w:name="die-zwischenauswertung"/>
    <w:p>
      <w:pPr>
        <w:pStyle w:val="Heading1"/>
      </w:pPr>
      <w:r>
        <w:t xml:space="preserve">Die Zwischenauswertung</w:t>
      </w:r>
    </w:p>
    <w:p>
      <w:pPr>
        <w:pStyle w:val="FirstParagraph"/>
      </w:pPr>
      <w:r>
        <w:t xml:space="preserve">Am Montagmorgen um 7:30 Uhr öffnete Dr. Elena Marquez, Chief Medical Officer von Crestline Biotherapeutics, den vertraulichen Bericht des unabhängigen Datenüberwachungsausschusses. Die Leitsubstanz des Unternehmens, CLN-47, wurde bei Erwachsenen mit fortschreitender entzündlicher Lungenerkrankung getestet, deren Symptome unter Standardtherapie schlecht kontrolliert blieben. Die Studie hatte 164 randomisierte Patienten erreicht, deutlich weniger als die geplanten 240, aber der Vorstand hatte nach verlangsamter Rekrutierung und mehreren gemeldeten unerwünschten Ereignissen eine Zwischenauswertung genehmigt.</w:t>
      </w:r>
    </w:p>
    <w:p>
      <w:pPr>
        <w:pStyle w:val="BodyText"/>
      </w:pPr>
      <w:r>
        <w:t xml:space="preserve">Der Bericht lieferte nicht die einfache Antwort, die Marquez erhofft hatte. Patienten, die die höhere Dosis erhielten, zeigten eine größere durchschnittliche Verbesserung der Lungenfunktion als jene unter Placebo, doch der Unterschied verfehlte den im Protokoll festgelegten statistischen Schwellenwert knapp. Eine über einen Blutbiomarker identifizierte Untergruppe schien stark anzusprechen. Diese Untergruppe war zu Beginn der Studie nicht als primäre Population festgelegt worden, und der zur Identifikation verwendete Laboranalysetest hatte an zwei Studienzentren inkonsistente Ergebnisse geliefert.</w:t>
      </w:r>
    </w:p>
    <w:p>
      <w:pPr>
        <w:pStyle w:val="BodyText"/>
      </w:pPr>
      <w:r>
        <w:t xml:space="preserve">Fünf Patienten unter CLN-47 hatten schwerwiegende Leberenzymerhöhungen erlitten, verglichen mit einem Patienten unter Placebo. Alle erholten sich, nachdem die Behandlung unterbrochen wurde. Die Prüfärzte waren sich uneinig, ob die Ereignisse auf das Medikament, andere Medikamente oder die Grunderkrankung zurückzuführen waren. Der Ausschuss empfahl nicht, die Studie zu stoppen, bat Crestline jedoch, die Überwachung zu verstärken und die Bedingungen zu klären, unter denen die Dosierung ausgesetzt würde.</w:t>
      </w:r>
    </w:p>
    <w:bookmarkEnd w:id="9"/>
    <w:bookmarkStart w:id="11" w:name="X68a7b501d13f251d81eb9c22014cb6a566c2175"/>
    <w:p>
      <w:pPr>
        <w:pStyle w:val="Heading1"/>
      </w:pPr>
      <w:r>
        <w:t xml:space="preserve">Ein kostspieliger Weg mit geringer Ankunftswahrscheinlichkeit</w:t>
      </w:r>
    </w:p>
    <w:p>
      <w:pPr>
        <w:pStyle w:val="FirstParagraph"/>
      </w:pPr>
      <w:r>
        <w:t xml:space="preserve">Klinische Entwicklung erforderte von Unternehmen, erhebliches Kapital zu binden, bevor bekannt war, ob eine Behandlung sicher, wirksam, zulassungsfähig, herstellbar oder kommerziell akzeptiert sein würde. Phase-III-Studien umfassen häufig Hunderte oder Tausende von Teilnehmern und liefern einen Großteil der Evidenz, die bei der behördlichen Prüfung verwendet wird. Branchenschätzungen beziffern die vollständigen Kosten der Entwicklung eines zugelassenen Medikaments, einschließlich erfolgloser Programme, oft auf mehrere Milliarden Dollar und die verstrichene Zeit auf 10 bis 15 Jahre.</w:t>
      </w:r>
    </w:p>
    <w:p>
      <w:pPr>
        <w:pStyle w:val="BodyText"/>
      </w:pPr>
      <w:r>
        <w:t xml:space="preserve">Misserfolg war üblich. Veröffentlichte Schätzungen variieren je nach Krankheitsgebiet und Methodik, doch nur eine Minderheit der in klinische Tests am Menschen eintretenden Wirkstoffe erhält letztlich eine Zulassung. Die Rekrutierung selbst konnte zu einer wesentlichen Verzögerungsquelle werden: Forschungsübersichten haben berichtet, dass viele Studien ihre ursprünglichen Rekrutierungsziele oder Zeitpläne verfehlen, während eine Analyse registrierter Studien eine mediane Verzögerung von etwa zwölf Monaten unter abgeschlossenen Studien sowie einen Abbruch bei mehr als einem Fünftel der Stichprobe feststellte.</w:t>
      </w:r>
    </w:p>
    <w:p>
      <w:pPr>
        <w:pStyle w:val="BodyText"/>
      </w:pPr>
      <w:r>
        <w:t xml:space="preserve">Für Crestline hatte Verzögerung noch einen weiteren Preis. Das Kernpatent von CLN-47 war sieben Jahre zuvor angemeldet worden. Jedes zusätzliche Jahr in der Entwicklung verkürzte den Zeitraum, in dem das Unternehmen die Behandlung ohne direkte Generika-Konkurrenz verkaufen könnte. Doch zu schnelles Vorgehen könnte eine unterdimensionierte Studie erzeugen, Patienten einer unsicheren Dosis aussetzen oder dazu führen, dass Behörden die Evidenz ablehnen.</w:t>
      </w:r>
    </w:p>
    <w:bookmarkStart w:id="10" w:name="X39b6f6815682e6d61ce9d9b543491ed56d1de34"/>
    <w:p>
      <w:pPr>
        <w:pStyle w:val="Heading2"/>
      </w:pPr>
      <w:r>
        <w:t xml:space="preserve">Exhibit 1. Status der CLN-47-Phase-II-Studie</w:t>
      </w:r>
    </w:p>
    <w:tbl>
      <w:tblPr>
        <w:tblStyle w:val="Table"/>
        <w:tblW w:type="pct" w:w="4936"/>
        <w:tblLayout w:type="fixed"/>
        <w:tblLook w:firstRow="1" w:lastRow="0" w:firstColumn="0" w:lastColumn="0" w:noHBand="0" w:noVBand="0" w:val="0020"/>
      </w:tblPr>
      <w:tblGrid>
        <w:gridCol w:w="1523"/>
        <w:gridCol w:w="1929"/>
        <w:gridCol w:w="2183"/>
        <w:gridCol w:w="2183"/>
      </w:tblGrid>
      <w:tr>
        <w:trPr>
          <w:tblHeader w:val="on"/>
        </w:trPr>
        <w:tc>
          <w:tcPr/>
          <w:p>
            <w:pPr>
              <w:pStyle w:val="Compact"/>
              <w:jc w:val="left"/>
            </w:pPr>
            <w:r>
              <w:t xml:space="preserve">Kennzahl</w:t>
            </w:r>
          </w:p>
        </w:tc>
        <w:tc>
          <w:tcPr/>
          <w:p>
            <w:pPr>
              <w:pStyle w:val="Compact"/>
              <w:jc w:val="center"/>
            </w:pPr>
            <w:r>
              <w:t xml:space="preserve">Protokollplan</w:t>
            </w:r>
          </w:p>
        </w:tc>
        <w:tc>
          <w:tcPr/>
          <w:p>
            <w:pPr>
              <w:pStyle w:val="Compact"/>
              <w:jc w:val="center"/>
            </w:pPr>
            <w:r>
              <w:t xml:space="preserve">Status in Woche 28</w:t>
            </w:r>
          </w:p>
        </w:tc>
        <w:tc>
          <w:tcPr/>
          <w:p>
            <w:pPr>
              <w:pStyle w:val="Compact"/>
              <w:jc w:val="center"/>
            </w:pPr>
            <w:r>
              <w:t xml:space="preserve">Anliegen des Managements</w:t>
            </w:r>
          </w:p>
        </w:tc>
      </w:tr>
      <w:tr>
        <w:tc>
          <w:tcPr/>
          <w:p>
            <w:pPr>
              <w:pStyle w:val="Compact"/>
              <w:jc w:val="left"/>
            </w:pPr>
            <w:r>
              <w:t xml:space="preserve">Randomisierte Patienten</w:t>
            </w:r>
          </w:p>
        </w:tc>
        <w:tc>
          <w:tcPr/>
          <w:p>
            <w:pPr>
              <w:pStyle w:val="Compact"/>
              <w:jc w:val="center"/>
            </w:pPr>
            <w:r>
              <w:t xml:space="preserve">240</w:t>
            </w:r>
          </w:p>
        </w:tc>
        <w:tc>
          <w:tcPr/>
          <w:p>
            <w:pPr>
              <w:pStyle w:val="Compact"/>
              <w:jc w:val="center"/>
            </w:pPr>
            <w:r>
              <w:t xml:space="preserve">164</w:t>
            </w:r>
          </w:p>
        </w:tc>
        <w:tc>
          <w:tcPr/>
          <w:p>
            <w:pPr>
              <w:pStyle w:val="Compact"/>
              <w:jc w:val="center"/>
            </w:pPr>
            <w:r>
              <w:t xml:space="preserve">Rekrutierung sechs Monate im Rückstand</w:t>
            </w:r>
          </w:p>
        </w:tc>
      </w:tr>
      <w:tr>
        <w:tc>
          <w:tcPr/>
          <w:p>
            <w:pPr>
              <w:pStyle w:val="Compact"/>
              <w:jc w:val="left"/>
            </w:pPr>
            <w:r>
              <w:t xml:space="preserve">Studienstandorte</w:t>
            </w:r>
          </w:p>
        </w:tc>
        <w:tc>
          <w:tcPr/>
          <w:p>
            <w:pPr>
              <w:pStyle w:val="Compact"/>
              <w:jc w:val="center"/>
            </w:pPr>
            <w:r>
              <w:t xml:space="preserve">32</w:t>
            </w:r>
          </w:p>
        </w:tc>
        <w:tc>
          <w:tcPr/>
          <w:p>
            <w:pPr>
              <w:pStyle w:val="Compact"/>
              <w:jc w:val="center"/>
            </w:pPr>
            <w:r>
              <w:t xml:space="preserve">29 offen; 18 aktiv rekrutierend</w:t>
            </w:r>
          </w:p>
        </w:tc>
        <w:tc>
          <w:tcPr/>
          <w:p>
            <w:pPr>
              <w:pStyle w:val="Compact"/>
              <w:jc w:val="center"/>
            </w:pPr>
            <w:r>
              <w:t xml:space="preserve">Große Schwankung zwischen Standorten</w:t>
            </w:r>
          </w:p>
        </w:tc>
      </w:tr>
      <w:tr>
        <w:tc>
          <w:tcPr/>
          <w:p>
            <w:pPr>
              <w:pStyle w:val="Compact"/>
              <w:jc w:val="left"/>
            </w:pPr>
            <w:r>
              <w:t xml:space="preserve">Primärer Endpunkt</w:t>
            </w:r>
          </w:p>
        </w:tc>
        <w:tc>
          <w:tcPr/>
          <w:p>
            <w:pPr>
              <w:pStyle w:val="Compact"/>
              <w:jc w:val="center"/>
            </w:pPr>
            <w:r>
              <w:t xml:space="preserve">Veränderung der Lungenfunktion nach 2</w:t>
            </w:r>
          </w:p>
        </w:tc>
        <w:tc>
          <w:tcPr/>
          <w:p>
            <w:pPr>
              <w:pStyle w:val="Compact"/>
              <w:jc w:val="center"/>
            </w:pPr>
            <w:r>
              <w:t xml:space="preserve">4 Wochen Hochdosis +3,8%; Placebo +1,9%</w:t>
            </w:r>
          </w:p>
        </w:tc>
        <w:tc>
          <w:tcPr/>
          <w:p>
            <w:pPr>
              <w:pStyle w:val="Compact"/>
              <w:jc w:val="center"/>
            </w:pPr>
            <w:r>
              <w:t xml:space="preserve">Unterschied unter vorgegebenem Schwellenwert</w:t>
            </w:r>
          </w:p>
        </w:tc>
      </w:tr>
      <w:tr>
        <w:tc>
          <w:tcPr/>
          <w:p>
            <w:pPr>
              <w:pStyle w:val="Compact"/>
              <w:jc w:val="left"/>
            </w:pPr>
            <w:r>
              <w:t xml:space="preserve">Biomarker-positive Untergruppe</w:t>
            </w:r>
          </w:p>
        </w:tc>
        <w:tc>
          <w:tcPr/>
          <w:p>
            <w:pPr>
              <w:pStyle w:val="Compact"/>
              <w:jc w:val="center"/>
            </w:pPr>
            <w:r>
              <w:t xml:space="preserve">Nur explorativ</w:t>
            </w:r>
          </w:p>
        </w:tc>
        <w:tc>
          <w:tcPr/>
          <w:p>
            <w:pPr>
              <w:pStyle w:val="Compact"/>
              <w:jc w:val="center"/>
            </w:pPr>
            <w:r>
              <w:t xml:space="preserve">Hochdosis +6,4%; Placebo +1,6%</w:t>
            </w:r>
          </w:p>
        </w:tc>
        <w:tc>
          <w:tcPr/>
          <w:p>
            <w:pPr>
              <w:pStyle w:val="Compact"/>
              <w:jc w:val="center"/>
            </w:pPr>
            <w:r>
              <w:t xml:space="preserve">Vielversprechend, aber nicht vorab festgelegt</w:t>
            </w:r>
          </w:p>
        </w:tc>
      </w:tr>
      <w:tr>
        <w:tc>
          <w:tcPr/>
          <w:p>
            <w:pPr>
              <w:pStyle w:val="Compact"/>
              <w:jc w:val="left"/>
            </w:pPr>
            <w:r>
              <w:t xml:space="preserve">Schwerwiegende Lebersignale</w:t>
            </w:r>
          </w:p>
        </w:tc>
        <w:tc>
          <w:tcPr/>
          <w:p>
            <w:pPr>
              <w:pStyle w:val="Compact"/>
              <w:jc w:val="center"/>
            </w:pPr>
            <w:r>
              <w:t xml:space="preserve">Kein erwartetes Ungleichgewicht</w:t>
            </w:r>
          </w:p>
        </w:tc>
        <w:tc>
          <w:tcPr/>
          <w:p>
            <w:pPr>
              <w:pStyle w:val="Compact"/>
              <w:jc w:val="center"/>
            </w:pPr>
            <w:r>
              <w:t xml:space="preserve">5 Behandlung; 1 Placebo</w:t>
            </w:r>
          </w:p>
        </w:tc>
        <w:tc>
          <w:tcPr/>
          <w:p>
            <w:pPr>
              <w:pStyle w:val="Compact"/>
              <w:jc w:val="center"/>
            </w:pPr>
            <w:r>
              <w:t xml:space="preserve">Kausalität ungewiss</w:t>
            </w:r>
          </w:p>
        </w:tc>
      </w:tr>
      <w:tr>
        <w:tc>
          <w:tcPr/>
          <w:p>
            <w:pPr>
              <w:pStyle w:val="Compact"/>
              <w:jc w:val="left"/>
            </w:pPr>
            <w:r>
              <w:t xml:space="preserve">Studienabbrüche der Teilnehmer</w:t>
            </w:r>
          </w:p>
        </w:tc>
        <w:tc>
          <w:tcPr/>
          <w:p>
            <w:pPr>
              <w:pStyle w:val="Compact"/>
              <w:jc w:val="center"/>
            </w:pPr>
            <w:r>
              <w:t xml:space="preserve">Unter 15%</w:t>
            </w:r>
          </w:p>
        </w:tc>
        <w:tc>
          <w:tcPr/>
          <w:p>
            <w:pPr>
              <w:pStyle w:val="Compact"/>
              <w:jc w:val="center"/>
            </w:pPr>
            <w:r>
              <w:t xml:space="preserve">18% Hochdosis; 12% Niedrig</w:t>
            </w:r>
          </w:p>
        </w:tc>
        <w:tc>
          <w:tcPr/>
          <w:p>
            <w:pPr>
              <w:pStyle w:val="Compact"/>
              <w:jc w:val="center"/>
            </w:pPr>
            <w:r>
              <w:t xml:space="preserve">dosis; 10% Placebo Nebenwirkungen und Besuchsbelastung</w:t>
            </w:r>
          </w:p>
        </w:tc>
      </w:tr>
      <w:tr>
        <w:tc>
          <w:tcPr/>
          <w:p>
            <w:pPr>
              <w:pStyle w:val="Compact"/>
              <w:jc w:val="left"/>
            </w:pPr>
            <w:r>
              <w:t xml:space="preserve">Aktuelle Studienausgaben</w:t>
            </w:r>
          </w:p>
        </w:tc>
        <w:tc>
          <w:tcPr/>
          <w:p>
            <w:pPr>
              <w:pStyle w:val="Compact"/>
              <w:jc w:val="center"/>
            </w:pPr>
            <w:r>
              <w:t xml:space="preserve">$42 Millionen insgesamt</w:t>
            </w:r>
          </w:p>
        </w:tc>
        <w:tc>
          <w:tcPr/>
          <w:p>
            <w:pPr>
              <w:pStyle w:val="Compact"/>
              <w:jc w:val="center"/>
            </w:pPr>
            <w:r>
              <w:t xml:space="preserve">$34,6 Millionen gebunden</w:t>
            </w:r>
          </w:p>
        </w:tc>
        <w:tc>
          <w:tcPr/>
          <w:p>
            <w:pPr>
              <w:pStyle w:val="Compact"/>
              <w:jc w:val="center"/>
            </w:pPr>
            <w:r>
              <w:t xml:space="preserve">Zusätzliche Überwachung erforderlich</w:t>
            </w:r>
          </w:p>
        </w:tc>
      </w:tr>
    </w:tbl>
    <w:bookmarkEnd w:id="10"/>
    <w:bookmarkEnd w:id="11"/>
    <w:bookmarkStart w:id="13" w:name="Xbf4d68573250793636b8dca35380834d691cf9d"/>
    <w:p>
      <w:pPr>
        <w:pStyle w:val="Heading1"/>
      </w:pPr>
      <w:r>
        <w:t xml:space="preserve">Die Patienten, die Crestline finden konnte</w:t>
      </w:r>
    </w:p>
    <w:p>
      <w:pPr>
        <w:pStyle w:val="FirstParagraph"/>
      </w:pPr>
      <w:r>
        <w:t xml:space="preserve">Die Erkrankung betraf schätzungsweise 185.000 Erwachsene in den Vereinigten Staaten, doch nur ein Bruchteil erfüllte die Studienkriterien. Kandidaten mussten eine dokumentierte Progression, eine stabile Hintergrundtherapie, eine ausreichende Leber- und Nierenfunktion sowie keine kürzliche Teilnahme an einer anderen Studie aufweisen. Viele waren älter, lebten weit entfernt von Fachzentren oder waren auf Familienangehörige für den Transport angewiesen. Das Protokoll verlangte elf persönliche Besuche, wiederholte Bluttests, Bildgebung und einen Sechs-Minuten-Gehtest über zweiunddreißig Wochen.</w:t>
      </w:r>
    </w:p>
    <w:p>
      <w:pPr>
        <w:pStyle w:val="BodyText"/>
      </w:pPr>
      <w:r>
        <w:t xml:space="preserve">Crestline hatte zunächst führende akademische Krankenhäuser ausgewählt, weil deren Ärzte die Erkrankung verstanden und komplexe Patienten betreuen konnten. Diese Zentren hatten jedoch auch konkurrierende Studien, langwierige Vertragsverfahren und begrenzte Koordinatorenkapazität. Sieben Standorte hatten weniger als zwei Patienten rekrutiert. Drei ambulante Lungenpraxen rekrutierten schnell, erzeugten jedoch mehr Protokollabweichungen. Ein Anbieter für mobile Forschung schlug häusliche Blutentnahmen und Fernüberwachung der Symptome vor, doch die Behörden hatten den überarbeiteten Betriebsplan noch nicht geprüft, und mehrere Prüfärzte bezweifelten, ob dezentrale Bewertungen mit Krankenhausmessungen vergleichbar wären.</w:t>
      </w:r>
    </w:p>
    <w:bookmarkStart w:id="12" w:name="Xf4bc7ce7f0dc69fe2a31edd8d7638a1a02d0d09"/>
    <w:p>
      <w:pPr>
        <w:pStyle w:val="Heading2"/>
      </w:pPr>
      <w:r>
        <w:t xml:space="preserve">Exhibit 2. Rekrutierungsleistung nach Standorttyp</w:t>
      </w:r>
    </w:p>
    <w:tbl>
      <w:tblPr>
        <w:tblStyle w:val="Table"/>
        <w:tblW w:type="pct" w:w="4933"/>
        <w:tblLayout w:type="fixed"/>
        <w:tblLook w:firstRow="1" w:lastRow="0" w:firstColumn="0" w:lastColumn="0" w:noHBand="0" w:noVBand="0" w:val="0020"/>
      </w:tblPr>
      <w:tblGrid>
        <w:gridCol w:w="1689"/>
        <w:gridCol w:w="686"/>
        <w:gridCol w:w="1161"/>
        <w:gridCol w:w="897"/>
        <w:gridCol w:w="1267"/>
        <w:gridCol w:w="2112"/>
      </w:tblGrid>
      <w:tr>
        <w:trPr>
          <w:tblHeader w:val="on"/>
        </w:trPr>
        <w:tc>
          <w:tcPr/>
          <w:p>
            <w:pPr>
              <w:pStyle w:val="Compact"/>
              <w:jc w:val="left"/>
            </w:pPr>
            <w:r>
              <w:t xml:space="preserve">Standorttyp</w:t>
            </w:r>
          </w:p>
        </w:tc>
        <w:tc>
          <w:tcPr/>
          <w:p>
            <w:pPr>
              <w:pStyle w:val="Compact"/>
              <w:jc w:val="right"/>
            </w:pPr>
            <w:r>
              <w:t xml:space="preserve">Offene Stan</w:t>
            </w:r>
          </w:p>
        </w:tc>
        <w:tc>
          <w:tcPr/>
          <w:p>
            <w:pPr>
              <w:pStyle w:val="Compact"/>
            </w:pPr>
            <w:r>
              <w:t xml:space="preserve">dorte Randomisierte</w:t>
            </w:r>
          </w:p>
        </w:tc>
        <w:tc>
          <w:tcPr/>
          <w:p>
            <w:pPr>
              <w:pStyle w:val="Compact"/>
            </w:pPr>
            <w:r>
              <w:t xml:space="preserve">Patienten Scree</w:t>
            </w:r>
          </w:p>
        </w:tc>
        <w:tc>
          <w:tcPr/>
          <w:p>
            <w:pPr>
              <w:pStyle w:val="Compact"/>
            </w:pPr>
            <w:r>
              <w:t xml:space="preserve">ning-Fehlschläge Monat</w:t>
            </w:r>
          </w:p>
        </w:tc>
        <w:tc>
          <w:tcPr/>
          <w:p>
            <w:pPr>
              <w:pStyle w:val="Compact"/>
            </w:pPr>
            <w:r>
              <w:t xml:space="preserve">liche Kosten pro Standort Beobachtetes Problem</w:t>
            </w:r>
          </w:p>
        </w:tc>
      </w:tr>
      <w:tr>
        <w:tc>
          <w:tcPr/>
          <w:p>
            <w:pPr>
              <w:pStyle w:val="Compact"/>
              <w:jc w:val="left"/>
            </w:pPr>
            <w:r>
              <w:t xml:space="preserve">Akademische Zentren 16</w:t>
            </w:r>
          </w:p>
        </w:tc>
        <w:tc>
          <w:tcPr/>
          <w:p>
            <w:pPr>
              <w:pStyle w:val="Compact"/>
              <w:jc w:val="right"/>
            </w:pPr>
            <w:r>
              <w:t xml:space="preserve">91</w:t>
            </w:r>
          </w:p>
        </w:tc>
        <w:tc>
          <w:tcPr/>
          <w:p>
            <w:pPr>
              <w:pStyle w:val="Compact"/>
            </w:pPr>
            <w:r>
              <w:t xml:space="preserve">48%</w:t>
            </w:r>
          </w:p>
        </w:tc>
        <w:tc>
          <w:tcPr/>
          <w:p>
            <w:pPr>
              <w:pStyle w:val="Compact"/>
            </w:pPr>
            <w:r>
              <w:t xml:space="preserve">$68.</w:t>
            </w:r>
          </w:p>
        </w:tc>
        <w:tc>
          <w:tcPr/>
          <w:p>
            <w:pPr>
              <w:pStyle w:val="Compact"/>
            </w:pPr>
            <w:r>
              <w:t xml:space="preserve">000 Langs</w:t>
            </w:r>
          </w:p>
        </w:tc>
        <w:tc>
          <w:tcPr/>
          <w:p>
            <w:pPr>
              <w:pStyle w:val="Compact"/>
            </w:pPr>
            <w:r>
              <w:t xml:space="preserve">ame Vertragsabwicklung; hohe Datenqualität</w:t>
            </w:r>
          </w:p>
        </w:tc>
      </w:tr>
      <w:tr>
        <w:tc>
          <w:tcPr/>
          <w:p>
            <w:pPr>
              <w:pStyle w:val="Compact"/>
              <w:jc w:val="left"/>
            </w:pPr>
            <w:r>
              <w:t xml:space="preserve">Regionale Krankenhäuser</w:t>
            </w:r>
          </w:p>
        </w:tc>
        <w:tc>
          <w:tcPr/>
          <w:p>
            <w:pPr>
              <w:pStyle w:val="Compact"/>
              <w:jc w:val="right"/>
            </w:pPr>
            <w:r>
              <w:t xml:space="preserve">8</w:t>
            </w:r>
          </w:p>
        </w:tc>
        <w:tc>
          <w:tcPr/>
          <w:p>
            <w:pPr>
              <w:pStyle w:val="Compact"/>
            </w:pPr>
            <w:r>
              <w:t xml:space="preserve">38</w:t>
            </w:r>
          </w:p>
        </w:tc>
        <w:tc>
          <w:tcPr/>
          <w:p>
            <w:pPr>
              <w:pStyle w:val="Compact"/>
            </w:pPr>
            <w:r>
              <w:t xml:space="preserve">42%</w:t>
            </w:r>
          </w:p>
        </w:tc>
        <w:tc>
          <w:tcPr/>
          <w:p>
            <w:pPr>
              <w:pStyle w:val="Compact"/>
            </w:pPr>
            <w:r>
              <w:t xml:space="preserve">$47.000</w:t>
            </w:r>
          </w:p>
        </w:tc>
        <w:tc>
          <w:tcPr/>
          <w:p>
            <w:pPr>
              <w:pStyle w:val="Compact"/>
            </w:pPr>
            <w:r>
              <w:t xml:space="preserve">Uneinheitliche Aufmerksamkeit der Prüfärzte</w:t>
            </w:r>
          </w:p>
        </w:tc>
      </w:tr>
      <w:tr>
        <w:tc>
          <w:tcPr/>
          <w:p>
            <w:pPr>
              <w:pStyle w:val="Compact"/>
              <w:jc w:val="left"/>
            </w:pPr>
            <w:r>
              <w:t xml:space="preserve">Ambulante Lungenpraxen 5</w:t>
            </w:r>
          </w:p>
        </w:tc>
        <w:tc>
          <w:tcPr/>
          <w:p>
            <w:pPr>
              <w:pStyle w:val="Compact"/>
              <w:jc w:val="right"/>
            </w:pPr>
            <w:r>
              <w:t xml:space="preserve">29</w:t>
            </w:r>
          </w:p>
        </w:tc>
        <w:tc>
          <w:tcPr/>
          <w:p>
            <w:pPr>
              <w:pStyle w:val="Compact"/>
            </w:pPr>
            <w:r>
              <w:t xml:space="preserve">31%</w:t>
            </w:r>
          </w:p>
        </w:tc>
        <w:tc>
          <w:tcPr/>
          <w:p>
            <w:pPr>
              <w:pStyle w:val="Compact"/>
            </w:pPr>
            <w:r>
              <w:t xml:space="preserve">$34.00</w:t>
            </w:r>
          </w:p>
        </w:tc>
        <w:tc>
          <w:tcPr/>
          <w:p>
            <w:pPr>
              <w:pStyle w:val="Compact"/>
            </w:pPr>
            <w:r>
              <w:t xml:space="preserve">0 Schnell</w:t>
            </w:r>
          </w:p>
        </w:tc>
        <w:tc>
          <w:tcPr/>
          <w:p>
            <w:pPr>
              <w:pStyle w:val="Compact"/>
            </w:pPr>
            <w:r>
              <w:t xml:space="preserve">ere Rekrutierung; mehr Abweichungen</w:t>
            </w:r>
          </w:p>
        </w:tc>
      </w:tr>
      <w:tr>
        <w:tc>
          <w:tcPr/>
          <w:p>
            <w:pPr>
              <w:pStyle w:val="Compact"/>
              <w:jc w:val="left"/>
            </w:pPr>
            <w:r>
              <w:t xml:space="preserve">Spezialisierte Forschungsklinike</w:t>
            </w:r>
          </w:p>
        </w:tc>
        <w:tc>
          <w:tcPr/>
          <w:p>
            <w:pPr>
              <w:pStyle w:val="Compact"/>
              <w:jc w:val="right"/>
            </w:pPr>
            <w:r>
              <w:t xml:space="preserve">n 3</w:t>
            </w:r>
          </w:p>
        </w:tc>
        <w:tc>
          <w:tcPr/>
          <w:p>
            <w:pPr>
              <w:pStyle w:val="Compact"/>
            </w:pPr>
            <w:r>
              <w:t xml:space="preserve">6</w:t>
            </w:r>
          </w:p>
        </w:tc>
        <w:tc>
          <w:tcPr/>
          <w:p>
            <w:pPr>
              <w:pStyle w:val="Compact"/>
            </w:pPr>
            <w:r>
              <w:t xml:space="preserve">55%</w:t>
            </w:r>
          </w:p>
        </w:tc>
        <w:tc>
          <w:tcPr/>
          <w:p>
            <w:pPr>
              <w:pStyle w:val="Compact"/>
            </w:pPr>
            <w:r>
              <w:t xml:space="preserve">$51.000</w:t>
            </w:r>
          </w:p>
        </w:tc>
        <w:tc>
          <w:tcPr/>
          <w:p>
            <w:pPr>
              <w:pStyle w:val="Compact"/>
            </w:pPr>
            <w:r>
              <w:t xml:space="preserve">Schwaches Überweisungsnetzwerk</w:t>
            </w:r>
          </w:p>
        </w:tc>
      </w:tr>
    </w:tbl>
    <w:p>
      <w:pPr>
        <w:pStyle w:val="BodyText"/>
      </w:pPr>
      <w:r>
        <w:t xml:space="preserve">Das kommerzielle Team schlug vor, zwölf dedizierte Kliniken in großstädtischen Einzelhandelslagen zu eröffnen und direkt bei Patienten über soziale Medien und Patientenverbände zu werben. Das klinische Team befürchtete, dass aggressive Rekrutierung eine große Zahl ungeeigneter Kandidaten hervorbringen, Erwartungen bei schwerkranken Patienten wecken und den Eindruck erwecken könnte, das Unternehmen vermarkte ein Medikament vor der Zulassung. Patientenvertreter argumentierten, dass Reisekostenerstattung, Abendtermine, übersetztes Material und Hausbesuche mehr zur Verbreiterung des Zugangs beitragen würden als Werbung allein.</w:t>
      </w:r>
    </w:p>
    <w:bookmarkEnd w:id="12"/>
    <w:bookmarkEnd w:id="13"/>
    <w:bookmarkStart w:id="15" w:name="was-die-zwischenergebnisse-bedeuteten"/>
    <w:p>
      <w:pPr>
        <w:pStyle w:val="Heading1"/>
      </w:pPr>
      <w:r>
        <w:t xml:space="preserve">Was die Zwischenergebnisse bedeuteten</w:t>
      </w:r>
    </w:p>
    <w:p>
      <w:pPr>
        <w:pStyle w:val="FirstParagraph"/>
      </w:pPr>
      <w:r>
        <w:t xml:space="preserve">Der Studienstatistiker bot drei Interpretationen an. Die erste war, dass CLN-47 wahrscheinlich einen bescheidenen Nutzen in der Gesamtpopulation erzeugte, die Studie jedoch zu wenige Teilnehmer hatte, um dies klar vom Zufall zu unterscheiden. Die zweite war, dass die Behandlung vor allem bei biomarker-positiven Patienten wirkte. Die dritte war, dass das Untergruppenergebnis ein Artefakt war, das durch das Testen vieler möglicher Patientenmerkmale nach Sichtung der Daten entstand.</w:t>
      </w:r>
    </w:p>
    <w:p>
      <w:pPr>
        <w:pStyle w:val="BodyText"/>
      </w:pPr>
      <w:r>
        <w:t xml:space="preserve">Jede Interpretation legte einen anderen nächsten Schritt nahe. Die ursprüngliche Studie abzuschließen würde das Protokoll bewahren, aber mehr Patienten und vielleicht neun zusätzliche Monate erfordern. Die Erweiterung der biomarker-positiven Gruppe könnte schnellere Evidenz für einen größeren Effekt liefern, würde aber eine Änderung der statistischen Analyse und eine Validierung des Assays erfordern. Eine Reduzierung der Hochdosis könnte Sicherheitsbedenken begegnen, aber die Wirksamkeit schwächen. Crestline könnte die Studie auch abbrechen und Kapital für eine andere Verbindung schonen, deren Phase-I-Ergebnisse in vier Monaten vorliegen würden.</w:t>
      </w:r>
    </w:p>
    <w:bookmarkStart w:id="14" w:name="X6f23416306c78b22a999a7d1f24faa931910939"/>
    <w:p>
      <w:pPr>
        <w:pStyle w:val="Heading2"/>
      </w:pPr>
      <w:r>
        <w:t xml:space="preserve">Exhibit 3. Für den Vorstand vorbereitete Entwicklungsalternativen</w:t>
      </w:r>
    </w:p>
    <w:tbl>
      <w:tblPr>
        <w:tblStyle w:val="Table"/>
        <w:tblW w:type="pct" w:w="4940"/>
        <w:tblLayout w:type="fixed"/>
        <w:tblLook w:firstRow="1" w:lastRow="0" w:firstColumn="0" w:lastColumn="0" w:noHBand="0" w:noVBand="0" w:val="0020"/>
      </w:tblPr>
      <w:tblGrid>
        <w:gridCol w:w="1838"/>
        <w:gridCol w:w="2027"/>
        <w:gridCol w:w="801"/>
        <w:gridCol w:w="848"/>
        <w:gridCol w:w="2310"/>
      </w:tblGrid>
      <w:tr>
        <w:trPr>
          <w:tblHeader w:val="on"/>
        </w:trPr>
        <w:tc>
          <w:tcPr/>
          <w:p>
            <w:pPr>
              <w:pStyle w:val="Compact"/>
              <w:jc w:val="left"/>
            </w:pPr>
            <w:r>
              <w:t xml:space="preserve">Alternative</w:t>
            </w:r>
          </w:p>
        </w:tc>
        <w:tc>
          <w:tcPr/>
          <w:p>
            <w:pPr>
              <w:pStyle w:val="Compact"/>
              <w:jc w:val="left"/>
            </w:pPr>
            <w:r>
              <w:t xml:space="preserve">Zusätzliche Kosten</w:t>
            </w:r>
          </w:p>
        </w:tc>
        <w:tc>
          <w:tcPr/>
          <w:p>
            <w:pPr>
              <w:pStyle w:val="Compact"/>
              <w:jc w:val="right"/>
            </w:pPr>
            <w:r>
              <w:t xml:space="preserve">Geschätzte Zei</w:t>
            </w:r>
          </w:p>
        </w:tc>
        <w:tc>
          <w:tcPr/>
          <w:p>
            <w:pPr>
              <w:pStyle w:val="Compact"/>
            </w:pPr>
            <w:r>
              <w:t xml:space="preserve">t Benötigte Pati</w:t>
            </w:r>
          </w:p>
        </w:tc>
        <w:tc>
          <w:tcPr/>
          <w:p>
            <w:pPr>
              <w:pStyle w:val="Compact"/>
              <w:jc w:val="left"/>
            </w:pPr>
            <w:r>
              <w:t xml:space="preserve">enten Hauptrisiko</w:t>
            </w:r>
          </w:p>
        </w:tc>
      </w:tr>
      <w:tr>
        <w:tc>
          <w:tcPr/>
          <w:p>
            <w:pPr>
              <w:pStyle w:val="Compact"/>
              <w:jc w:val="left"/>
            </w:pPr>
            <w:r>
              <w:t xml:space="preserve">Ursprüngliche Phase II abschließen</w:t>
            </w:r>
          </w:p>
        </w:tc>
        <w:tc>
          <w:tcPr/>
          <w:p>
            <w:pPr>
              <w:pStyle w:val="Compact"/>
              <w:jc w:val="left"/>
            </w:pPr>
            <w:r>
              <w:t xml:space="preserve">$23 Millionen</w:t>
            </w:r>
          </w:p>
        </w:tc>
        <w:tc>
          <w:tcPr/>
          <w:p>
            <w:pPr>
              <w:pStyle w:val="Compact"/>
              <w:jc w:val="right"/>
            </w:pPr>
            <w:r>
              <w:t xml:space="preserve">9-12 Mo</w:t>
            </w:r>
          </w:p>
        </w:tc>
        <w:tc>
          <w:tcPr/>
          <w:p>
            <w:pPr>
              <w:pStyle w:val="Compact"/>
            </w:pPr>
            <w:r>
              <w:t xml:space="preserve">nate 76</w:t>
            </w:r>
          </w:p>
        </w:tc>
        <w:tc>
          <w:tcPr/>
          <w:p>
            <w:pPr>
              <w:pStyle w:val="Compact"/>
              <w:jc w:val="left"/>
            </w:pPr>
            <w:r>
              <w:t xml:space="preserve">Mehrdeutiger Durchschnittseffekt könnte bestehen bleiben</w:t>
            </w:r>
          </w:p>
        </w:tc>
      </w:tr>
      <w:tr>
        <w:tc>
          <w:tcPr/>
          <w:p>
            <w:pPr>
              <w:pStyle w:val="Compact"/>
              <w:jc w:val="left"/>
            </w:pPr>
            <w:r>
              <w:t xml:space="preserve">Auf biomarker-positive Kohorte erweiter</w:t>
            </w:r>
          </w:p>
        </w:tc>
        <w:tc>
          <w:tcPr/>
          <w:p>
            <w:pPr>
              <w:pStyle w:val="Compact"/>
              <w:jc w:val="left"/>
            </w:pPr>
            <w:r>
              <w:t xml:space="preserve">n $38 Millionen</w:t>
            </w:r>
          </w:p>
        </w:tc>
        <w:tc>
          <w:tcPr/>
          <w:p>
            <w:pPr>
              <w:pStyle w:val="Compact"/>
              <w:jc w:val="right"/>
            </w:pPr>
            <w:r>
              <w:t xml:space="preserve">12-15 Mona</w:t>
            </w:r>
          </w:p>
        </w:tc>
        <w:tc>
          <w:tcPr/>
          <w:p>
            <w:pPr>
              <w:pStyle w:val="Compact"/>
            </w:pPr>
            <w:r>
              <w:t xml:space="preserve">te 120</w:t>
            </w:r>
          </w:p>
        </w:tc>
        <w:tc>
          <w:tcPr/>
          <w:p>
            <w:pPr>
              <w:pStyle w:val="Compact"/>
              <w:jc w:val="left"/>
            </w:pPr>
            <w:r>
              <w:t xml:space="preserve">Assay und Untergruppe werden möglicherweise nicht akzeptiert</w:t>
            </w:r>
          </w:p>
        </w:tc>
      </w:tr>
      <w:tr>
        <w:tc>
          <w:tcPr/>
          <w:p>
            <w:pPr>
              <w:pStyle w:val="Compact"/>
              <w:jc w:val="left"/>
            </w:pPr>
            <w:r>
              <w:t xml:space="preserve">Dosis und Überwachung neu gestalten</w:t>
            </w:r>
          </w:p>
        </w:tc>
        <w:tc>
          <w:tcPr/>
          <w:p>
            <w:pPr>
              <w:pStyle w:val="Compact"/>
              <w:jc w:val="left"/>
            </w:pPr>
            <w:r>
              <w:t xml:space="preserve">$46 Millionen</w:t>
            </w:r>
          </w:p>
        </w:tc>
        <w:tc>
          <w:tcPr/>
          <w:p>
            <w:pPr>
              <w:pStyle w:val="Compact"/>
              <w:jc w:val="right"/>
            </w:pPr>
            <w:r>
              <w:t xml:space="preserve">15-18</w:t>
            </w:r>
          </w:p>
        </w:tc>
        <w:tc>
          <w:tcPr/>
          <w:p>
            <w:pPr>
              <w:pStyle w:val="Compact"/>
            </w:pPr>
            <w:r>
              <w:t xml:space="preserve">Monate 150</w:t>
            </w:r>
          </w:p>
        </w:tc>
        <w:tc>
          <w:tcPr/>
          <w:p>
            <w:pPr>
              <w:pStyle w:val="Compact"/>
              <w:jc w:val="left"/>
            </w:pPr>
            <w:r>
              <w:t xml:space="preserve">Niedrigere Dosis könnte Wirksamkeit verlieren</w:t>
            </w:r>
          </w:p>
        </w:tc>
      </w:tr>
      <w:tr>
        <w:tc>
          <w:tcPr/>
          <w:p>
            <w:pPr>
              <w:pStyle w:val="Compact"/>
              <w:jc w:val="left"/>
            </w:pPr>
            <w:r>
              <w:t xml:space="preserve">Phase-III-Planung jetzt beginnen</w:t>
            </w:r>
          </w:p>
        </w:tc>
        <w:tc>
          <w:tcPr/>
          <w:p>
            <w:pPr>
              <w:pStyle w:val="Compact"/>
              <w:jc w:val="left"/>
            </w:pPr>
            <w:r>
              <w:t xml:space="preserve">$118 Millionen vor erster großer Zwisc</w:t>
            </w:r>
          </w:p>
        </w:tc>
        <w:tc>
          <w:tcPr/>
          <w:p>
            <w:pPr>
              <w:pStyle w:val="Compact"/>
              <w:jc w:val="right"/>
            </w:pPr>
            <w:r>
              <w:t xml:space="preserve">henauswertung 3</w:t>
            </w:r>
          </w:p>
        </w:tc>
        <w:tc>
          <w:tcPr/>
          <w:p>
            <w:pPr>
              <w:pStyle w:val="Compact"/>
            </w:pPr>
            <w:r>
              <w:t xml:space="preserve">0-36 Monate 78</w:t>
            </w:r>
          </w:p>
        </w:tc>
        <w:tc>
          <w:tcPr/>
          <w:p>
            <w:pPr>
              <w:pStyle w:val="Compact"/>
              <w:jc w:val="left"/>
            </w:pPr>
            <w:r>
              <w:t xml:space="preserve">0 Kapitalbindung, bevor Unsicherheit geklärt ist</w:t>
            </w:r>
          </w:p>
        </w:tc>
      </w:tr>
      <w:tr>
        <w:tc>
          <w:tcPr/>
          <w:p>
            <w:pPr>
              <w:pStyle w:val="Compact"/>
              <w:jc w:val="left"/>
            </w:pPr>
            <w:r>
              <w:t xml:space="preserve">CLN-47 pausieren und anderes Programm a</w:t>
            </w:r>
          </w:p>
        </w:tc>
        <w:tc>
          <w:tcPr/>
          <w:p>
            <w:pPr>
              <w:pStyle w:val="Compact"/>
              <w:jc w:val="left"/>
            </w:pPr>
            <w:r>
              <w:t xml:space="preserve">bwarten $6 Millionen Abwicklung und Erha</w:t>
            </w:r>
          </w:p>
        </w:tc>
        <w:tc>
          <w:tcPr/>
          <w:p>
            <w:pPr>
              <w:pStyle w:val="Compact"/>
              <w:jc w:val="right"/>
            </w:pPr>
            <w:r>
              <w:t xml:space="preserve">lt</w:t>
            </w:r>
          </w:p>
        </w:tc>
        <w:tc>
          <w:tcPr/>
          <w:p>
            <w:pPr>
              <w:pStyle w:val="Compact"/>
            </w:pPr>
            <w:r>
              <w:t xml:space="preserve">4-6 Monate</w:t>
            </w:r>
          </w:p>
        </w:tc>
        <w:tc>
          <w:tcPr/>
          <w:p>
            <w:pPr>
              <w:pStyle w:val="Compact"/>
              <w:jc w:val="left"/>
            </w:pPr>
            <w:r>
              <w:t xml:space="preserve">0 neue Standorte und Investoren könnten Vertrauen verlieren</w:t>
            </w:r>
          </w:p>
        </w:tc>
      </w:tr>
      <w:tr>
        <w:tc>
          <w:tcPr/>
          <w:p>
            <w:pPr>
              <w:pStyle w:val="Compact"/>
              <w:jc w:val="left"/>
            </w:pPr>
            <w:r>
              <w:t xml:space="preserve">CLN-47 beenden $</w:t>
            </w:r>
          </w:p>
        </w:tc>
        <w:tc>
          <w:tcPr/>
          <w:p>
            <w:pPr>
              <w:pStyle w:val="Compact"/>
              <w:jc w:val="left"/>
            </w:pPr>
            <w:r>
              <w:t xml:space="preserve">3 Millionen Abschluss</w:t>
            </w:r>
          </w:p>
        </w:tc>
        <w:tc>
          <w:tcPr/>
          <w:p>
            <w:pPr>
              <w:pStyle w:val="Compact"/>
              <w:jc w:val="right"/>
            </w:pPr>
            <w:r>
              <w:t xml:space="preserve">3 Monate</w:t>
            </w:r>
          </w:p>
        </w:tc>
        <w:tc>
          <w:tcPr/>
          <w:p>
            <w:pPr>
              <w:pStyle w:val="Compact"/>
            </w:pPr>
            <w:r>
              <w:t xml:space="preserve">0 neue</w:t>
            </w:r>
          </w:p>
        </w:tc>
        <w:tc>
          <w:tcPr/>
          <w:p>
            <w:pPr>
              <w:pStyle w:val="Compact"/>
              <w:jc w:val="left"/>
            </w:pPr>
            <w:r>
              <w:t xml:space="preserve">Potenziell wertvolle Behandlung aufgegeben</w:t>
            </w:r>
          </w:p>
        </w:tc>
      </w:tr>
    </w:tbl>
    <w:bookmarkEnd w:id="14"/>
    <w:bookmarkEnd w:id="15"/>
    <w:bookmarkStart w:id="17" w:name="regulatorische-und-herstellungsfragen"/>
    <w:p>
      <w:pPr>
        <w:pStyle w:val="Heading1"/>
      </w:pPr>
      <w:r>
        <w:t xml:space="preserve">Regulatorische und Herstellungsfragen</w:t>
      </w:r>
    </w:p>
    <w:p>
      <w:pPr>
        <w:pStyle w:val="FirstParagraph"/>
      </w:pPr>
      <w:r>
        <w:t xml:space="preserve">Crestlines Berater für regulatorische Angelegenheiten erwarteten, dass sich die Behörde auf das Lebersignal, die klinische Bedeutung der Veränderung der Lungenfunktion und die Glaubwürdigkeit des Biomarkers konzentrieren würde. Ein förmliches Treffen könnte Erwartungen klären, doch die Vorbereitung der Briefing-Unterlagen würde zehn Wochen dauern, und die Antwort der Behörde könnte die Unstimmigkeit nicht lösen. Behörden könnten eine größere Sicherheitsdatenbank, eine längere Nachbeobachtung, einen anderen Endpunkt oder einen zusätzlichen Dosisarm verlangen.</w:t>
      </w:r>
    </w:p>
    <w:p>
      <w:pPr>
        <w:pStyle w:val="BodyText"/>
      </w:pPr>
      <w:r>
        <w:t xml:space="preserve">Die Herstellung fügte eine weitere Unsicherheit hinzu. Die aktuelle Formulierung erforderte gekühlten Vertrieb und hatte eine Haltbarkeit von neun Monaten. Ein Auftragshersteller hatte genug Material produziert, um die Phase-II-Studie abzuschließen, aber ein Phase-III-Programm würde erfordern, innerhalb von sechzig Tagen eine Produktionslinie zu reservieren. Die Reservierungsanzahlung betrug $14 Millionen und war nicht erstattungsfähig. Ein zweiter Hersteller bot niedrigere Stückkosten an, müsste jedoch die Prozessvalidierungsarbeiten wiederholen. Ingenieure testeten außerdem eine raumtemperaturstabile Formulierung, die jedoch möglicherweise nicht rechtzeitig vor Beginn einer zulassungsrelevanten Studie fertig sein würde.</w:t>
      </w:r>
    </w:p>
    <w:bookmarkStart w:id="16" w:name="Xe9e906d7b0d14db1d1deeba54466dac52db633f"/>
    <w:p>
      <w:pPr>
        <w:pStyle w:val="Heading2"/>
      </w:pPr>
      <w:r>
        <w:t xml:space="preserve">Exhibit 4. Veranschauliche kommerzielle Annahmen</w:t>
      </w:r>
    </w:p>
    <w:tbl>
      <w:tblPr>
        <w:tblStyle w:val="Table"/>
        <w:tblW w:type="pct" w:w="4928"/>
        <w:tblLayout w:type="fixed"/>
        <w:tblLook w:firstRow="1" w:lastRow="0" w:firstColumn="0" w:lastColumn="0" w:noHBand="0" w:noVBand="0" w:val="0020"/>
      </w:tblPr>
      <w:tblGrid>
        <w:gridCol w:w="2525"/>
        <w:gridCol w:w="1262"/>
        <w:gridCol w:w="1606"/>
        <w:gridCol w:w="2410"/>
      </w:tblGrid>
      <w:tr>
        <w:trPr>
          <w:tblHeader w:val="on"/>
        </w:trPr>
        <w:tc>
          <w:tcPr/>
          <w:p>
            <w:pPr>
              <w:pStyle w:val="Compact"/>
            </w:pPr>
            <w:r>
              <w:t xml:space="preserve">Annahme Pro</w:t>
            </w:r>
          </w:p>
        </w:tc>
        <w:tc>
          <w:tcPr/>
          <w:p>
            <w:pPr>
              <w:pStyle w:val="Compact"/>
            </w:pPr>
            <w:r>
              <w:t xml:space="preserve">dukt mit breitem Label</w:t>
            </w:r>
          </w:p>
        </w:tc>
        <w:tc>
          <w:tcPr/>
          <w:p>
            <w:pPr>
              <w:pStyle w:val="Compact"/>
              <w:jc w:val="right"/>
            </w:pPr>
            <w:r>
              <w:t xml:space="preserve">Biomarker-begrenztes Prod</w:t>
            </w:r>
          </w:p>
        </w:tc>
        <w:tc>
          <w:tcPr/>
          <w:p>
            <w:pPr>
              <w:pStyle w:val="Compact"/>
              <w:jc w:val="left"/>
            </w:pPr>
            <w:r>
              <w:t xml:space="preserve">ukt Wesentliche Unsicherheit</w:t>
            </w:r>
          </w:p>
        </w:tc>
      </w:tr>
      <w:tr>
        <w:tc>
          <w:tcPr/>
          <w:p>
            <w:pPr>
              <w:pStyle w:val="Compact"/>
            </w:pPr>
            <w:r>
              <w:t xml:space="preserve">Anspruchsberechtigte US-Patienten bei Markte</w:t>
            </w:r>
          </w:p>
        </w:tc>
        <w:tc>
          <w:tcPr/>
          <w:p>
            <w:pPr>
              <w:pStyle w:val="Compact"/>
            </w:pPr>
            <w:r>
              <w:t xml:space="preserve">inführung 7</w:t>
            </w:r>
          </w:p>
        </w:tc>
        <w:tc>
          <w:tcPr/>
          <w:p>
            <w:pPr>
              <w:pStyle w:val="Compact"/>
              <w:jc w:val="right"/>
            </w:pPr>
            <w:r>
              <w:t xml:space="preserve">8.000 29.000</w:t>
            </w:r>
          </w:p>
        </w:tc>
        <w:tc>
          <w:tcPr/>
          <w:p>
            <w:pPr>
              <w:pStyle w:val="Compact"/>
              <w:jc w:val="left"/>
            </w:pPr>
            <w:r>
              <w:t xml:space="preserve">Diagnose, Progression, Label-Formulierung</w:t>
            </w:r>
          </w:p>
        </w:tc>
      </w:tr>
      <w:tr>
        <w:tc>
          <w:tcPr/>
          <w:p>
            <w:pPr>
              <w:pStyle w:val="Compact"/>
            </w:pPr>
            <w:r>
              <w:t xml:space="preserve">Ärztliche Akzeptanz nach drei Jahren 38%</w:t>
            </w:r>
          </w:p>
        </w:tc>
        <w:tc>
          <w:tcPr/>
          <w:p>
            <w:pPr>
              <w:pStyle w:val="Compact"/>
            </w:pPr>
            <w:r>
              <w:t xml:space="preserve">55%</w:t>
            </w:r>
          </w:p>
        </w:tc>
        <w:tc>
          <w:tcPr/>
          <w:p>
            <w:pPr>
              <w:pStyle w:val="Compact"/>
              <w:jc w:val="right"/>
            </w:pPr>
            <w:r>
              <w:t xml:space="preserve">Wahrge</w:t>
            </w:r>
          </w:p>
        </w:tc>
        <w:tc>
          <w:tcPr/>
          <w:p>
            <w:pPr>
              <w:pStyle w:val="Compact"/>
              <w:jc w:val="left"/>
            </w:pPr>
            <w:r>
              <w:t xml:space="preserve">nommener Nutzen und Überwachungsaufwand</w:t>
            </w:r>
          </w:p>
        </w:tc>
      </w:tr>
      <w:tr>
        <w:tc>
          <w:tcPr/>
          <w:p>
            <w:pPr>
              <w:pStyle w:val="Compact"/>
            </w:pPr>
            <w:r>
              <w:t xml:space="preserve">Jährlicher Nettopreis pro behandeltem Patien</w:t>
            </w:r>
          </w:p>
        </w:tc>
        <w:tc>
          <w:tcPr/>
          <w:p>
            <w:pPr>
              <w:pStyle w:val="Compact"/>
            </w:pPr>
            <w:r>
              <w:t xml:space="preserve">t $48.000</w:t>
            </w:r>
          </w:p>
        </w:tc>
        <w:tc>
          <w:tcPr/>
          <w:p>
            <w:pPr>
              <w:pStyle w:val="Compact"/>
              <w:jc w:val="right"/>
            </w:pPr>
            <w:r>
              <w:t xml:space="preserve">$56.000</w:t>
            </w:r>
          </w:p>
        </w:tc>
        <w:tc>
          <w:tcPr/>
          <w:p>
            <w:pPr>
              <w:pStyle w:val="Compact"/>
              <w:jc w:val="left"/>
            </w:pPr>
            <w:r>
              <w:t xml:space="preserve">Kostenträgereinschränkungen und Wettbewerb</w:t>
            </w:r>
          </w:p>
        </w:tc>
      </w:tr>
      <w:tr>
        <w:tc>
          <w:tcPr/>
          <w:p>
            <w:pPr>
              <w:pStyle w:val="Compact"/>
            </w:pPr>
            <w:r>
              <w:t xml:space="preserve">Jährliche Herstellungs-/Vertriebskosten</w:t>
            </w:r>
          </w:p>
        </w:tc>
        <w:tc>
          <w:tcPr/>
          <w:p>
            <w:pPr>
              <w:pStyle w:val="Compact"/>
            </w:pPr>
            <w:r>
              <w:t xml:space="preserve">$7.800</w:t>
            </w:r>
          </w:p>
        </w:tc>
        <w:tc>
          <w:tcPr/>
          <w:p>
            <w:pPr>
              <w:pStyle w:val="Compact"/>
              <w:jc w:val="right"/>
            </w:pPr>
            <w:r>
              <w:t xml:space="preserve">$8.600</w:t>
            </w:r>
          </w:p>
        </w:tc>
        <w:tc>
          <w:tcPr/>
          <w:p>
            <w:pPr>
              <w:pStyle w:val="Compact"/>
              <w:jc w:val="left"/>
            </w:pPr>
            <w:r>
              <w:t xml:space="preserve">Skalierung, Kühlung, Verlust</w:t>
            </w:r>
          </w:p>
        </w:tc>
      </w:tr>
      <w:tr>
        <w:tc>
          <w:tcPr/>
          <w:p>
            <w:pPr>
              <w:pStyle w:val="Compact"/>
            </w:pPr>
            <w:r>
              <w:t xml:space="preserve">Zeit bis zur Markteinführung ab aktueller En</w:t>
            </w:r>
          </w:p>
        </w:tc>
        <w:tc>
          <w:tcPr/>
          <w:p>
            <w:pPr>
              <w:pStyle w:val="Compact"/>
            </w:pPr>
            <w:r>
              <w:t xml:space="preserve">tscheidung 4,5-</w:t>
            </w:r>
          </w:p>
        </w:tc>
        <w:tc>
          <w:tcPr/>
          <w:p>
            <w:pPr>
              <w:pStyle w:val="Compact"/>
              <w:jc w:val="right"/>
            </w:pPr>
            <w:r>
              <w:t xml:space="preserve">5,5 Jahre 4,0-5,0 Ja</w:t>
            </w:r>
          </w:p>
        </w:tc>
        <w:tc>
          <w:tcPr/>
          <w:p>
            <w:pPr>
              <w:pStyle w:val="Compact"/>
              <w:jc w:val="left"/>
            </w:pPr>
            <w:r>
              <w:t xml:space="preserve">hre Studienergebnis und behördliche Prüfung</w:t>
            </w:r>
          </w:p>
        </w:tc>
      </w:tr>
      <w:tr>
        <w:tc>
          <w:tcPr/>
          <w:p>
            <w:pPr>
              <w:pStyle w:val="Compact"/>
            </w:pPr>
            <w:r>
              <w:t xml:space="preserve">Verbleibende wirksame Patentlaufzeit bei Mar</w:t>
            </w:r>
          </w:p>
        </w:tc>
        <w:tc>
          <w:tcPr/>
          <w:p>
            <w:pPr>
              <w:pStyle w:val="Compact"/>
            </w:pPr>
            <w:r>
              <w:t xml:space="preserve">kteinführung 7-9 Jah</w:t>
            </w:r>
          </w:p>
        </w:tc>
        <w:tc>
          <w:tcPr/>
          <w:p>
            <w:pPr>
              <w:pStyle w:val="Compact"/>
              <w:jc w:val="right"/>
            </w:pPr>
            <w:r>
              <w:t xml:space="preserve">re 8-10 Jahre</w:t>
            </w:r>
          </w:p>
        </w:tc>
        <w:tc>
          <w:tcPr/>
          <w:p>
            <w:pPr>
              <w:pStyle w:val="Compact"/>
              <w:jc w:val="left"/>
            </w:pPr>
            <w:r>
              <w:t xml:space="preserve">Verzögerungen und Patentanfechtungen</w:t>
            </w:r>
          </w:p>
        </w:tc>
      </w:tr>
    </w:tbl>
    <w:bookmarkEnd w:id="16"/>
    <w:bookmarkEnd w:id="17"/>
    <w:bookmarkStart w:id="19" w:name="die-kapitalbeschränkung"/>
    <w:p>
      <w:pPr>
        <w:pStyle w:val="Heading1"/>
      </w:pPr>
      <w:r>
        <w:t xml:space="preserve">Die Kapitalbeschränkung</w:t>
      </w:r>
    </w:p>
    <w:p>
      <w:pPr>
        <w:pStyle w:val="FirstParagraph"/>
      </w:pPr>
      <w:r>
        <w:t xml:space="preserve">Crestline verfügte über $186 Millionen an liquiden Mitteln und handelbaren Wertpapieren. Bestehende Verpflichtungen für CLN-47, die zweite Verbindung, den Unternehmensbetrieb und den Schuldendienst würden in den nächsten achtzehn Monaten etwa $91 Millionen verbrauchen. Eine Kapitalerhöhung war möglich, doch der Aktienkurs des Unternehmens war nach Bekanntwerden der Rekrutierungsverzögerung um 37 Prozent gefallen. Eine Partnerschaft mit einem größeren Pharmaunternehmen könnte Kapital und Erfahrung im Studienmanagement bieten, doch potenzielle Partner wollten die Zwischendaten prüfen und könnten die Kontrolle über die zukünftige Entwicklung und Preisgestaltung verlangen.</w:t>
      </w:r>
    </w:p>
    <w:p>
      <w:pPr>
        <w:pStyle w:val="BodyText"/>
      </w:pPr>
      <w:r>
        <w:t xml:space="preserve">Der Finanzvorstand argumentierte, Crestline könne nicht jede wissenschaftliche Frage als etwas behandeln, das eine weitere Studie erfordere. Der Forschungsleiter entgegnete, dass die Beendigung eines Programms nach einer unklaren Zwischenanalyse systematisch Behandlungen mit schnellen, offensichtlichen Effekten bevorzugen und Therapien aufgeben würde, die eine bessere Patientenauswahl erfordern. Der Vertriebsleiter glaubte, ein biomarker-definiertes Produkt könnte stärkeres Interesse bei Ärzten wecken. Der Leiter der klinischen Abläufe warnte, dass eine engere Population schwieriger, nicht leichter, zu rekrutieren sein könnte.</w:t>
      </w:r>
    </w:p>
    <w:bookmarkStart w:id="18" w:name="X2bce9c91597665b3949e3444e2e96f930803296"/>
    <w:p>
      <w:pPr>
        <w:pStyle w:val="Heading2"/>
      </w:pPr>
      <w:r>
        <w:t xml:space="preserve">Exhibit 5. Achtzehnmonatige Liquiditätsvorschau</w:t>
      </w:r>
    </w:p>
    <w:tbl>
      <w:tblPr>
        <w:tblStyle w:val="Table"/>
        <w:tblW w:type="pct" w:w="4907"/>
        <w:tblLayout w:type="fixed"/>
        <w:tblLook w:firstRow="1" w:lastRow="0" w:firstColumn="0" w:lastColumn="0" w:noHBand="0" w:noVBand="0" w:val="0020"/>
      </w:tblPr>
      <w:tblGrid>
        <w:gridCol w:w="2346"/>
        <w:gridCol w:w="1760"/>
        <w:gridCol w:w="2053"/>
        <w:gridCol w:w="1613"/>
      </w:tblGrid>
      <w:tr>
        <w:trPr>
          <w:tblHeader w:val="on"/>
        </w:trPr>
        <w:tc>
          <w:tcPr/>
          <w:p>
            <w:pPr>
              <w:pStyle w:val="Compact"/>
              <w:jc w:val="left"/>
            </w:pPr>
            <w:r>
              <w:t xml:space="preserve">Verwendung der Mittel</w:t>
            </w:r>
          </w:p>
        </w:tc>
        <w:tc>
          <w:tcPr/>
          <w:p>
            <w:pPr>
              <w:pStyle w:val="Compact"/>
              <w:jc w:val="right"/>
            </w:pPr>
            <w:r>
              <w:t xml:space="preserve">Gebunden / Bas</w:t>
            </w:r>
          </w:p>
        </w:tc>
        <w:tc>
          <w:tcPr/>
          <w:p>
            <w:pPr>
              <w:pStyle w:val="Compact"/>
            </w:pPr>
            <w:r>
              <w:t xml:space="preserve">isplan Abschluss ursprüngl</w:t>
            </w:r>
          </w:p>
        </w:tc>
        <w:tc>
          <w:tcPr/>
          <w:p>
            <w:pPr>
              <w:pStyle w:val="Compact"/>
            </w:pPr>
            <w:r>
              <w:t xml:space="preserve">iche Studie Biomarker-Erweiterung</w:t>
            </w:r>
          </w:p>
        </w:tc>
      </w:tr>
      <w:tr>
        <w:tc>
          <w:tcPr/>
          <w:p>
            <w:pPr>
              <w:pStyle w:val="Compact"/>
              <w:jc w:val="left"/>
            </w:pPr>
            <w:r>
              <w:t xml:space="preserve">Unternehmensbetrieb und Schulden</w:t>
            </w:r>
          </w:p>
        </w:tc>
        <w:tc>
          <w:tcPr/>
          <w:p>
            <w:pPr>
              <w:pStyle w:val="Compact"/>
              <w:jc w:val="right"/>
            </w:pPr>
            <w:r>
              <w:t xml:space="preserve">dienst $49 Millionen</w:t>
            </w:r>
          </w:p>
        </w:tc>
        <w:tc>
          <w:tcPr/>
          <w:p>
            <w:pPr>
              <w:pStyle w:val="Compact"/>
            </w:pPr>
            <w:r>
              <w:t xml:space="preserve">$49 Millionen</w:t>
            </w:r>
          </w:p>
        </w:tc>
        <w:tc>
          <w:tcPr/>
          <w:p>
            <w:pPr>
              <w:pStyle w:val="Compact"/>
            </w:pPr>
            <w:r>
              <w:t xml:space="preserve">$49 Millionen</w:t>
            </w:r>
          </w:p>
        </w:tc>
      </w:tr>
      <w:tr>
        <w:tc>
          <w:tcPr/>
          <w:p>
            <w:pPr>
              <w:pStyle w:val="Compact"/>
              <w:jc w:val="left"/>
            </w:pPr>
            <w:r>
              <w:t xml:space="preserve">Aktuelle CLN-47-Verpflichtungen</w:t>
            </w:r>
          </w:p>
        </w:tc>
        <w:tc>
          <w:tcPr/>
          <w:p>
            <w:pPr>
              <w:pStyle w:val="Compact"/>
              <w:jc w:val="right"/>
            </w:pPr>
            <w:r>
              <w:t xml:space="preserve">$35 Millionen</w:t>
            </w:r>
          </w:p>
        </w:tc>
        <w:tc>
          <w:tcPr/>
          <w:p>
            <w:pPr>
              <w:pStyle w:val="Compact"/>
            </w:pPr>
            <w:r>
              <w:t xml:space="preserve">$35 Millionen</w:t>
            </w:r>
          </w:p>
        </w:tc>
        <w:tc>
          <w:tcPr/>
          <w:p>
            <w:pPr>
              <w:pStyle w:val="Compact"/>
            </w:pPr>
            <w:r>
              <w:t xml:space="preserve">$35 Millionen</w:t>
            </w:r>
          </w:p>
        </w:tc>
      </w:tr>
      <w:tr>
        <w:tc>
          <w:tcPr/>
          <w:p>
            <w:pPr>
              <w:pStyle w:val="Compact"/>
              <w:jc w:val="left"/>
            </w:pPr>
            <w:r>
              <w:t xml:space="preserve">Zusätzliches CLN-47-Programm $0</w:t>
            </w:r>
          </w:p>
        </w:tc>
        <w:tc>
          <w:tcPr/>
          <w:p>
            <w:pPr>
              <w:pStyle w:val="Compact"/>
              <w:jc w:val="right"/>
            </w:pPr>
            <w:r>
              <w:t xml:space="preserve">$2</w:t>
            </w:r>
          </w:p>
        </w:tc>
        <w:tc>
          <w:tcPr/>
          <w:p>
            <w:pPr>
              <w:pStyle w:val="Compact"/>
            </w:pPr>
            <w:r>
              <w:t xml:space="preserve">3 Millionen</w:t>
            </w:r>
            <w:r>
              <w:br/>
            </w:r>
          </w:p>
        </w:tc>
        <w:tc>
          <w:tcPr/>
          <w:p>
            <w:pPr>
              <w:pStyle w:val="Compact"/>
            </w:pPr>
            <w:r>
              <w:t xml:space="preserve">$38 Millionen</w:t>
            </w:r>
          </w:p>
        </w:tc>
      </w:tr>
      <w:tr>
        <w:tc>
          <w:tcPr/>
          <w:p>
            <w:pPr>
              <w:pStyle w:val="Compact"/>
              <w:jc w:val="left"/>
            </w:pPr>
            <w:r>
              <w:t xml:space="preserve">Zweite Entwicklungsverbindung</w:t>
            </w:r>
          </w:p>
        </w:tc>
        <w:tc>
          <w:tcPr/>
          <w:p>
            <w:pPr>
              <w:pStyle w:val="Compact"/>
              <w:jc w:val="right"/>
            </w:pPr>
            <w:r>
              <w:t xml:space="preserve">$31 Millionen</w:t>
            </w:r>
          </w:p>
        </w:tc>
        <w:tc>
          <w:tcPr/>
          <w:p>
            <w:pPr>
              <w:pStyle w:val="Compact"/>
            </w:pPr>
            <w:r>
              <w:t xml:space="preserve">$31 Millionen</w:t>
            </w:r>
          </w:p>
        </w:tc>
        <w:tc>
          <w:tcPr/>
          <w:p>
            <w:pPr>
              <w:pStyle w:val="Compact"/>
            </w:pPr>
            <w:r>
              <w:t xml:space="preserve">$31 Millionen</w:t>
            </w:r>
          </w:p>
        </w:tc>
      </w:tr>
      <w:tr>
        <w:tc>
          <w:tcPr/>
          <w:p>
            <w:pPr>
              <w:pStyle w:val="Compact"/>
              <w:jc w:val="left"/>
            </w:pPr>
            <w:r>
              <w:t xml:space="preserve">Herstellungsreservierung</w:t>
            </w:r>
            <w:r>
              <w:br/>
            </w:r>
          </w:p>
        </w:tc>
        <w:tc>
          <w:tcPr/>
          <w:p>
            <w:pPr>
              <w:pStyle w:val="Compact"/>
              <w:jc w:val="right"/>
            </w:pPr>
            <w:r>
              <w:t xml:space="preserve">$0</w:t>
            </w:r>
            <w:r>
              <w:br/>
            </w:r>
          </w:p>
        </w:tc>
        <w:tc>
          <w:tcPr/>
          <w:p>
            <w:pPr>
              <w:pStyle w:val="Compact"/>
            </w:pPr>
            <w:r>
              <w:t xml:space="preserve">$14 Millionen</w:t>
            </w:r>
          </w:p>
        </w:tc>
        <w:tc>
          <w:tcPr/>
          <w:p>
            <w:pPr>
              <w:pStyle w:val="Compact"/>
            </w:pPr>
            <w:r>
              <w:t xml:space="preserve">$14 Millionen</w:t>
            </w:r>
          </w:p>
        </w:tc>
      </w:tr>
      <w:tr>
        <w:tc>
          <w:tcPr/>
          <w:p>
            <w:pPr>
              <w:pStyle w:val="Compact"/>
              <w:jc w:val="left"/>
            </w:pPr>
            <w:r>
              <w:t xml:space="preserve">Prognostiziertes Endkapital</w:t>
            </w:r>
          </w:p>
        </w:tc>
        <w:tc>
          <w:tcPr/>
          <w:p>
            <w:pPr>
              <w:pStyle w:val="Compact"/>
              <w:jc w:val="right"/>
            </w:pPr>
            <w:r>
              <w:t xml:space="preserve">$71 Millionen</w:t>
            </w:r>
          </w:p>
        </w:tc>
        <w:tc>
          <w:tcPr/>
          <w:p>
            <w:pPr>
              <w:pStyle w:val="Compact"/>
            </w:pPr>
            <w:r>
              <w:t xml:space="preserve">$34 Millionen</w:t>
            </w:r>
          </w:p>
        </w:tc>
        <w:tc>
          <w:tcPr/>
          <w:p>
            <w:pPr>
              <w:pStyle w:val="Compact"/>
            </w:pPr>
            <w:r>
              <w:t xml:space="preserve">$19 Millionen</w:t>
            </w:r>
          </w:p>
        </w:tc>
      </w:tr>
    </w:tbl>
    <w:bookmarkEnd w:id="18"/>
    <w:bookmarkEnd w:id="19"/>
    <w:bookmarkStart w:id="20" w:name="die-vorstandssitzung-am-mittwoch"/>
    <w:p>
      <w:pPr>
        <w:pStyle w:val="Heading1"/>
      </w:pPr>
      <w:r>
        <w:t xml:space="preserve">Die Vorstandssitzung am Mittwoch</w:t>
      </w:r>
    </w:p>
    <w:p>
      <w:pPr>
        <w:pStyle w:val="FirstParagraph"/>
      </w:pPr>
      <w:r>
        <w:t xml:space="preserve">Bis Mittwochnachmittag hatte Marquez drei neue Informationen erhalten. Ein ambulanter Standort meldete zwei weitere Leberenzymerhöhungen, keine bislang als schwerwiegend eingestuft. Der Laborzulieferer teilte mit, er könne einen verbesserten Biomarker-Assay in fünf Monaten validieren, jedoch nur, wenn Crestline sofort $4,2 Millionen zusage. Ein Wettbewerber kündigte an, seine Phase-III-Studie werde 620 Patienten rekrutieren und krankenhausfreies Überleben statt Lungenfunktion als primären Endpunkt verwenden.</w:t>
      </w:r>
    </w:p>
    <w:p>
      <w:pPr>
        <w:pStyle w:val="BodyText"/>
      </w:pPr>
      <w:r>
        <w:t xml:space="preserve">Die Ankündigung des Wettbewerbers könnte bedeuten, dass Ärzte und Krankenhäuser noch weniger Kapazität für Crestlines Studie hätten. Sie könnte auch das Investoreninteresse an der Erkrankung bestätigen. Niemand wusste, ob sich die konkurrierende Behandlung als sicherer oder wirksamer erweisen würde, ob sie zuerst den Markt erreichen würde, oder ob ihr Studiendesign die Erwartungen der Behörden an CLN-47 beeinflussen würde.</w:t>
      </w:r>
    </w:p>
    <w:p>
      <w:pPr>
        <w:pStyle w:val="BodyText"/>
      </w:pPr>
      <w:r>
        <w:t xml:space="preserve">Marquez musste noch am selben Abend einen Weg empfehlen. Der Vorstand wollte wissen, ob die aktuelle Evidenz eine fortgesetzte Exposition von Patienten und Kapital rechtfertigte, welche zusätzlichen Informationen die Entscheidung wesentlich verändern würden und wie schnell diese Informationen beschafft werden könnten. Er würde auch fragen, ob Crestline eine breite Behandlungsambition aufrechterhalten, sich auf die Patienten konzentrieren sollte, die am wahrscheinlichsten von Nutzen wären, einen Partner suchen oder seine verbleibenden Ressourcen anderswo einsetzen sollte.</w:t>
      </w:r>
    </w:p>
    <w:p>
      <w:pPr>
        <w:pStyle w:val="BodyText"/>
      </w:pPr>
      <w:r>
        <w:t xml:space="preserve">Keine Option schützte jedes Ziel. Die Erweiterung der Studie könnte eine klinisch bedeutsame Behandlung offenbaren, aber möglicherweise das Kapital des Unternehmens verbrauchen, bevor das Ergebnis bekannt war. Der Beginn der Phase-III-Planung könnte Zeit und Herstellungskapazität bewahren, aber die Folgen einer falschen Interpretation vergrößern. Eine Pause könnte es dem Assay und der regulatorischen Strategie ermöglichen zu reifen, doch Standorte, Patienten, Mitarbeiter und Investoren könnten nicht warten wollen. Die Beendigung würde finanzielle Klarheit schaffen, während die Möglichkeit ausgeschlossen würde, dass die uneinheitlichen Daten ein echtes therapeutisches Signal enthielten.</w:t>
      </w:r>
    </w:p>
    <w:bookmarkEnd w:id="20"/>
    <w:bookmarkStart w:id="21" w:name="diskussionsfragen"/>
    <w:p>
      <w:pPr>
        <w:pStyle w:val="Heading1"/>
      </w:pPr>
      <w:r>
        <w:t xml:space="preserve">Diskussionsfragen</w:t>
      </w:r>
    </w:p>
    <w:p>
      <w:pPr>
        <w:numPr>
          <w:ilvl w:val="0"/>
          <w:numId w:val="1001"/>
        </w:numPr>
      </w:pPr>
      <w:r>
        <w:t xml:space="preserve">Was ist das zentrale Problem, vor dem Marquez und Crestline Biotherapeutics stehen?</w:t>
      </w:r>
    </w:p>
    <w:p>
      <w:pPr>
        <w:numPr>
          <w:ilvl w:val="0"/>
          <w:numId w:val="1001"/>
        </w:numPr>
      </w:pPr>
      <w:r>
        <w:t xml:space="preserve">Wie sollte das Unternehmen das durchschnittliche Studienergebnis und das stärkere Ansprechen in der biomarker-positiven Untergruppe interpretieren?</w:t>
      </w:r>
    </w:p>
    <w:p>
      <w:pPr>
        <w:numPr>
          <w:ilvl w:val="0"/>
          <w:numId w:val="1001"/>
        </w:numPr>
      </w:pPr>
      <w:r>
        <w:t xml:space="preserve">Welche zusätzlichen Informationen wären am wertvollsten, bevor man sich auf eine weitere große Studie festlegt?</w:t>
      </w:r>
    </w:p>
    <w:p>
      <w:pPr>
        <w:numPr>
          <w:ilvl w:val="0"/>
          <w:numId w:val="1001"/>
        </w:numPr>
      </w:pPr>
      <w:r>
        <w:t xml:space="preserve">Sollte Crestline das ursprüngliche Phase-II-Protokoll abschließen, es neu gestalten oder zur Phase III übergehen? Warum?</w:t>
      </w:r>
    </w:p>
    <w:p>
      <w:pPr>
        <w:numPr>
          <w:ilvl w:val="0"/>
          <w:numId w:val="1001"/>
        </w:numPr>
      </w:pPr>
      <w:r>
        <w:t xml:space="preserve">Wie sollten Sicherheitsbedenken der Patienten gegen den ungedeckten Bedarf und die Möglichkeit eines Nutzens abgewogen werden?</w:t>
      </w:r>
    </w:p>
    <w:p>
      <w:pPr>
        <w:numPr>
          <w:ilvl w:val="0"/>
          <w:numId w:val="1001"/>
        </w:numPr>
      </w:pPr>
      <w:r>
        <w:t xml:space="preserve">Welche Änderungen bei Standortauswahl, Patientenrekrutierung, Besuchsgestaltung und Kostenerstattung könnten die Rekrutierung verbessern, ohne die Datenqualität zu schwächen?</w:t>
      </w:r>
    </w:p>
    <w:p>
      <w:pPr>
        <w:numPr>
          <w:ilvl w:val="0"/>
          <w:numId w:val="1001"/>
        </w:numPr>
      </w:pPr>
      <w:r>
        <w:t xml:space="preserve">Sollte Crestline Herstellungskapazität reservieren, bevor die klinischen Fragen geklärt sind?</w:t>
      </w:r>
    </w:p>
    <w:p>
      <w:pPr>
        <w:numPr>
          <w:ilvl w:val="0"/>
          <w:numId w:val="1001"/>
        </w:numPr>
      </w:pPr>
      <w:r>
        <w:t xml:space="preserve">Wie sollten Patentlaufzeit, Wettbewerberaktivität, ärztliche Akzeptanz, Preisgestaltung und Herstellungsanforderungen die Entwicklungsentscheidung beeinflussen?</w:t>
      </w:r>
    </w:p>
    <w:p>
      <w:pPr>
        <w:numPr>
          <w:ilvl w:val="0"/>
          <w:numId w:val="1001"/>
        </w:numPr>
      </w:pPr>
      <w:r>
        <w:t xml:space="preserve">Würde eine Partnerschaft das Programm verbessern, oder würde sie zu viel zukünftigen Wert und Kontrolle übertragen?</w:t>
      </w:r>
    </w:p>
    <w:p>
      <w:pPr>
        <w:numPr>
          <w:ilvl w:val="0"/>
          <w:numId w:val="1001"/>
        </w:numPr>
      </w:pPr>
      <w:r>
        <w:t xml:space="preserve">Unter welchen zukünftigen Befunden sollte Crestline CLN-47 fortsetzen, eingrenzen, pausieren oder beenden?</w:t>
      </w:r>
    </w:p>
    <w:bookmarkEnd w:id="21"/>
    <w:bookmarkStart w:id="27" w:name="fragen-zur-entscheidungsrahmung"/>
    <w:p>
      <w:pPr>
        <w:pStyle w:val="Heading1"/>
      </w:pPr>
      <w:r>
        <w:t xml:space="preserve">Fragen zur Entscheidungsrahmung</w:t>
      </w:r>
    </w:p>
    <w:p>
      <w:pPr>
        <w:numPr>
          <w:ilvl w:val="0"/>
          <w:numId w:val="1002"/>
        </w:numPr>
      </w:pPr>
      <w:r>
        <w:t xml:space="preserve">Identifizieren und beschreiben Sie die Verantwortlichkeiten des Entscheidungsträgers. Dies sollte den Umfang des Problems festlegen.</w:t>
      </w:r>
    </w:p>
    <w:p>
      <w:pPr>
        <w:numPr>
          <w:ilvl w:val="0"/>
          <w:numId w:val="1002"/>
        </w:numPr>
      </w:pPr>
      <w:r>
        <w:t xml:space="preserve">Verwenden Sie das</w:t>
      </w:r>
      <w:r>
        <w:t xml:space="preserve"> </w:t>
      </w:r>
      <w:hyperlink r:id="rId22">
        <w:r>
          <w:rPr>
            <w:rStyle w:val="Hyperlink"/>
          </w:rPr>
          <w:t xml:space="preserve">Metrik-Pyramide-Werkzeug</w:t>
        </w:r>
      </w:hyperlink>
      <w:r>
        <w:t xml:space="preserve">, um die verschiedenen Leistungskennzahlen zu identifizieren und zu priorisieren. Klicken Sie auf das Oval, das die Kennzahl enthält, um festzulegen, ob es sich um eine zu maximierende Kennzahl (grün), eine zu minimierende Kennzahl (rot), einen Zielwert handelt, der eine Untergrenze (hellgrün) oder eine Obergrenze (hellrot) darstellt, oder schließlich um einen Zielwert (violett).</w:t>
      </w:r>
    </w:p>
    <w:p>
      <w:pPr>
        <w:numPr>
          <w:ilvl w:val="0"/>
          <w:numId w:val="1002"/>
        </w:numPr>
      </w:pPr>
      <w:r>
        <w:t xml:space="preserve">Verwenden Sie das</w:t>
      </w:r>
      <w:r>
        <w:t xml:space="preserve"> </w:t>
      </w:r>
      <w:hyperlink r:id="rId23">
        <w:r>
          <w:rPr>
            <w:rStyle w:val="Hyperlink"/>
          </w:rPr>
          <w:t xml:space="preserve">Entscheidungspriorisierungs-Werkzeug</w:t>
        </w:r>
      </w:hyperlink>
      <w:r>
        <w:t xml:space="preserve">, um zunächst die verschiedenen Arten von Entscheidungen aufzulisten (verwenden Sie die</w:t>
      </w:r>
      <w:r>
        <w:t xml:space="preserve"> </w:t>
      </w:r>
      <w:hyperlink r:id="rId24">
        <w:r>
          <w:rPr>
            <w:rStyle w:val="Hyperlink"/>
          </w:rPr>
          <w:t xml:space="preserve">Entscheidungsarten</w:t>
        </w:r>
      </w:hyperlink>
      <w:r>
        <w:t xml:space="preserve"> </w:t>
      </w:r>
      <w:r>
        <w:t xml:space="preserve">als Leitfaden). Diese füllen dann die Zeilen der Matrix rechts, wobei die Spalten die Leistungskennzahlen sind, sortiert von links nach rechts nach der Priorität in der obigen Pyramide. Klicken Sie auf jede Zelle, um anzugeben, ob die Auswirkung der Entscheidung auf jede Kennzahl hoch (rot), mittel (orange), niedrig (gelb) oder keine (weiß) ist.</w:t>
      </w:r>
    </w:p>
    <w:p>
      <w:pPr>
        <w:numPr>
          <w:ilvl w:val="0"/>
          <w:numId w:val="1002"/>
        </w:numPr>
      </w:pPr>
      <w:r>
        <w:t xml:space="preserve">Sie können den Griff (drei Balken) ganz links in jeder Zeile fassen, um sie nach oben oder unten zu verschieben. Sortieren Sie die Zeilen so, dass die Entscheidungen mit dem größten Einfluss auf die wichtigsten Kennzahlen weiter oben stehen. Die Zellen in der oberen linken Ecke sollten die größte Konzentration an roten und orangefarbenen Zellen aufweisen. Identifizieren Sie an diesem Punkt die Entscheidungen, die in Ihrer Studie die meiste Aufmerksamkeit erhalten sollten. Wenn Sie keine Entscheidungen mit mittlerer oder hoher Auswirkung auf die wichtigsten Kennzahlen haben, überarbeiten Sie Ihre Liste der Entscheidungen.</w:t>
      </w:r>
    </w:p>
    <w:p>
      <w:pPr>
        <w:numPr>
          <w:ilvl w:val="0"/>
          <w:numId w:val="1002"/>
        </w:numPr>
      </w:pPr>
      <w:r>
        <w:t xml:space="preserve">Wiederholen Sie den Prozess, um die Unsicherheiten mithilfe des</w:t>
      </w:r>
      <w:r>
        <w:t xml:space="preserve"> </w:t>
      </w:r>
      <w:hyperlink r:id="rId25">
        <w:r>
          <w:rPr>
            <w:rStyle w:val="Hyperlink"/>
          </w:rPr>
          <w:t xml:space="preserve">Unsicherheitspriorisierungs-Werkzeugs</w:t>
        </w:r>
      </w:hyperlink>
      <w:r>
        <w:t xml:space="preserve"> </w:t>
      </w:r>
      <w:r>
        <w:t xml:space="preserve">aufzulisten und zu priorisieren. Verwenden Sie die</w:t>
      </w:r>
      <w:r>
        <w:t xml:space="preserve"> </w:t>
      </w:r>
      <w:hyperlink r:id="rId26">
        <w:r>
          <w:rPr>
            <w:rStyle w:val="Hyperlink"/>
          </w:rPr>
          <w:t xml:space="preserve">Kategorien der Unsicherheit</w:t>
        </w:r>
      </w:hyperlink>
      <w:r>
        <w:t xml:space="preserve">, um dies zu unterstützen.</w:t>
      </w:r>
    </w:p>
    <w:p>
      <w:pPr>
        <w:numPr>
          <w:ilvl w:val="0"/>
          <w:numId w:val="1002"/>
        </w:numPr>
      </w:pPr>
      <w:r>
        <w:t xml:space="preserve">Es ist wichtig, Unsicherheiten zu unterscheiden, die im Durchschnitt oder als Risikoereignisse bewertet werden können:</w:t>
      </w:r>
    </w:p>
    <w:p>
      <w:pPr>
        <w:numPr>
          <w:ilvl w:val="1"/>
          <w:numId w:val="1003"/>
        </w:numPr>
      </w:pPr>
      <w:r>
        <w:t xml:space="preserve">Welche Unsicherheitsquellen würden anhand der durchschnittlichen Leistung über die Zeit erfasst?</w:t>
      </w:r>
    </w:p>
    <w:p>
      <w:pPr>
        <w:numPr>
          <w:ilvl w:val="1"/>
          <w:numId w:val="1003"/>
        </w:numPr>
      </w:pPr>
      <w:r>
        <w:t xml:space="preserve">Welche Unsicherheitsquellen stellen Formen von Risiko dar, die durch Durchschnittswerte nicht angemessen erfasst werden?</w:t>
      </w:r>
    </w:p>
    <w:p>
      <w:pPr>
        <w:numPr>
          <w:ilvl w:val="0"/>
          <w:numId w:val="1002"/>
        </w:numPr>
      </w:pPr>
      <w:r>
        <w:t xml:space="preserve">Wählen Sie die einzelne Entscheidung, die den größten Einfluss auf die wichtigste Kennzahl zu haben scheint.</w:t>
      </w:r>
    </w:p>
    <w:p>
      <w:pPr>
        <w:numPr>
          <w:ilvl w:val="1"/>
          <w:numId w:val="1004"/>
        </w:numPr>
      </w:pPr>
      <w:r>
        <w:t xml:space="preserve">Welchen Ansatz würden Sie Ihrer Meinung nach verwenden, um diese Entscheidung zu treffen?</w:t>
      </w:r>
    </w:p>
    <w:p>
      <w:pPr>
        <w:numPr>
          <w:ilvl w:val="1"/>
          <w:numId w:val="1004"/>
        </w:numPr>
      </w:pPr>
      <w:r>
        <w:t xml:space="preserve">Welche Daten scheinen notwendig zu sein, um diese Entscheidung zu treffen, einschließlich der Berechnung etwaiger Leistungskennzahlen, bei denen die Entscheidung eine hohe oder mittlere Auswirkung hätte.</w:t>
      </w:r>
    </w:p>
    <w:p>
      <w:pPr>
        <w:numPr>
          <w:ilvl w:val="0"/>
          <w:numId w:val="1002"/>
        </w:numPr>
      </w:pPr>
      <w:r>
        <w:t xml:space="preserve">Identifizieren Sie unter Verwendung derselben Entscheidung, die Sie in (7) festgelegt haben, die Personen, Abteilungen, Gruppen oder Organisationen, mit denen Sie zusammenarbeiten müssten, um die Entscheidung umzusetzen.</w:t>
      </w:r>
    </w:p>
    <w:bookmarkEnd w:id="27"/>
    <w:bookmarkStart w:id="28" w:name="quellenangabe"/>
    <w:p>
      <w:pPr>
        <w:pStyle w:val="Heading1"/>
      </w:pPr>
      <w:r>
        <w:t xml:space="preserve">Quellenangabe</w:t>
      </w:r>
    </w:p>
    <w:p>
      <w:pPr>
        <w:pStyle w:val="FirstParagraph"/>
      </w:pPr>
      <w:r>
        <w:t xml:space="preserve">Die konzeptionelle Grundlage für diesen Fall ist der Abschnitt</w:t>
      </w:r>
      <w:r>
        <w:t xml:space="preserve"> </w:t>
      </w:r>
      <w:r>
        <w:t xml:space="preserve">“Running clinical trials for drug testing”</w:t>
      </w:r>
      <w:r>
        <w:t xml:space="preserve"> </w:t>
      </w:r>
      <w:r>
        <w:t xml:space="preserve">aus Warren B. Powell, Bridging Decision Problems, Volume I: Framing the Problem, Kapitel 2. Der Fall bettet die klinischen, finanziellen, operativen, regulatorischen, herstellungsbezogenen, marketingbezogenen und wettbewerblichen Überlegungen des Abschnitts in die Erzählung und die Exhibits ein, ohne sie als getrennte Analysekategorien zu kennzeichnen.</w:t>
      </w:r>
    </w:p>
    <w:p>
      <w:pPr>
        <w:pStyle w:val="BodyText"/>
      </w:pPr>
      <w:r>
        <w:t xml:space="preserve">Öffentliche Informationen, die zur Motivation des Rahmens verwendet wurden, umfassen FDA-Beschreibungen von Phase-III-Studien, die üblicherweise etwa 300 bis 3.000 Teilnehmer umfassen und einen Großteil der für die Prüfung verwendeten Sicherheitsevidenz liefern; veröffentlichte Forschung, die berichtet, dass Rekrutierungsverzögerungen weit verbreitet sind, dass abgeschlossene Studien in einer großen Analyse eine mediane Verzögerung von 12,2 Monaten aufwiesen und dass 21,5 Prozent der Studien in dieser Stichprobe abgebrochen wurden; eine Analyse aus dem Jahr 2025, die eine durchschnittliche Wahrscheinlichkeit einer Erstzulassung von 14,3 Prozent unter großen forschungsbasierten Pharmaunternehmen schätzt; sowie Branchenschätzungen, dass die Entwicklung eines neuen Medikaments üblicherweise 10 bis 15 Jahre dauert und etwa $2,6 Milliarden kostet, wenn erfolglose Programme eingerechnet werden. Schätzungen unterscheiden sich je nach Therapiegebiet, Studiendesign, Sponsor und Methodik. Alle Daten, Personen, Verbindungen, Ergebnisse, Budgets und Ereignisse von Crestline sind fiktiv.</w:t>
      </w:r>
    </w:p>
    <w:bookmarkEnd w:id="28"/>
    <w:bookmarkStart w:id="31" w:name="chatgpt-notizen"/>
    <w:p>
      <w:pPr>
        <w:pStyle w:val="Heading1"/>
      </w:pPr>
      <w:r>
        <w:t xml:space="preserve">ChatGPT-Notizen</w:t>
      </w:r>
    </w:p>
    <w:bookmarkStart w:id="29" w:name="prompt"/>
    <w:p>
      <w:pPr>
        <w:pStyle w:val="Heading2"/>
      </w:pPr>
      <w:r>
        <w:t xml:space="preserve">Prompt</w:t>
      </w:r>
    </w:p>
    <w:p>
      <w:pPr>
        <w:pStyle w:val="FirstParagraph"/>
      </w:pPr>
      <w:r>
        <w:t xml:space="preserve">Schreiben Sie eine 4-6-seitige Fallstudie basierend auf dem Material im Abschnitt unter https://warrenpowell.org/bridging-vol1/chapter-2/#clinicaltrials. Erstellen Sie einen Kontext auf Grundlage der Kennzahlen, Entscheidungen und Unsicherheiten im Abschnitt, jedoch ohne explizit darauf hinzuweisen. Motivieren Sie Ihr Fallproblem mit Daten.</w:t>
      </w:r>
    </w:p>
    <w:bookmarkEnd w:id="29"/>
    <w:bookmarkStart w:id="30" w:name="zusammenfassung"/>
    <w:p>
      <w:pPr>
        <w:pStyle w:val="Heading2"/>
      </w:pPr>
      <w:r>
        <w:t xml:space="preserve">Zusammenfassung</w:t>
      </w:r>
    </w:p>
    <w:p>
      <w:pPr>
        <w:pStyle w:val="FirstParagraph"/>
      </w:pPr>
      <w:r>
        <w:t xml:space="preserve">Der Fall folgt einem Biotechnologieunternehmen, das entscheiden muss, ob eine Phase-II-Studie erweitert, neu gestaltet, pausiert, vorangetrieben oder beendet werden soll, nachdem vielversprechende, aber uneindeutige Ergebnisse eingegangen sind. Er umfasst:</w:t>
      </w:r>
    </w:p>
    <w:p>
      <w:pPr>
        <w:numPr>
          <w:ilvl w:val="0"/>
          <w:numId w:val="1005"/>
        </w:numPr>
      </w:pPr>
      <w:r>
        <w:t xml:space="preserve">Patientenrekrutierung und Auswahl der Studienstandorte</w:t>
      </w:r>
    </w:p>
    <w:p>
      <w:pPr>
        <w:numPr>
          <w:ilvl w:val="0"/>
          <w:numId w:val="1005"/>
        </w:numPr>
      </w:pPr>
      <w:r>
        <w:t xml:space="preserve">Behandlungswirksamkeit und Ansprechen von Untergruppen</w:t>
      </w:r>
    </w:p>
    <w:p>
      <w:pPr>
        <w:numPr>
          <w:ilvl w:val="0"/>
          <w:numId w:val="1005"/>
        </w:numPr>
      </w:pPr>
      <w:r>
        <w:t xml:space="preserve">Sicherheitssignale und Dosisauswahl</w:t>
      </w:r>
    </w:p>
    <w:p>
      <w:pPr>
        <w:numPr>
          <w:ilvl w:val="0"/>
          <w:numId w:val="1005"/>
        </w:numPr>
      </w:pPr>
      <w:r>
        <w:t xml:space="preserve">Regulatorische Anforderungen</w:t>
      </w:r>
    </w:p>
    <w:p>
      <w:pPr>
        <w:numPr>
          <w:ilvl w:val="0"/>
          <w:numId w:val="1005"/>
        </w:numPr>
      </w:pPr>
      <w:r>
        <w:t xml:space="preserve">Herstellungskapazität und Kühlungsanforderungen</w:t>
      </w:r>
    </w:p>
    <w:p>
      <w:pPr>
        <w:numPr>
          <w:ilvl w:val="0"/>
          <w:numId w:val="1005"/>
        </w:numPr>
      </w:pPr>
      <w:r>
        <w:t xml:space="preserve">Druck durch Patentlaufzeit</w:t>
      </w:r>
    </w:p>
    <w:p>
      <w:pPr>
        <w:numPr>
          <w:ilvl w:val="0"/>
          <w:numId w:val="1005"/>
        </w:numPr>
      </w:pPr>
      <w:r>
        <w:t xml:space="preserve">Wettbewerberaktivität</w:t>
      </w:r>
    </w:p>
    <w:p>
      <w:pPr>
        <w:numPr>
          <w:ilvl w:val="0"/>
          <w:numId w:val="1005"/>
        </w:numPr>
      </w:pPr>
      <w:r>
        <w:t xml:space="preserve">Ärztliche Akzeptanz, Preisgestaltung und kommerzielles Potenzial</w:t>
      </w:r>
    </w:p>
    <w:p>
      <w:pPr>
        <w:numPr>
          <w:ilvl w:val="0"/>
          <w:numId w:val="1005"/>
        </w:numPr>
      </w:pPr>
      <w:r>
        <w:t xml:space="preserve">Kapitalbeschränkungen und Partnerschaftsalternativen</w:t>
      </w:r>
    </w:p>
    <w:p>
      <w:pPr>
        <w:numPr>
          <w:ilvl w:val="0"/>
          <w:numId w:val="1005"/>
        </w:numPr>
      </w:pPr>
      <w:r>
        <w:t xml:space="preserve">Fünf quantitative Exhibits und zehn Diskussionsfragen</w:t>
      </w:r>
    </w:p>
    <w:p>
      <w:pPr>
        <w:pStyle w:val="FirstParagraph"/>
      </w:pPr>
      <w:r>
        <w:t xml:space="preserve">Der Rahmen wird motiviert durch FDA-Leitlinien, wonach Phase-III-Studien häufig etwa 300-3.000 Teilnehmer umfassen, veröffentlichte Evidenz, dass abgeschlossene Studien mediane Verzögerungen von etwa 12 Monaten erfahren können, und Forschung, die schätzt, dass nur eine Minderheit der in klinische Studien am Menschen eintretenden Wirkstoffe letztlich eine Zulassung erhält.</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3" Target="https://warrenpowell.org/decision-framing-tool/#decision-prioritization-tool" TargetMode="External" /><Relationship Type="http://schemas.openxmlformats.org/officeDocument/2006/relationships/hyperlink" Id="rId22" Target="https://warrenpowell.org/decision-framing-tool/#metrics-pyramid-tool" TargetMode="External" /><Relationship Type="http://schemas.openxmlformats.org/officeDocument/2006/relationships/hyperlink" Id="rId25" Target="https://warrenpowell.org/decision-framing-tool/#uncertainty-prioritization-tool" TargetMode="External" /><Relationship Type="http://schemas.openxmlformats.org/officeDocument/2006/relationships/hyperlink" Id="rId24" Target="https://warrenpowell.org/decisionsdecisions/#types-of-decision-settings" TargetMode="External" /><Relationship Type="http://schemas.openxmlformats.org/officeDocument/2006/relationships/hyperlink" Id="rId26" Target="https://warrenpowell.org/modeling-uncertainty/#categories" TargetMode="External" /></Relationships>
</file>

<file path=word/_rels/footnotes.xml.rels><?xml version="1.0" encoding="UTF-8"?><Relationships xmlns="http://schemas.openxmlformats.org/package/2006/relationships"><Relationship Type="http://schemas.openxmlformats.org/officeDocument/2006/relationships/hyperlink" Id="rId23" Target="https://warrenpowell.org/decision-framing-tool/#decision-prioritization-tool" TargetMode="External" /><Relationship Type="http://schemas.openxmlformats.org/officeDocument/2006/relationships/hyperlink" Id="rId22" Target="https://warrenpowell.org/decision-framing-tool/#metrics-pyramid-tool" TargetMode="External" /><Relationship Type="http://schemas.openxmlformats.org/officeDocument/2006/relationships/hyperlink" Id="rId25" Target="https://warrenpowell.org/decision-framing-tool/#uncertainty-prioritization-tool" TargetMode="External" /><Relationship Type="http://schemas.openxmlformats.org/officeDocument/2006/relationships/hyperlink" Id="rId24" Target="https://warrenpowell.org/decisionsdecisions/#types-of-decision-settings" TargetMode="External" /><Relationship Type="http://schemas.openxmlformats.org/officeDocument/2006/relationships/hyperlink" Id="rId26" Target="https://warrenpowell.org/modeling-uncertainty/#categor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2026-09-11T16:09:05Z</dcterms:created>
  <dcterms:modified xsi:type="dcterms:W3CDTF">2026-09-11T16:09:05Z</dcterms:modified>
</cp:coreProperties>
</file>

<file path=docProps/custom.xml><?xml version="1.0" encoding="utf-8"?>
<Properties xmlns="http://schemas.openxmlformats.org/officeDocument/2006/custom-properties" xmlns:vt="http://schemas.openxmlformats.org/officeDocument/2006/docPropsVTypes"/>
</file>