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Dispatch Dynamics:</w:t>
      </w:r>
    </w:p>
    <w:p>
      <w:pPr>
        <w:pStyle w:val="BodyText"/>
      </w:pPr>
      <w:r>
        <w:t xml:space="preserve">Die Empfehlungslücke</w:t>
      </w:r>
    </w:p>
    <w:p>
      <w:pPr>
        <w:pStyle w:val="BodyText"/>
      </w:pPr>
      <w:r>
        <w:t xml:space="preserve">Ein Unternehmen für Entscheidungsautomatisierung stellt sich der letzten Meile der Umsetzung</w:t>
      </w:r>
    </w:p>
    <w:p>
      <w:pPr>
        <w:pStyle w:val="BodyText"/>
      </w:pPr>
      <w:r>
        <w:rPr>
          <w:b/>
          <w:bCs/>
        </w:rPr>
        <w:t xml:space="preserve">Die Montagsbesprechung</w:t>
      </w:r>
    </w:p>
    <w:p>
      <w:pPr>
        <w:pStyle w:val="BodyText"/>
      </w:pPr>
      <w:r>
        <w:t xml:space="preserve">Um 7:15 Uhr an einem Montagmorgen studierte Maya Chen, Chief Customer Officer von Dispatch Dynamics, ein Dashboard, das der Verkaufsgeschichte des Unternehmens zu widersprechen schien. Das Softwareunternehmen hatte zwölf Implementierungen seiner Plattform für die Disposition von Komplettladungen (Truckload) abgeschlossen. Mehrere Kunden meldeten spürbare Gewinne bei Umsatz pro Sattelzugmaschine, beladenen Meilen, Planungsproduktivität und Netzwerkkonsistenz. Doch über das gesamte Portfolio hinweg wurden nur 43 Prozent der berechtigten Fahrerempfehlungen ohne wesentliche Änderung befolgt.</w:t>
      </w:r>
    </w:p>
    <w:p>
      <w:pPr>
        <w:pStyle w:val="BodyText"/>
      </w:pPr>
      <w:r>
        <w:t xml:space="preserve">Die Zahl war beunruhigend, weil das System nicht nur Prognosen anzeigte. Alle paar Minuten bewertete es verfügbare Fahrer, gebuchte Ladungen, antizipierte Fracht, Fahrerpläne, Anforderungen an die Heimatzeit, Ausrüstungsbeschränkungen und Netzwerkunsicherheit. Anschließend empfahl es, was jeder Fahrer als Nächstes tun sollte. Das Produktteam war überzeugt, dass eine breitere Nutzung dieser Empfehlungen unerlässlich sei: lokale Entscheidungen, die isoliert betrachtet sinnvoll erschienen, könnten zukünftige Optionen an anderer Stelle im Netzwerk verringern.</w:t>
      </w:r>
    </w:p>
    <w:p>
      <w:pPr>
        <w:pStyle w:val="BodyText"/>
      </w:pPr>
      <w:r>
        <w:t xml:space="preserve">Doch die Adoptionsmetrik verbarg ebenso viel, wie sie offenbarte. Ein Kunde befolgte 82 Prozent der Empfehlungen und hatte den Umsatz pro Sattelzugmaschine verbessert. Ein anderer befolgte nur 31 Prozent, bestand aber darauf, dass die Disponenten Servicezusagen schützten, die die Software nicht verstand. Ein dritter schien eine hohe Adoptionsrate zu haben, doch eine Prüfung ergab, dass Planer Fahrer- und Ladungsdaten änderten, bevor Empfehlungen generiert wurden – wodurch sie die Antwort effektiv steuerten, während der Anschein der Konformität gewahrt blieb.</w:t>
      </w:r>
    </w:p>
    <w:p>
      <w:pPr>
        <w:pStyle w:val="BodyText"/>
      </w:pPr>
      <w:r>
        <w:t xml:space="preserve">Chen war gebeten worden, bei der vierteljährlichen Betriebssitzung in drei Wochen eine unternehmensweite Reaktion vorzuschlagen. Dispatch Dynamics könnte in bessere Produkterklärungen, intensivere Implementierungsunterstützung, formale Forschung zum Nutzerverhalten, verbesserte Datendiagnostik oder eine Neugestaltung des Dispositions-Workflows investieren. Es könnte auch zu dem Schluss kommen, dass geringe Befolgung manchmal rational war und das Produkt mehr aus Übersteuerungen (Overrides) lernen musste. Die Evidenz wies nicht eindeutig in eine Richtung.</w:t>
      </w:r>
    </w:p>
    <w:bookmarkStart w:id="9" w:name="das-produkt-und-sein-versprechen"/>
    <w:p>
      <w:pPr>
        <w:pStyle w:val="Heading1"/>
      </w:pPr>
      <w:r>
        <w:t xml:space="preserve">Das Produkt und sein Versprechen</w:t>
      </w:r>
    </w:p>
    <w:p>
      <w:pPr>
        <w:pStyle w:val="FirstParagraph"/>
      </w:pPr>
      <w:r>
        <w:t xml:space="preserve">Dispatch Dynamics verkaufte Software zur Entscheidungsautomatisierung an mittelgroße und große Truckload-Spediteure. Die Plattform erzeugte Empfehlungen zur Ladungsannahme und Fahrerdisposition unter Berücksichtigung nachgelagerter Konsequenzen. Ihre zentrale Behauptung war, dass ein Planer eine Fahrer-Ladung-Paarung nicht nur anhand des unmittelbaren Umsatzes oder der Leerkilometer bewerten sollte. Die Paarung veränderte auch, wo der Fahrer positioniert sein würde, welche zukünftigen Ladungen machbar blieben, ob Heimatzeit-Zusagen eingehalten werden konnten und wie knappe Kapazität über das Netzwerk verteilt würde.</w:t>
      </w:r>
    </w:p>
    <w:p>
      <w:pPr>
        <w:pStyle w:val="BodyText"/>
      </w:pPr>
      <w:r>
        <w:t xml:space="preserve">Erfolgreiche Implementierungen hatten die Rolle der Disponenten verändert. Statt manuell jede machbare Zuweisung zu durchsuchen, überwachten Nutzer Empfehlungen, behandelten Ausnahmen, kommunizierten mit Fahrern und Kunden und korrigierten fehlende Informationen. An den stärksten Kundenstandorten beschrieb das Management den Übergang als Veränderung des Betriebsmodells und nicht als Softwareinstallation. An schwächeren Standorten war das neue System neben bestehenden Tabellenkalkulationen, Nachrichtenverläufen und informellen Regeln eingesetzt worden.</w:t>
      </w:r>
    </w:p>
    <w:p>
      <w:pPr>
        <w:pStyle w:val="BodyText"/>
      </w:pPr>
      <w:r>
        <w:t xml:space="preserve">Abbildung 1. Ausgewählte Implementierungsergebnisse nach sechs Monaten</w:t>
      </w:r>
    </w:p>
    <w:tbl>
      <w:tblPr>
        <w:tblStyle w:val="Table"/>
        <w:tblW w:type="pct" w:w="4921"/>
        <w:tblLayout w:type="fixed"/>
        <w:tblLook w:firstRow="1" w:lastRow="0" w:firstColumn="0" w:lastColumn="0" w:noHBand="0" w:noVBand="0" w:val="0020"/>
      </w:tblPr>
      <w:tblGrid>
        <w:gridCol w:w="1320"/>
        <w:gridCol w:w="502"/>
        <w:gridCol w:w="1697"/>
        <w:gridCol w:w="1571"/>
        <w:gridCol w:w="1257"/>
        <w:gridCol w:w="1445"/>
      </w:tblGrid>
      <w:tr>
        <w:trPr>
          <w:tblHeader w:val="on"/>
        </w:trPr>
        <w:tc>
          <w:tcPr/>
          <w:p>
            <w:pPr>
              <w:pStyle w:val="Compact"/>
              <w:jc w:val="left"/>
            </w:pPr>
            <w:r>
              <w:t xml:space="preserve">Kunde</w:t>
            </w:r>
          </w:p>
        </w:tc>
        <w:tc>
          <w:tcPr/>
          <w:p>
            <w:pPr>
              <w:pStyle w:val="Compact"/>
              <w:jc w:val="right"/>
            </w:pPr>
            <w:r>
              <w:t xml:space="preserve">Flotte</w:t>
            </w:r>
          </w:p>
        </w:tc>
        <w:tc>
          <w:tcPr/>
          <w:p>
            <w:pPr>
              <w:pStyle w:val="Compact"/>
              <w:jc w:val="center"/>
            </w:pPr>
            <w:r>
              <w:t xml:space="preserve">Empfehlungsbefolgung</w:t>
            </w:r>
          </w:p>
        </w:tc>
        <w:tc>
          <w:tcPr/>
          <w:p>
            <w:pPr>
              <w:pStyle w:val="Compact"/>
              <w:jc w:val="right"/>
            </w:pPr>
            <w:r>
              <w:t xml:space="preserve">Veränderung Umsatz/Zugm</w:t>
            </w:r>
          </w:p>
        </w:tc>
        <w:tc>
          <w:tcPr/>
          <w:p>
            <w:pPr>
              <w:pStyle w:val="Compact"/>
            </w:pPr>
            <w:r>
              <w:t xml:space="preserve">aschine Veränderun</w:t>
            </w:r>
          </w:p>
        </w:tc>
        <w:tc>
          <w:tcPr/>
          <w:p>
            <w:pPr>
              <w:pStyle w:val="Compact"/>
            </w:pPr>
            <w:r>
              <w:t xml:space="preserve">g Leerkilometer Planerproduktivität</w:t>
            </w:r>
          </w:p>
        </w:tc>
      </w:tr>
      <w:tr>
        <w:tc>
          <w:tcPr/>
          <w:p>
            <w:pPr>
              <w:pStyle w:val="Compact"/>
              <w:jc w:val="left"/>
            </w:pPr>
            <w:r>
              <w:t xml:space="preserve">Northstar Freight</w:t>
            </w:r>
          </w:p>
        </w:tc>
        <w:tc>
          <w:tcPr/>
          <w:p>
            <w:pPr>
              <w:pStyle w:val="Compact"/>
              <w:jc w:val="right"/>
            </w:pPr>
            <w:r>
              <w:t xml:space="preserve">420</w:t>
            </w:r>
          </w:p>
        </w:tc>
        <w:tc>
          <w:tcPr/>
          <w:p>
            <w:pPr>
              <w:pStyle w:val="Compact"/>
              <w:jc w:val="center"/>
            </w:pPr>
            <w:r>
              <w:t xml:space="preserve">82%</w:t>
            </w:r>
          </w:p>
        </w:tc>
        <w:tc>
          <w:tcPr/>
          <w:p>
            <w:pPr>
              <w:pStyle w:val="Compact"/>
              <w:jc w:val="right"/>
            </w:pPr>
            <w:r>
              <w:t xml:space="preserve">+8,1%</w:t>
            </w:r>
          </w:p>
        </w:tc>
        <w:tc>
          <w:tcPr/>
          <w:p>
            <w:pPr>
              <w:pStyle w:val="Compact"/>
            </w:pPr>
            <w:r>
              <w:t xml:space="preserve">-7,4%</w:t>
            </w:r>
          </w:p>
        </w:tc>
        <w:tc>
          <w:tcPr/>
          <w:p>
            <w:pPr>
              <w:pStyle w:val="Compact"/>
            </w:pPr>
            <w:r>
              <w:t xml:space="preserve">+32%</w:t>
            </w:r>
          </w:p>
        </w:tc>
      </w:tr>
      <w:tr>
        <w:tc>
          <w:tcPr/>
          <w:p>
            <w:pPr>
              <w:pStyle w:val="Compact"/>
              <w:jc w:val="left"/>
            </w:pPr>
            <w:r>
              <w:t xml:space="preserve">Redwood Carriers</w:t>
            </w:r>
          </w:p>
        </w:tc>
        <w:tc>
          <w:tcPr/>
          <w:p>
            <w:pPr>
              <w:pStyle w:val="Compact"/>
              <w:jc w:val="right"/>
            </w:pPr>
            <w:r>
              <w:t xml:space="preserve">690</w:t>
            </w:r>
          </w:p>
        </w:tc>
        <w:tc>
          <w:tcPr/>
          <w:p>
            <w:pPr>
              <w:pStyle w:val="Compact"/>
              <w:jc w:val="center"/>
            </w:pPr>
            <w:r>
              <w:t xml:space="preserve">61%</w:t>
            </w:r>
          </w:p>
        </w:tc>
        <w:tc>
          <w:tcPr/>
          <w:p>
            <w:pPr>
              <w:pStyle w:val="Compact"/>
              <w:jc w:val="right"/>
            </w:pPr>
            <w:r>
              <w:t xml:space="preserve">+3,6%</w:t>
            </w:r>
          </w:p>
        </w:tc>
        <w:tc>
          <w:tcPr/>
          <w:p>
            <w:pPr>
              <w:pStyle w:val="Compact"/>
            </w:pPr>
            <w:r>
              <w:t xml:space="preserve">-2,1%</w:t>
            </w:r>
          </w:p>
        </w:tc>
        <w:tc>
          <w:tcPr/>
          <w:p>
            <w:pPr>
              <w:pStyle w:val="Compact"/>
            </w:pPr>
            <w:r>
              <w:t xml:space="preserve">+18%</w:t>
            </w:r>
          </w:p>
        </w:tc>
      </w:tr>
      <w:tr>
        <w:tc>
          <w:tcPr/>
          <w:p>
            <w:pPr>
              <w:pStyle w:val="Compact"/>
              <w:jc w:val="left"/>
            </w:pPr>
            <w:r>
              <w:t xml:space="preserve">Crescent Transport</w:t>
            </w:r>
          </w:p>
        </w:tc>
        <w:tc>
          <w:tcPr/>
          <w:p>
            <w:pPr>
              <w:pStyle w:val="Compact"/>
              <w:jc w:val="right"/>
            </w:pPr>
            <w:r>
              <w:t xml:space="preserve">310</w:t>
            </w:r>
          </w:p>
        </w:tc>
        <w:tc>
          <w:tcPr/>
          <w:p>
            <w:pPr>
              <w:pStyle w:val="Compact"/>
              <w:jc w:val="center"/>
            </w:pPr>
            <w:r>
              <w:t xml:space="preserve">47%</w:t>
            </w:r>
          </w:p>
        </w:tc>
        <w:tc>
          <w:tcPr/>
          <w:p>
            <w:pPr>
              <w:pStyle w:val="Compact"/>
              <w:jc w:val="right"/>
            </w:pPr>
            <w:r>
              <w:t xml:space="preserve">+1,2%</w:t>
            </w:r>
          </w:p>
        </w:tc>
        <w:tc>
          <w:tcPr/>
          <w:p>
            <w:pPr>
              <w:pStyle w:val="Compact"/>
            </w:pPr>
            <w:r>
              <w:t xml:space="preserve">+0,8%</w:t>
            </w:r>
          </w:p>
        </w:tc>
        <w:tc>
          <w:tcPr/>
          <w:p>
            <w:pPr>
              <w:pStyle w:val="Compact"/>
            </w:pPr>
            <w:r>
              <w:t xml:space="preserve">+11%</w:t>
            </w:r>
          </w:p>
        </w:tc>
      </w:tr>
      <w:tr>
        <w:tc>
          <w:tcPr/>
          <w:p>
            <w:pPr>
              <w:pStyle w:val="Compact"/>
              <w:jc w:val="left"/>
            </w:pPr>
            <w:r>
              <w:t xml:space="preserve">Pioneer Logistics</w:t>
            </w:r>
          </w:p>
        </w:tc>
        <w:tc>
          <w:tcPr/>
          <w:p>
            <w:pPr>
              <w:pStyle w:val="Compact"/>
              <w:jc w:val="right"/>
            </w:pPr>
            <w:r>
              <w:t xml:space="preserve">540</w:t>
            </w:r>
          </w:p>
        </w:tc>
        <w:tc>
          <w:tcPr/>
          <w:p>
            <w:pPr>
              <w:pStyle w:val="Compact"/>
              <w:jc w:val="center"/>
            </w:pPr>
            <w:r>
              <w:t xml:space="preserve">31%</w:t>
            </w:r>
          </w:p>
        </w:tc>
        <w:tc>
          <w:tcPr/>
          <w:p>
            <w:pPr>
              <w:pStyle w:val="Compact"/>
              <w:jc w:val="right"/>
            </w:pPr>
            <w:r>
              <w:t xml:space="preserve">-0,4%</w:t>
            </w:r>
          </w:p>
        </w:tc>
        <w:tc>
          <w:tcPr/>
          <w:p>
            <w:pPr>
              <w:pStyle w:val="Compact"/>
            </w:pPr>
            <w:r>
              <w:t xml:space="preserve">-1,7%</w:t>
            </w:r>
          </w:p>
        </w:tc>
        <w:tc>
          <w:tcPr/>
          <w:p>
            <w:pPr>
              <w:pStyle w:val="Compact"/>
            </w:pPr>
            <w:r>
              <w:t xml:space="preserve">+6%</w:t>
            </w:r>
          </w:p>
        </w:tc>
      </w:tr>
      <w:tr>
        <w:tc>
          <w:tcPr/>
          <w:p>
            <w:pPr>
              <w:pStyle w:val="Compact"/>
              <w:jc w:val="left"/>
            </w:pPr>
            <w:r>
              <w:t xml:space="preserve">Summit Haulage</w:t>
            </w:r>
          </w:p>
        </w:tc>
        <w:tc>
          <w:tcPr/>
          <w:p>
            <w:pPr>
              <w:pStyle w:val="Compact"/>
              <w:jc w:val="right"/>
            </w:pPr>
            <w:r>
              <w:t xml:space="preserve">225</w:t>
            </w:r>
          </w:p>
        </w:tc>
        <w:tc>
          <w:tcPr/>
          <w:p>
            <w:pPr>
              <w:pStyle w:val="Compact"/>
              <w:jc w:val="center"/>
            </w:pPr>
            <w:r>
              <w:t xml:space="preserve">68%</w:t>
            </w:r>
          </w:p>
        </w:tc>
        <w:tc>
          <w:tcPr/>
          <w:p>
            <w:pPr>
              <w:pStyle w:val="Compact"/>
              <w:jc w:val="right"/>
            </w:pPr>
            <w:r>
              <w:t xml:space="preserve">+5,0%</w:t>
            </w:r>
          </w:p>
        </w:tc>
        <w:tc>
          <w:tcPr/>
          <w:p>
            <w:pPr>
              <w:pStyle w:val="Compact"/>
            </w:pPr>
            <w:r>
              <w:t xml:space="preserve">-5,9%</w:t>
            </w:r>
          </w:p>
        </w:tc>
        <w:tc>
          <w:tcPr/>
          <w:p>
            <w:pPr>
              <w:pStyle w:val="Compact"/>
            </w:pPr>
            <w:r>
              <w:t xml:space="preserve">+24%</w:t>
            </w:r>
          </w:p>
        </w:tc>
      </w:tr>
      <w:tr>
        <w:tc>
          <w:tcPr/>
          <w:p>
            <w:pPr>
              <w:pStyle w:val="Compact"/>
              <w:jc w:val="left"/>
            </w:pPr>
            <w:r>
              <w:t xml:space="preserve">Portfolio-Median</w:t>
            </w:r>
          </w:p>
        </w:tc>
        <w:tc>
          <w:tcPr/>
          <w:p>
            <w:pPr>
              <w:pStyle w:val="Compact"/>
              <w:jc w:val="right"/>
            </w:pPr>
            <w:r>
              <w:t xml:space="preserve">—</w:t>
            </w:r>
          </w:p>
        </w:tc>
        <w:tc>
          <w:tcPr/>
          <w:p>
            <w:pPr>
              <w:pStyle w:val="Compact"/>
              <w:jc w:val="center"/>
            </w:pPr>
            <w:r>
              <w:t xml:space="preserve">52%</w:t>
            </w:r>
          </w:p>
        </w:tc>
        <w:tc>
          <w:tcPr/>
          <w:p>
            <w:pPr>
              <w:pStyle w:val="Compact"/>
              <w:jc w:val="right"/>
            </w:pPr>
            <w:r>
              <w:t xml:space="preserve">+2,9%</w:t>
            </w:r>
          </w:p>
        </w:tc>
        <w:tc>
          <w:tcPr/>
          <w:p>
            <w:pPr>
              <w:pStyle w:val="Compact"/>
            </w:pPr>
            <w:r>
              <w:t xml:space="preserve">-1,9%</w:t>
            </w:r>
          </w:p>
        </w:tc>
        <w:tc>
          <w:tcPr/>
          <w:p>
            <w:pPr>
              <w:pStyle w:val="Compact"/>
            </w:pPr>
            <w:r>
              <w:t xml:space="preserve">+17%</w:t>
            </w:r>
          </w:p>
        </w:tc>
      </w:tr>
    </w:tbl>
    <w:p>
      <w:pPr>
        <w:pStyle w:val="BodyText"/>
      </w:pPr>
      <w:r>
        <w:t xml:space="preserve">Hinweis: Alle Unternehmen und Zahlen sind fiktiv. „Befolgung” bedeutet, dass die empfohlene Fahrer-Ladung-Aktion ohne wesentliche Änderung innerhalb des Entscheidungsfensters ausgeführt wurde. Leistungsveränderungen werden gegen die jeweilige Ausgangsbasis des Kunden vor der Implementierung gemessen und sind keine kontrollierten Experimente.</w:t>
      </w:r>
    </w:p>
    <w:bookmarkEnd w:id="9"/>
    <w:bookmarkStart w:id="10" w:name="was-war-eine-übersteuerung"/>
    <w:p>
      <w:pPr>
        <w:pStyle w:val="Heading1"/>
      </w:pPr>
      <w:r>
        <w:t xml:space="preserve">Was war eine Übersteuerung?</w:t>
      </w:r>
    </w:p>
    <w:p>
      <w:pPr>
        <w:pStyle w:val="FirstParagraph"/>
      </w:pPr>
      <w:r>
        <w:t xml:space="preserve">Das Kundenerfolgsteam hatte zunächst jede Übersteuerung als Beweis dafür behandelt, dass der Nutzer die Empfehlung abgelehnt hatte. Die Disponenten widersprachen. Sie argumentierten, dass die Bezeichnung mindestens vier verschiedene Situationen zusammenfasse: Die Empfehlung war undurchführbar, weil die Daten falsch waren; die Empfehlung war durchführbar, spiegelte aber eine Kunden- oder Fahrerzusage nicht wider; der Nutzer bevorzugte aufgrund von Erfahrung eine andere Aktion; oder ein betriebliches Ereignis änderte sich vor der Ausführung.</w:t>
      </w:r>
    </w:p>
    <w:p>
      <w:pPr>
        <w:pStyle w:val="BodyText"/>
      </w:pPr>
      <w:r>
        <w:t xml:space="preserve">Die Plattform erfasste, ob eine Empfehlung befolgt wurde, aber nicht durchgängig, warum sie geändert wurde. Freitextnotizen waren optional, und die Terminologie variierte je nach Kunde. In einer zweiwöchigen Prüfung rekonstruierten Analysten 1.284 Übersteuerungen durch Interviews mit Planern und die Durchsicht von Nachrichten, Telematikdaten und Auftragshistorien. Die Ergebnisse schwächten die einfache Interpretation ab, dass Nutzer schlicht kein Vertrauen hatten.</w:t>
      </w:r>
    </w:p>
    <w:p>
      <w:pPr>
        <w:pStyle w:val="BodyText"/>
      </w:pPr>
      <w:r>
        <w:t xml:space="preserve">Abbildung 2. Rekonstruierte Gründe für 1.284 Empfehlungsübersteuerungen</w:t>
      </w:r>
    </w:p>
    <w:tbl>
      <w:tblPr>
        <w:tblStyle w:val="Table"/>
        <w:tblW w:type="pct" w:w="4930"/>
        <w:tblLayout w:type="fixed"/>
        <w:tblLook w:firstRow="1" w:lastRow="0" w:firstColumn="0" w:lastColumn="0" w:noHBand="0" w:noVBand="0" w:val="0020"/>
      </w:tblPr>
      <w:tblGrid>
        <w:gridCol w:w="2603"/>
        <w:gridCol w:w="1329"/>
        <w:gridCol w:w="3876"/>
      </w:tblGrid>
      <w:tr>
        <w:trPr>
          <w:tblHeader w:val="on"/>
        </w:trPr>
        <w:tc>
          <w:tcPr/>
          <w:p>
            <w:pPr>
              <w:pStyle w:val="Compact"/>
              <w:jc w:val="left"/>
            </w:pPr>
            <w:r>
              <w:t xml:space="preserve">Nach Überprüfung zugewiesener Grund</w:t>
            </w:r>
          </w:p>
        </w:tc>
        <w:tc>
          <w:tcPr/>
          <w:p>
            <w:pPr>
              <w:pStyle w:val="Compact"/>
              <w:jc w:val="center"/>
            </w:pPr>
            <w:r>
              <w:t xml:space="preserve">Anteil</w:t>
            </w:r>
          </w:p>
        </w:tc>
        <w:tc>
          <w:tcPr/>
          <w:p>
            <w:pPr>
              <w:pStyle w:val="Compact"/>
              <w:jc w:val="center"/>
            </w:pPr>
            <w:r>
              <w:t xml:space="preserve">Illustratives Problem</w:t>
            </w:r>
          </w:p>
        </w:tc>
      </w:tr>
      <w:tr>
        <w:tc>
          <w:tcPr/>
          <w:p>
            <w:pPr>
              <w:pStyle w:val="Compact"/>
              <w:jc w:val="left"/>
            </w:pPr>
            <w:r>
              <w:t xml:space="preserve">Fehlende oder veraltete Betriebsdaten</w:t>
            </w:r>
          </w:p>
        </w:tc>
        <w:tc>
          <w:tcPr/>
          <w:p>
            <w:pPr>
              <w:pStyle w:val="Compact"/>
              <w:jc w:val="center"/>
            </w:pPr>
            <w:r>
              <w:t xml:space="preserve">24%</w:t>
            </w:r>
          </w:p>
        </w:tc>
        <w:tc>
          <w:tcPr/>
          <w:p>
            <w:pPr>
              <w:pStyle w:val="Compact"/>
              <w:jc w:val="center"/>
            </w:pPr>
            <w:r>
              <w:t xml:space="preserve">Fahrerstandort, Arbeitsstunden, Ausrüstung, Termin oder Ladungsstatus</w:t>
            </w:r>
          </w:p>
        </w:tc>
      </w:tr>
      <w:tr>
        <w:tc>
          <w:tcPr/>
          <w:p>
            <w:pPr>
              <w:pStyle w:val="Compact"/>
              <w:jc w:val="left"/>
            </w:pPr>
            <w:r>
              <w:t xml:space="preserve">Nicht modellierte Zusage oder Präferenz</w:t>
            </w:r>
          </w:p>
        </w:tc>
        <w:tc>
          <w:tcPr/>
          <w:p>
            <w:pPr>
              <w:pStyle w:val="Compact"/>
              <w:jc w:val="center"/>
            </w:pPr>
            <w:r>
              <w:t xml:space="preserve">21%</w:t>
            </w:r>
          </w:p>
        </w:tc>
        <w:tc>
          <w:tcPr/>
          <w:p>
            <w:pPr>
              <w:pStyle w:val="Compact"/>
              <w:jc w:val="center"/>
            </w:pPr>
            <w:r>
              <w:t xml:space="preserve">Heimatzeit, Kundenzusage, Fahrerbeziehung, Werkstattbesuch</w:t>
            </w:r>
          </w:p>
        </w:tc>
      </w:tr>
      <w:tr>
        <w:tc>
          <w:tcPr/>
          <w:p>
            <w:pPr>
              <w:pStyle w:val="Compact"/>
              <w:jc w:val="left"/>
            </w:pPr>
            <w:r>
              <w:t xml:space="preserve">Empfehlung nicht mehr aktuell 16</w:t>
            </w:r>
          </w:p>
        </w:tc>
        <w:tc>
          <w:tcPr/>
          <w:p>
            <w:pPr>
              <w:pStyle w:val="Compact"/>
              <w:jc w:val="center"/>
            </w:pPr>
            <w:r>
              <w:t xml:space="preserve">% Ve</w:t>
            </w:r>
          </w:p>
        </w:tc>
        <w:tc>
          <w:tcPr/>
          <w:p>
            <w:pPr>
              <w:pStyle w:val="Compact"/>
              <w:jc w:val="center"/>
            </w:pPr>
            <w:r>
              <w:t xml:space="preserve">rspätete Abholung, Stornierung, Panne, Wetter oder neue Prioritätsladung</w:t>
            </w:r>
          </w:p>
        </w:tc>
      </w:tr>
      <w:tr>
        <w:tc>
          <w:tcPr/>
          <w:p>
            <w:pPr>
              <w:pStyle w:val="Compact"/>
              <w:jc w:val="left"/>
            </w:pPr>
            <w:r>
              <w:t xml:space="preserve">Disponent erwartete besseres Netzwerkergebnis</w:t>
            </w:r>
          </w:p>
        </w:tc>
        <w:tc>
          <w:tcPr/>
          <w:p>
            <w:pPr>
              <w:pStyle w:val="Compact"/>
              <w:jc w:val="center"/>
            </w:pPr>
            <w:r>
              <w:t xml:space="preserve">15%</w:t>
            </w:r>
          </w:p>
        </w:tc>
        <w:tc>
          <w:tcPr/>
          <w:p>
            <w:pPr>
              <w:pStyle w:val="Compact"/>
              <w:jc w:val="center"/>
            </w:pPr>
            <w:r>
              <w:t xml:space="preserve">Positionierungsurteil oder antizipierte Fracht, im System nicht sichtbar</w:t>
            </w:r>
          </w:p>
        </w:tc>
      </w:tr>
      <w:tr>
        <w:tc>
          <w:tcPr/>
          <w:p>
            <w:pPr>
              <w:pStyle w:val="Compact"/>
              <w:jc w:val="left"/>
            </w:pPr>
            <w:r>
              <w:t xml:space="preserve">Konflikt mit lokalem KPI oder Anreiz</w:t>
            </w:r>
          </w:p>
        </w:tc>
        <w:tc>
          <w:tcPr/>
          <w:p>
            <w:pPr>
              <w:pStyle w:val="Compact"/>
              <w:jc w:val="center"/>
            </w:pPr>
            <w:r>
              <w:t xml:space="preserve">11%</w:t>
            </w:r>
          </w:p>
        </w:tc>
        <w:tc>
          <w:tcPr/>
          <w:p>
            <w:pPr>
              <w:pStyle w:val="Compact"/>
              <w:jc w:val="center"/>
            </w:pPr>
            <w:r>
              <w:t xml:space="preserve">Leerkilometer-Ziel, Kunden-Scorecard, Flotteneigentum, Bonusregel</w:t>
            </w:r>
          </w:p>
        </w:tc>
      </w:tr>
      <w:tr>
        <w:tc>
          <w:tcPr/>
          <w:p>
            <w:pPr>
              <w:pStyle w:val="Compact"/>
              <w:jc w:val="left"/>
            </w:pPr>
            <w:r>
              <w:t xml:space="preserve">Workflow- oder Schnittstellenreibung</w:t>
            </w:r>
          </w:p>
        </w:tc>
        <w:tc>
          <w:tcPr/>
          <w:p>
            <w:pPr>
              <w:pStyle w:val="Compact"/>
              <w:jc w:val="center"/>
            </w:pPr>
            <w:r>
              <w:t xml:space="preserve">8%</w:t>
            </w:r>
          </w:p>
        </w:tc>
        <w:tc>
          <w:tcPr/>
          <w:p>
            <w:pPr>
              <w:pStyle w:val="Compact"/>
              <w:jc w:val="center"/>
            </w:pPr>
            <w:r>
              <w:t xml:space="preserve">Empfehlung kam zu spät oder erforderte doppelte Eingabe</w:t>
            </w:r>
          </w:p>
        </w:tc>
      </w:tr>
      <w:tr>
        <w:tc>
          <w:tcPr/>
          <w:p>
            <w:pPr>
              <w:pStyle w:val="Compact"/>
              <w:jc w:val="left"/>
            </w:pPr>
            <w:r>
              <w:t xml:space="preserve">Kein nachvollziehbarer Grund identifiziert</w:t>
            </w:r>
          </w:p>
        </w:tc>
        <w:tc>
          <w:tcPr/>
          <w:p>
            <w:pPr>
              <w:pStyle w:val="Compact"/>
              <w:jc w:val="center"/>
            </w:pPr>
            <w:r>
              <w:t xml:space="preserve">5%</w:t>
            </w:r>
          </w:p>
        </w:tc>
        <w:tc>
          <w:tcPr/>
          <w:p>
            <w:pPr>
              <w:pStyle w:val="Compact"/>
              <w:jc w:val="center"/>
            </w:pPr>
            <w:r>
              <w:t xml:space="preserve">Gewohnheit, Unbehagen oder undokumentierte Präferenz</w:t>
            </w:r>
          </w:p>
        </w:tc>
      </w:tr>
    </w:tbl>
    <w:bookmarkEnd w:id="10"/>
    <w:bookmarkStart w:id="11" w:name="fünf-konkurrierende-erklärungen"/>
    <w:p>
      <w:pPr>
        <w:pStyle w:val="Heading1"/>
      </w:pPr>
      <w:r>
        <w:t xml:space="preserve">Fünf konkurrierende Erklärungen</w:t>
      </w:r>
    </w:p>
    <w:p>
      <w:pPr>
        <w:pStyle w:val="FirstParagraph"/>
      </w:pPr>
      <w:r>
        <w:rPr>
          <w:b/>
          <w:bCs/>
        </w:rPr>
        <w:t xml:space="preserve">Das Problem der Produkterklärung.</w:t>
      </w:r>
      <w:r>
        <w:t xml:space="preserve"> </w:t>
      </w:r>
      <w:r>
        <w:t xml:space="preserve">Disponenten konnten die empfohlene Aktion sehen, aber nicht immer die dahinterstehenden Abwägungen. Manche wollten wissen, welche zukünftigen Ladungen, Fahrerbeschränkungen oder Netzwerkeffekte die Empfehlung attraktiv machten. Produktverantwortliche schlugen eine Funktion zur Erklärung in natürlicher Sprache vor, doch Forscher warnten, dass eine überzeugende Erklärung die Befolgung erhöhen könnte, selbst wenn die zugrunde liegenden Daten falsch waren.</w:t>
      </w:r>
    </w:p>
    <w:p>
      <w:pPr>
        <w:pStyle w:val="BodyText"/>
      </w:pPr>
      <w:r>
        <w:rPr>
          <w:b/>
          <w:bCs/>
        </w:rPr>
        <w:t xml:space="preserve">Das Problem der Datenbereitschaft.</w:t>
      </w:r>
      <w:r>
        <w:t xml:space="preserve"> </w:t>
      </w:r>
      <w:r>
        <w:t xml:space="preserve">Die Optimierungs-Engine war auf zeitnahe, genaue Informationen angewiesen. Manche Kunden hatten schwache Prozesse zur Aktualisierung von Fahrerverfügbarkeit, Ladungsstatus, Terminflexibilität oder Heimatzeit-Zusagen. Kundenführungskräfte beschrieben dies oft als Softwarefehler, während Disponenten den Datensatz still durch manuelle Entscheidungen korrigierten.</w:t>
      </w:r>
    </w:p>
    <w:p>
      <w:pPr>
        <w:pStyle w:val="BodyText"/>
      </w:pPr>
      <w:r>
        <w:rPr>
          <w:b/>
          <w:bCs/>
        </w:rPr>
        <w:t xml:space="preserve">Das Problem des Betriebsmodells.</w:t>
      </w:r>
      <w:r>
        <w:t xml:space="preserve"> </w:t>
      </w:r>
      <w:r>
        <w:t xml:space="preserve">Bei mehreren Spediteuren blieb die Dispositionsbefugnis auf regionale Planer, Fahrermanager, Kundenservicemitarbeiter und Maklerteams verteilt. Die Software optimierte über das gesamte Netzwerk hinweg, aber Mitarbeiter wurden nach lokalem Service, Leerkilometern oder der Leistung ihrer zugewiesenen Flotte bewertet. Eine Empfehlung konnte für das Unternehmen optimal sein und dennoch für die Person, die sie ausführen sollte, kostspielig sein.</w:t>
      </w:r>
    </w:p>
    <w:p>
      <w:pPr>
        <w:pStyle w:val="BodyText"/>
      </w:pPr>
      <w:r>
        <w:rPr>
          <w:b/>
          <w:bCs/>
        </w:rPr>
        <w:t xml:space="preserve">Das Problem der Fähigkeiten und Identität.</w:t>
      </w:r>
      <w:r>
        <w:t xml:space="preserve"> </w:t>
      </w:r>
      <w:r>
        <w:t xml:space="preserve">Erfahrene Disponenten hatten ihre Karrieren auf Urteilsvermögen, Beziehungen und schnelle Problemlösung aufgebaut. Manche interpretierten die Automatisierung als Angriff auf ihre Fachkompetenz oder Arbeitsplatzsicherheit. Andere begrüßten die Entlastung von repetitivem Suchen, fürchteten jedoch, für eine Empfehlung verantwortlich gemacht zu werden, die sie nicht selbst erstellt hatten.</w:t>
      </w:r>
    </w:p>
    <w:p>
      <w:pPr>
        <w:pStyle w:val="BodyText"/>
      </w:pPr>
      <w:r>
        <w:rPr>
          <w:b/>
          <w:bCs/>
        </w:rPr>
        <w:t xml:space="preserve">Das Problem des Algorithmuslernens.</w:t>
      </w:r>
      <w:r>
        <w:t xml:space="preserve"> </w:t>
      </w:r>
      <w:r>
        <w:t xml:space="preserve">Das Produktteam räumte ein, dass manche Übersteuerungen Informationen enthielten, die das Modell nicht besaß. Jede Ausnahme als Nichtbefolgung zu behandeln, könnte wertvolles Lernen unterdrücken. Doch eine breite Ermessensfreiheit ohne strukturiertes Feedback erschwerte es, legitime Ausnahmen von gewohnheitsmäßiger Ablehnung zu unterscheiden.</w:t>
      </w:r>
    </w:p>
    <w:bookmarkEnd w:id="11"/>
    <w:bookmarkStart w:id="12" w:name="der-kundenkontrast"/>
    <w:p>
      <w:pPr>
        <w:pStyle w:val="Heading1"/>
      </w:pPr>
      <w:r>
        <w:t xml:space="preserve">Der Kundenkontrast</w:t>
      </w:r>
    </w:p>
    <w:p>
      <w:pPr>
        <w:pStyle w:val="FirstParagraph"/>
      </w:pPr>
      <w:r>
        <w:t xml:space="preserve">Northstar Freight hatte schnell eine hohe Befolgungsrate erreicht. Der Präsident kündigte an, dass die Plattform zum Standard-Entscheidungsprozess werden würde, versicherte den Mitarbeitern, dass sich Rollen ändern statt verschwinden würden, und versetzte Planer an einen gemeinsamen Betriebsschreibtisch. Im ersten Monat nahmen Mitarbeiter von Dispatch Dynamics an täglichen Review-Sitzungen teil. Jede Übersteuerung erforderte einen von sechs Begründungscodes, und das Management änderte Scorecards, sodass Planer nicht für netzwerkweite Leerfahrten bestraft wurden, die einem besseren nachgelagerten Plan dienten.</w:t>
      </w:r>
    </w:p>
    <w:p>
      <w:pPr>
        <w:pStyle w:val="BodyText"/>
      </w:pPr>
      <w:r>
        <w:t xml:space="preserve">Pioneer Logistics ging einen anderen Weg. Die Software wurde dem bestehenden Transportmanagementsystem hinzugefügt, aber regionale Dispositionsgruppen behielten ihre eigenen Methoden und Leistungsziele bei. Das Training konzentrierte sich auf die Navigation der Benutzeroberfläche. Vorgesetzte wiesen die Nutzer an, ihr Urteilsvermögen anzuwenden, wann immer eine Empfehlung „nicht richtig aussah”. Disponenten verließen sich weiterhin auf private Tabellenkalkulationen und Textnachrichten von Fahrern. Pioneers Chief Operating Officer argumentierte, diese Praktiken wahrten den Kundenservice; das Kundenbetreuungsteam von Dispatch Dynamics glaubte, sie hätten verhindert, dass die Plattform jemals einen fairen Test erhielt.</w:t>
      </w:r>
    </w:p>
    <w:p>
      <w:pPr>
        <w:pStyle w:val="BodyText"/>
      </w:pPr>
      <w:r>
        <w:t xml:space="preserve">Der Kontrast war aufschlussreich, aber nicht schlüssig. Northstar hatte vor der Implementierung ein dichteres Netzwerk, sauberere Daten und eine stärker zentralisierte Kultur. Pioneer bediente unregelmäßigere Kunden und hatte mehr Fahrer mit individuellen Zeitplänen. Eine Change-Management-Intervention, die bei Northstar funktionierte, könnte bei Pioneer scheitern – oder einfach nur Produktbeschränkungen früher aufdecken.</w:t>
      </w:r>
    </w:p>
    <w:bookmarkEnd w:id="12"/>
    <w:bookmarkStart w:id="13" w:name="eine-vorgeschlagene-lernagenda"/>
    <w:p>
      <w:pPr>
        <w:pStyle w:val="Heading1"/>
      </w:pPr>
      <w:r>
        <w:t xml:space="preserve">Eine vorgeschlagene Lernagenda</w:t>
      </w:r>
    </w:p>
    <w:p>
      <w:pPr>
        <w:pStyle w:val="FirstParagraph"/>
      </w:pPr>
      <w:r>
        <w:t xml:space="preserve">Chen bat vier interne Teams, vorzuschlagen, wie Dispatch Dynamics ein neu genehmigtes Adoptionsbudget von 1,2 Millionen Dollar ausgeben sollte. Die Vorschläge konkurrierten um dasselbe Implementierungspersonal und dieselbe Entwicklungskapazität.</w:t>
      </w:r>
    </w:p>
    <w:p>
      <w:pPr>
        <w:pStyle w:val="BodyText"/>
      </w:pPr>
      <w:r>
        <w:t xml:space="preserve">Abbildung 3. Kandidateninitiativen für die nächsten zwölf Monate</w:t>
      </w:r>
    </w:p>
    <w:tbl>
      <w:tblPr>
        <w:tblStyle w:val="Table"/>
        <w:tblW w:type="pct" w:w="4948"/>
        <w:tblLayout w:type="fixed"/>
        <w:tblLook w:firstRow="1" w:lastRow="0" w:firstColumn="0" w:lastColumn="0" w:noHBand="0" w:noVBand="0" w:val="0020"/>
      </w:tblPr>
      <w:tblGrid>
        <w:gridCol w:w="1741"/>
        <w:gridCol w:w="746"/>
        <w:gridCol w:w="2736"/>
        <w:gridCol w:w="2612"/>
      </w:tblGrid>
      <w:tr>
        <w:trPr>
          <w:tblHeader w:val="on"/>
        </w:trPr>
        <w:tc>
          <w:tcPr/>
          <w:p>
            <w:pPr>
              <w:pStyle w:val="Compact"/>
              <w:jc w:val="left"/>
            </w:pPr>
            <w:r>
              <w:t xml:space="preserve">Initiative</w:t>
            </w:r>
          </w:p>
        </w:tc>
        <w:tc>
          <w:tcPr/>
          <w:p>
            <w:pPr>
              <w:pStyle w:val="Compact"/>
              <w:jc w:val="left"/>
            </w:pPr>
            <w:r>
              <w:t xml:space="preserve">Kosten</w:t>
            </w:r>
          </w:p>
        </w:tc>
        <w:tc>
          <w:tcPr/>
          <w:p>
            <w:pPr>
              <w:pStyle w:val="Compact"/>
              <w:jc w:val="center"/>
            </w:pPr>
            <w:r>
              <w:t xml:space="preserve">Zentrale Frage</w:t>
            </w:r>
          </w:p>
        </w:tc>
        <w:tc>
          <w:tcPr/>
          <w:p>
            <w:pPr>
              <w:pStyle w:val="Compact"/>
              <w:jc w:val="left"/>
            </w:pPr>
            <w:r>
              <w:t xml:space="preserve">Wesentliche Einschränkung</w:t>
            </w:r>
          </w:p>
        </w:tc>
      </w:tr>
      <w:tr>
        <w:tc>
          <w:tcPr/>
          <w:p>
            <w:pPr>
              <w:pStyle w:val="Compact"/>
              <w:jc w:val="left"/>
            </w:pPr>
            <w:r>
              <w:t xml:space="preserve">Eingebettete Feldforschung bei 3 Kunden</w:t>
            </w:r>
          </w:p>
        </w:tc>
        <w:tc>
          <w:tcPr/>
          <w:p>
            <w:pPr>
              <w:pStyle w:val="Compact"/>
              <w:jc w:val="left"/>
            </w:pPr>
            <w:r>
              <w:t xml:space="preserve">$360.000</w:t>
            </w:r>
          </w:p>
        </w:tc>
        <w:tc>
          <w:tcPr/>
          <w:p>
            <w:pPr>
              <w:pStyle w:val="Compact"/>
              <w:jc w:val="center"/>
            </w:pPr>
            <w:r>
              <w:t xml:space="preserve">Was geschieht im Moment der Annahme oder Übersteuerung?</w:t>
            </w:r>
          </w:p>
        </w:tc>
        <w:tc>
          <w:tcPr/>
          <w:p>
            <w:pPr>
              <w:pStyle w:val="Compact"/>
              <w:jc w:val="left"/>
            </w:pPr>
            <w:r>
              <w:t xml:space="preserve">Kleine Stichprobe; Verhalten kann sich unter Beobachtung ändern</w:t>
            </w:r>
          </w:p>
        </w:tc>
      </w:tr>
      <w:tr>
        <w:tc>
          <w:tcPr/>
          <w:p>
            <w:pPr>
              <w:pStyle w:val="Compact"/>
              <w:jc w:val="left"/>
            </w:pPr>
            <w:r>
              <w:t xml:space="preserve">Verpflichtende strukturierte Übersteuerung</w:t>
            </w:r>
          </w:p>
        </w:tc>
        <w:tc>
          <w:tcPr/>
          <w:p>
            <w:pPr>
              <w:pStyle w:val="Compact"/>
              <w:jc w:val="left"/>
            </w:pPr>
            <w:r>
              <w:t xml:space="preserve">sgründe $220.</w:t>
            </w:r>
          </w:p>
        </w:tc>
        <w:tc>
          <w:tcPr/>
          <w:p>
            <w:pPr>
              <w:pStyle w:val="Compact"/>
              <w:jc w:val="center"/>
            </w:pPr>
            <w:r>
              <w:t xml:space="preserve">000 Welche Ausnahmen sind legitim, wiederkehrend oder verm</w:t>
            </w:r>
          </w:p>
        </w:tc>
        <w:tc>
          <w:tcPr/>
          <w:p>
            <w:pPr>
              <w:pStyle w:val="Compact"/>
              <w:jc w:val="left"/>
            </w:pPr>
            <w:r>
              <w:t xml:space="preserve">eidbar? Erhöht Nutzerbelastung; Begründungscodes können manipuliert werden</w:t>
            </w:r>
          </w:p>
        </w:tc>
      </w:tr>
      <w:tr>
        <w:tc>
          <w:tcPr/>
          <w:p>
            <w:pPr>
              <w:pStyle w:val="Compact"/>
              <w:jc w:val="left"/>
            </w:pPr>
            <w:r>
              <w:t xml:space="preserve">Erklärungs- und Konfidenzoberfläche</w:t>
            </w:r>
          </w:p>
        </w:tc>
        <w:tc>
          <w:tcPr/>
          <w:p>
            <w:pPr>
              <w:pStyle w:val="Compact"/>
              <w:jc w:val="left"/>
            </w:pPr>
            <w:r>
              <w:t xml:space="preserve">$410.0</w:t>
            </w:r>
          </w:p>
        </w:tc>
        <w:tc>
          <w:tcPr/>
          <w:p>
            <w:pPr>
              <w:pStyle w:val="Compact"/>
              <w:jc w:val="center"/>
            </w:pPr>
            <w:r>
              <w:t xml:space="preserve">00 Erhöht Transparenz angemessenes Vertrauen?</w:t>
            </w:r>
          </w:p>
        </w:tc>
        <w:tc>
          <w:tcPr/>
          <w:p>
            <w:pPr>
              <w:pStyle w:val="Compact"/>
              <w:jc w:val="left"/>
            </w:pPr>
            <w:r>
              <w:t xml:space="preserve">Kann falsches Vertrauen oder Informationsüberlastung erzeugen</w:t>
            </w:r>
          </w:p>
        </w:tc>
      </w:tr>
      <w:tr>
        <w:tc>
          <w:tcPr/>
          <w:p>
            <w:pPr>
              <w:pStyle w:val="Compact"/>
              <w:jc w:val="left"/>
            </w:pPr>
            <w:r>
              <w:t xml:space="preserve">Datenqualitäts- und Workflow-Diagnostik</w:t>
            </w:r>
          </w:p>
        </w:tc>
        <w:tc>
          <w:tcPr/>
          <w:p>
            <w:pPr>
              <w:pStyle w:val="Compact"/>
              <w:jc w:val="left"/>
            </w:pPr>
            <w:r>
              <w:t xml:space="preserve">$330.000</w:t>
            </w:r>
          </w:p>
        </w:tc>
        <w:tc>
          <w:tcPr/>
          <w:p>
            <w:pPr>
              <w:pStyle w:val="Compact"/>
              <w:jc w:val="center"/>
            </w:pPr>
            <w:r>
              <w:t xml:space="preserve">Werden Empfehlungen abgelehnt, weil Eingaben oder Timing schwach</w:t>
            </w:r>
          </w:p>
        </w:tc>
        <w:tc>
          <w:tcPr/>
          <w:p>
            <w:pPr>
              <w:pStyle w:val="Compact"/>
              <w:jc w:val="left"/>
            </w:pPr>
            <w:r>
              <w:t xml:space="preserve">sind? Könnte als Schuldzuweisung an den Kunden gesehen werden</w:t>
            </w:r>
          </w:p>
        </w:tc>
      </w:tr>
      <w:tr>
        <w:tc>
          <w:tcPr/>
          <w:p>
            <w:pPr>
              <w:pStyle w:val="Compact"/>
              <w:jc w:val="left"/>
            </w:pPr>
            <w:r>
              <w:t xml:space="preserve">Pilotprojekte zur Neugestaltung von Vorges</w:t>
            </w:r>
          </w:p>
        </w:tc>
        <w:tc>
          <w:tcPr/>
          <w:p>
            <w:pPr>
              <w:pStyle w:val="Compact"/>
              <w:jc w:val="left"/>
            </w:pPr>
            <w:r>
              <w:t xml:space="preserve">etzten-Scorecards</w:t>
            </w:r>
          </w:p>
        </w:tc>
        <w:tc>
          <w:tcPr/>
          <w:p>
            <w:pPr>
              <w:pStyle w:val="Compact"/>
              <w:jc w:val="center"/>
            </w:pPr>
            <w:r>
              <w:t xml:space="preserve">$180.000 Treiben Anreize und lokale KPIs die Ablehn</w:t>
            </w:r>
          </w:p>
        </w:tc>
        <w:tc>
          <w:tcPr/>
          <w:p>
            <w:pPr>
              <w:pStyle w:val="Compact"/>
              <w:jc w:val="left"/>
            </w:pPr>
            <w:r>
              <w:t xml:space="preserve">ung an? Erfordert Kooperation der Geschäftsführung und arbeitssensible Änderungen</w:t>
            </w:r>
          </w:p>
        </w:tc>
      </w:tr>
      <w:tr>
        <w:tc>
          <w:tcPr/>
          <w:p>
            <w:pPr>
              <w:pStyle w:val="Compact"/>
              <w:jc w:val="left"/>
            </w:pPr>
            <w:r>
              <w:t xml:space="preserve">Randomisierte Einführung von Adoptionsunte</w:t>
            </w:r>
          </w:p>
        </w:tc>
        <w:tc>
          <w:tcPr/>
          <w:p>
            <w:pPr>
              <w:pStyle w:val="Compact"/>
              <w:jc w:val="left"/>
            </w:pPr>
            <w:r>
              <w:t xml:space="preserve">rstützungen $29</w:t>
            </w:r>
          </w:p>
        </w:tc>
        <w:tc>
          <w:tcPr/>
          <w:p>
            <w:pPr>
              <w:pStyle w:val="Compact"/>
              <w:jc w:val="center"/>
            </w:pPr>
            <w:r>
              <w:t xml:space="preserve">0.000 Welche Implementierungspraktiken verbessern die Nutz</w:t>
            </w:r>
          </w:p>
        </w:tc>
        <w:tc>
          <w:tcPr/>
          <w:p>
            <w:pPr>
              <w:pStyle w:val="Compact"/>
              <w:jc w:val="left"/>
            </w:pPr>
            <w:r>
              <w:t xml:space="preserve">ung kausal? Operativ schwierig; Kunden könnten Kontrollgruppen ablehnen</w:t>
            </w:r>
          </w:p>
        </w:tc>
      </w:tr>
    </w:tbl>
    <w:p>
      <w:pPr>
        <w:pStyle w:val="BodyText"/>
      </w:pPr>
      <w:r>
        <w:t xml:space="preserve">Der Chief Product Officer bevorzugte Erklärungen und Konfidenzindikatoren. Der Leiter der Implementierung argumentierte, das Unternehmen solle zunächst strukturierte Übersteuerungen und tägliche Betriebsreviews durchsetzen. Der Chief Data Officer glaubte, dass keiner der beiden Ansätze funktionieren würde, bis die Datenqualität der Kunden kontinuierlich gemessen werden könne. Vertriebsleiter befürchteten, dass verpflichtende Prozesse Implementierungen verlängern und das Produkt schwer nutzbar erscheinen lassen würden. Ein Vorstandsmitglied stellte eine unbequemere Frage: War Befolgung überhaupt das richtige Ziel, oder sollte Dispatch Dynamics die Qualität von Mensch-Maschine-Entscheidungen messen statt den Prozentsatz befolgter Empfehlungen?</w:t>
      </w:r>
    </w:p>
    <w:p>
      <w:pPr>
        <w:pStyle w:val="BodyText"/>
      </w:pPr>
      <w:r>
        <w:t xml:space="preserve">Chen musste auch entscheiden, wie offen sie das Thema mit Kunden besprechen sollte. Die Veröffentlichung portfolioweiter Benchmarks zur Befolgungsrate könnte Dringlichkeit erzeugen, doch Kunden unterschieden sich in Netzwerkdesign und betrieblicher Komplexität. Die Verknüpfung von Gebühren oder Leistungsgarantien mit der Befolgungsrate könnte Anreize angleichen, aber oberflächliche Konformität fördern. Die Neudefinition des Produkts um „mensch-geleitete Automatisierung” könnte die Glaubwürdigkeit verbessern, aber das Versprechen des Unternehmens von skalierbarer Entscheidungsautomatisierung schwächen.</w:t>
      </w:r>
    </w:p>
    <w:bookmarkEnd w:id="13"/>
    <w:bookmarkStart w:id="14" w:name="die-entscheidung"/>
    <w:p>
      <w:pPr>
        <w:pStyle w:val="Heading1"/>
      </w:pPr>
      <w:r>
        <w:t xml:space="preserve">Die Entscheidung</w:t>
      </w:r>
    </w:p>
    <w:p>
      <w:pPr>
        <w:pStyle w:val="FirstParagraph"/>
      </w:pPr>
      <w:r>
        <w:t xml:space="preserve">Bei der vierteljährlichen Sitzung würde von Chen erwartet werden, sowohl eine unmittelbare Kundenpolitik als auch ein längerfristiges Forschungsprogramm zu empfehlen. Sie musste entscheiden, was Dispatch Dynamics zu lernen versuchen sollte, welche Evidenz zwischen konkurrierenden Erklärungen unterscheiden würde, und wie das Unternehmen handeln sollte, während diese Evidenz gesammelt wurde.</w:t>
      </w:r>
    </w:p>
    <w:p>
      <w:pPr>
        <w:pStyle w:val="BodyText"/>
      </w:pPr>
      <w:r>
        <w:t xml:space="preserve">Auf dem Spiel stand mehr als aktuelle Vertragsverlängerungen. Wenn das Unternehmen geringe Befolgung als Trainingsproblem behandelte, während die tatsächliche Ursache schlechte Daten oder fehlende Randbedingungen waren, könnte dies das Vertrauen schädigen. Wenn es jede Übersteuerung als wertvolle menschliche Einsicht behandelte, könnte es genau jene Gewohnheiten bewahren, die die Software ersetzen sollte. Wenn es allein auf Befolgung optimierte, könnte es Nutzer dazu ermutigen, Empfehlungen mechanisch zu befolgen, statt Urteilsvermögen auszuüben, wenn sich die Umstände tatsächlich geändert hatten.</w:t>
      </w:r>
    </w:p>
    <w:p>
      <w:pPr>
        <w:pStyle w:val="BodyText"/>
      </w:pPr>
      <w:r>
        <w:t xml:space="preserve">Chen schloss das Dashboard und schrieb eine Frage oben auf ihre Notizen: Was würde es bedeuten, dass ein Kunde Dispatch Dynamics gut nutzt?</w:t>
      </w:r>
    </w:p>
    <w:bookmarkEnd w:id="14"/>
    <w:bookmarkStart w:id="15" w:name="diskussionsfragen"/>
    <w:p>
      <w:pPr>
        <w:pStyle w:val="Heading1"/>
      </w:pPr>
      <w:r>
        <w:t xml:space="preserve">Diskussionsfragen</w:t>
      </w:r>
    </w:p>
    <w:p>
      <w:pPr>
        <w:numPr>
          <w:ilvl w:val="0"/>
          <w:numId w:val="1001"/>
        </w:numPr>
      </w:pPr>
      <w:r>
        <w:t xml:space="preserve">Wie sollte Dispatch Dynamics erfolgreiche Nutzung definieren: Empfehlungsbefolgung, Geschäftsleistung, Qualität der Ausnahmen oder eine Kombination davon?</w:t>
      </w:r>
    </w:p>
    <w:p>
      <w:pPr>
        <w:numPr>
          <w:ilvl w:val="0"/>
          <w:numId w:val="1001"/>
        </w:numPr>
      </w:pPr>
      <w:r>
        <w:t xml:space="preserve">Welche Hypothesen könnten die geringe Adoption erklären, und welche Evidenz würde zwischen ihnen unterscheiden?</w:t>
      </w:r>
    </w:p>
    <w:p>
      <w:pPr>
        <w:numPr>
          <w:ilvl w:val="0"/>
          <w:numId w:val="1001"/>
        </w:numPr>
      </w:pPr>
      <w:r>
        <w:t xml:space="preserve">Welche Übersteuerungskategorien stellen Produktmängel, Datenmängel, organisatorische Konflikte oder wertvolle menschliche Informationen dar?</w:t>
      </w:r>
    </w:p>
    <w:p>
      <w:pPr>
        <w:numPr>
          <w:ilvl w:val="0"/>
          <w:numId w:val="1001"/>
        </w:numPr>
      </w:pPr>
      <w:r>
        <w:t xml:space="preserve">Wie sollte das Unternehmen Implementierung, Schulung, Anreize, Workflow oder das Produkt selbst neu gestalten?</w:t>
      </w:r>
    </w:p>
    <w:p>
      <w:pPr>
        <w:numPr>
          <w:ilvl w:val="0"/>
          <w:numId w:val="1001"/>
        </w:numPr>
      </w:pPr>
      <w:r>
        <w:t xml:space="preserve">Welche Initiativen aus Abbildung 3 sollten das Budget von 1,2 Millionen Dollar erhalten, und in welcher Reihenfolge?</w:t>
      </w:r>
    </w:p>
    <w:p>
      <w:pPr>
        <w:numPr>
          <w:ilvl w:val="0"/>
          <w:numId w:val="1001"/>
        </w:numPr>
      </w:pPr>
      <w:r>
        <w:t xml:space="preserve">Welche Risiken entstehen durch eine zu aggressive Steigerung der Befolgungsrate?</w:t>
      </w:r>
    </w:p>
    <w:p>
      <w:pPr>
        <w:numPr>
          <w:ilvl w:val="0"/>
          <w:numId w:val="1001"/>
        </w:numPr>
      </w:pPr>
      <w:r>
        <w:t xml:space="preserve">Wie sollte Dispatch Dynamics aus Kundenübersteuerungen lernen, ohne Nutzern zu erlauben, das System unbegrenzt zu umgehen?</w:t>
      </w:r>
    </w:p>
    <w:bookmarkEnd w:id="15"/>
    <w:bookmarkStart w:id="21" w:name="fragen-zur-entscheidungsrahmung"/>
    <w:p>
      <w:pPr>
        <w:pStyle w:val="Heading1"/>
      </w:pPr>
      <w:r>
        <w:t xml:space="preserve">Fragen zur Entscheidungsrahmung</w:t>
      </w:r>
    </w:p>
    <w:p>
      <w:pPr>
        <w:numPr>
          <w:ilvl w:val="0"/>
          <w:numId w:val="1002"/>
        </w:numPr>
      </w:pPr>
      <w:r>
        <w:t xml:space="preserve">Identifizieren und beschreiben Sie die Verantwortlichkeiten der entscheidenden Person. Dies sollte den Umfang des Problems festlegen.</w:t>
      </w:r>
    </w:p>
    <w:p>
      <w:pPr>
        <w:numPr>
          <w:ilvl w:val="0"/>
          <w:numId w:val="1002"/>
        </w:numPr>
      </w:pPr>
      <w:r>
        <w:t xml:space="preserve">Verwenden Sie das</w:t>
      </w:r>
      <w:r>
        <w:t xml:space="preserve"> </w:t>
      </w:r>
      <w:hyperlink r:id="rId16">
        <w:r>
          <w:rPr>
            <w:rStyle w:val="Hyperlink"/>
          </w:rPr>
          <w:t xml:space="preserve">Metrik-Pyramiden-Tool</w:t>
        </w:r>
      </w:hyperlink>
      <w:r>
        <w:t xml:space="preserve">, um die verschiedenen Leistungsmetriken zu identifizieren und zu priorisieren. Klicken Sie auf das Oval, das die Metrik enthält, um zu kennzeichnen, ob es sich um eine zu maximierende Metrik (grün), eine zu minimierende Metrik (rot), einen Zielwert handelt, der eine Untergrenze (hellgrün) oder eine Obergrenze (hellrot) darstellt, oder schließlich um einen Zielwert (lila).</w:t>
      </w:r>
    </w:p>
    <w:p>
      <w:pPr>
        <w:numPr>
          <w:ilvl w:val="0"/>
          <w:numId w:val="1002"/>
        </w:numPr>
      </w:pPr>
      <w:r>
        <w:t xml:space="preserve">Verwenden Sie das</w:t>
      </w:r>
      <w:r>
        <w:t xml:space="preserve"> </w:t>
      </w:r>
      <w:hyperlink r:id="rId17">
        <w:r>
          <w:rPr>
            <w:rStyle w:val="Hyperlink"/>
          </w:rPr>
          <w:t xml:space="preserve">Tool zur Priorisierung von Entscheidungen</w:t>
        </w:r>
      </w:hyperlink>
      <w:r>
        <w:t xml:space="preserve">, um zunächst die verschiedenen Arten von Entscheidungen aufzulisten (nutzen Sie die</w:t>
      </w:r>
      <w:r>
        <w:t xml:space="preserve"> </w:t>
      </w:r>
      <w:hyperlink r:id="rId18">
        <w:r>
          <w:rPr>
            <w:rStyle w:val="Hyperlink"/>
          </w:rPr>
          <w:t xml:space="preserve">Arten von Entscheidungen</w:t>
        </w:r>
      </w:hyperlink>
      <w:r>
        <w:t xml:space="preserve"> </w:t>
      </w:r>
      <w:r>
        <w:t xml:space="preserve">als Orientierung). Diese füllen dann die Zeilen der Matrix rechts, wobei die Spalten die Leistungsmetriken sind, sortiert von links nach rechts nach der Priorität in der obigen Pyramide. Klicken Sie auf jede Zelle, um anzugeben, ob die Auswirkung der Entscheidung auf jede Metrik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der größten Auswirkung auf die wichtigsten Metriken oben stehen. Die Zellen in der oberen linken Ecke sollten die größte Konzentration an roten und orangen Zellen aufweisen. Identifizieren Sie an diesem Punkt die Entscheidungen, die in Ihrer Studie die meiste Aufmerksamkeit erhalten sollten. Wenn Sie keine Entscheidungen mit mittlerer oder hoher Auswirkung auf die wichtigsten Metriken haben, überarbeiten Sie Ihre Liste der Entscheidungen.</w:t>
      </w:r>
    </w:p>
    <w:p>
      <w:pPr>
        <w:numPr>
          <w:ilvl w:val="0"/>
          <w:numId w:val="1002"/>
        </w:numPr>
      </w:pPr>
      <w:r>
        <w:t xml:space="preserve">Wiederholen Sie den Prozess, um die Unsicherheiten mithilfe des</w:t>
      </w:r>
      <w:r>
        <w:t xml:space="preserve"> </w:t>
      </w:r>
      <w:hyperlink r:id="rId19">
        <w:r>
          <w:rPr>
            <w:rStyle w:val="Hyperlink"/>
          </w:rPr>
          <w:t xml:space="preserve">Tools zur Priorisierung von Unsicherheiten</w:t>
        </w:r>
      </w:hyperlink>
      <w:r>
        <w:t xml:space="preserve"> </w:t>
      </w:r>
      <w:r>
        <w:t xml:space="preserve">aufzulisten und zu priorisieren. Verwenden Sie die</w:t>
      </w:r>
      <w:r>
        <w:t xml:space="preserve"> </w:t>
      </w:r>
      <w:hyperlink r:id="rId20">
        <w:r>
          <w:rPr>
            <w:rStyle w:val="Hyperlink"/>
          </w:rPr>
          <w:t xml:space="preserve">Kategorien der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im Zeitverlauf erfasst?</w:t>
      </w:r>
    </w:p>
    <w:p>
      <w:pPr>
        <w:numPr>
          <w:ilvl w:val="1"/>
          <w:numId w:val="1003"/>
        </w:numPr>
      </w:pPr>
      <w:r>
        <w:t xml:space="preserve">Welche Unsicherheitsquellen stellen Formen von Risiko dar, die nicht angemessen durch Durchschnittswerte erfasst werden?</w:t>
      </w:r>
    </w:p>
    <w:p>
      <w:pPr>
        <w:numPr>
          <w:ilvl w:val="0"/>
          <w:numId w:val="1002"/>
        </w:numPr>
      </w:pPr>
      <w:r>
        <w:t xml:space="preserve">Wählen Sie die einzelne Entscheidung, die die größte Auswirkung auf die wichtigste Metrik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Leistungsmetriken, auf die die Entscheidung eine hohe oder mittlere Auswirkung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1"/>
    <w:bookmarkStart w:id="22" w:name="fallnotiz"/>
    <w:p>
      <w:pPr>
        <w:pStyle w:val="Heading1"/>
      </w:pPr>
      <w:r>
        <w:t xml:space="preserve">Fallnotiz</w:t>
      </w:r>
    </w:p>
    <w:p>
      <w:pPr>
        <w:pStyle w:val="FirstParagraph"/>
      </w:pPr>
      <w:r>
        <w:t xml:space="preserve">Dieser fiktive Lehrfall wurde von wiederkehrenden Themen in den hochgeladenen Fallstudien und Change-Management-Materialien zur Entscheidungsautomatisierung im Truckload-Bereich inspiriert: Zusammenhänge zwischen Adoption und Leistung, Vertrauen in Empfehlungen, der Übergang von manueller Planung zum Ausnahmemanagement, die Bedeutung von Workflow- und Führungsausrichtung, sich entwickelnde Mitarbeiterrollen, Datenbereitschaft und die anhaltende Notwendigkeit legitimer menschlicher Eingriffe. Alle Organisationen, Personen, Ereignisse und numerischen Abbildungen in diesem Fall sind für Lehrzwecke erfunden.</w:t>
      </w:r>
    </w:p>
    <w:bookmarkEnd w:id="22"/>
    <w:bookmarkStart w:id="25" w:name="chatgpt-notizen"/>
    <w:p>
      <w:pPr>
        <w:pStyle w:val="Heading1"/>
      </w:pPr>
      <w:r>
        <w:t xml:space="preserve">ChatGPT-Notizen:</w:t>
      </w:r>
    </w:p>
    <w:bookmarkStart w:id="23" w:name="prompt"/>
    <w:p>
      <w:pPr>
        <w:pStyle w:val="Heading2"/>
      </w:pPr>
      <w:r>
        <w:t xml:space="preserve">Prompt</w:t>
      </w:r>
    </w:p>
    <w:p>
      <w:pPr>
        <w:pStyle w:val="FirstParagraph"/>
      </w:pPr>
      <w:r>
        <w:t xml:space="preserve">Schreiben Sie eine Fallstudie im Kontext eines Softwareunternehmens, „Dynamic Dispatching”, das Software für die Truckload-Branche entwickelt. Sie können die Fallstudien im Ordner C:</w:t>
      </w:r>
      <w:r>
        <w:t xml:space="preserve">Powell</w:t>
      </w:r>
      <w:r>
        <w:t xml:space="preserve">documents</w:t>
      </w:r>
      <w:r>
        <w:t xml:space="preserve">Dynamics</w:t>
      </w:r>
      <w:r>
        <w:t xml:space="preserve">case studies verwenden, aber verwenden Sie keine Namen realer Unternehmen. „Dispatch Dynamics” hat eine Reihe erfolgreicher Implementierungen seiner Dispositionssoftware genossen, aber es gibt zu viele Unternehmen, die die Empfehlungen darüber, was mit jedem Fahrer zu tun ist, nicht nutzen. Die geschäftliche Herausforderung besteht darin herauszufinden, warum diese Kunden das System nicht nutzen, und die Schritte zu untersuchen, die „Dispatch Dynamics” unternehmen könnte, um die Nutzerakzeptanz besser zu verstehen.</w:t>
      </w:r>
    </w:p>
    <w:bookmarkEnd w:id="23"/>
    <w:bookmarkStart w:id="24" w:name="zusammenfassung"/>
    <w:p>
      <w:pPr>
        <w:pStyle w:val="Heading2"/>
      </w:pPr>
      <w:r>
        <w:t xml:space="preserve">Zusammenfassung</w:t>
      </w:r>
    </w:p>
    <w:p>
      <w:pPr>
        <w:pStyle w:val="FirstParagraph"/>
      </w:pPr>
      <w:r>
        <w:t xml:space="preserve">Der neue Fall integriert wiederkehrende Themen aus den hochgeladenen Materialien, darunter:</w:t>
      </w:r>
    </w:p>
    <w:p>
      <w:pPr>
        <w:numPr>
          <w:ilvl w:val="0"/>
          <w:numId w:val="1005"/>
        </w:numPr>
      </w:pPr>
      <w:r>
        <w:t xml:space="preserve">Die Beziehung zwischen Empfehlungsadoption und Betriebsleistung</w:t>
      </w:r>
    </w:p>
    <w:p>
      <w:pPr>
        <w:numPr>
          <w:ilvl w:val="0"/>
          <w:numId w:val="1005"/>
        </w:numPr>
      </w:pPr>
      <w:r>
        <w:t xml:space="preserve">Der Übergang von manueller Disposition zum Ausnahmemanagement</w:t>
      </w:r>
    </w:p>
    <w:p>
      <w:pPr>
        <w:numPr>
          <w:ilvl w:val="0"/>
          <w:numId w:val="1005"/>
        </w:numPr>
      </w:pPr>
      <w:r>
        <w:t xml:space="preserve">Vertrauen in automatisierte Empfehlungen</w:t>
      </w:r>
    </w:p>
    <w:p>
      <w:pPr>
        <w:numPr>
          <w:ilvl w:val="0"/>
          <w:numId w:val="1005"/>
        </w:numPr>
      </w:pPr>
      <w:r>
        <w:t xml:space="preserve">Datenqualität und fehlende betriebliche Randbedingungen</w:t>
      </w:r>
    </w:p>
    <w:p>
      <w:pPr>
        <w:numPr>
          <w:ilvl w:val="0"/>
          <w:numId w:val="1005"/>
        </w:numPr>
      </w:pPr>
      <w:r>
        <w:t xml:space="preserve">Konflikte zwischen netzwerkweiten Empfehlungen und lokalen Leistungskennzahlen</w:t>
      </w:r>
    </w:p>
    <w:p>
      <w:pPr>
        <w:numPr>
          <w:ilvl w:val="0"/>
          <w:numId w:val="1005"/>
        </w:numPr>
      </w:pPr>
      <w:r>
        <w:t xml:space="preserve">Rollen der Disponenten, berufliche Identität und Arbeitsplatzsicherheitsbedenken</w:t>
      </w:r>
    </w:p>
    <w:p>
      <w:pPr>
        <w:numPr>
          <w:ilvl w:val="0"/>
          <w:numId w:val="1005"/>
        </w:numPr>
      </w:pPr>
      <w:r>
        <w:t xml:space="preserve">Strukturierte Gründe für die Übersteuerung von Empfehlungen</w:t>
      </w:r>
    </w:p>
    <w:p>
      <w:pPr>
        <w:numPr>
          <w:ilvl w:val="0"/>
          <w:numId w:val="1005"/>
        </w:numPr>
      </w:pPr>
      <w:r>
        <w:t xml:space="preserve">Die Notwendigkeit, legitime menschliche Eingriffe von gewohnheitsmäßiger Nichtnutzung zu unterscheiden</w:t>
      </w:r>
    </w:p>
    <w:p>
      <w:pPr>
        <w:numPr>
          <w:ilvl w:val="0"/>
          <w:numId w:val="1005"/>
        </w:numPr>
      </w:pPr>
      <w:r>
        <w:t xml:space="preserve">Alternative Forschungs-, Produkt- und Implementierungsinitiativen</w:t>
      </w:r>
    </w:p>
    <w:p>
      <w:pPr>
        <w:pStyle w:val="FirstParagraph"/>
      </w:pPr>
      <w:r>
        <w:t xml:space="preserve">Alle Unternehmens- und Personennamen, Ereignisse und numerischen Abbildungen sind fiktiv. Der Fall lässt bewusst offen, ob das Hauptproblem in der Software, den Kundendaten, den Implementierungspraktiken, den Anreizen, der Organisationsstruktur, dem Nutzervertrauen oder der Definition von „erfolgreicher Nutzung” liegt.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2026-09-11T16:10:34Z</dcterms:created>
  <dcterms:modified xsi:type="dcterms:W3CDTF">2026-09-11T16:10:34Z</dcterms:modified>
</cp:coreProperties>
</file>

<file path=docProps/custom.xml><?xml version="1.0" encoding="utf-8"?>
<Properties xmlns="http://schemas.openxmlformats.org/officeDocument/2006/custom-properties" xmlns:vt="http://schemas.openxmlformats.org/officeDocument/2006/docPropsVTypes"/>
</file>