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Wie sollte eine Gemeinde reagieren, wenn das Masernrisiko konzentriert ist, das Vertrauen in Impfungen sinkt und die Kosten der Prävention unmittelbar anfallen—die Vorteile jedoch weitgehend unsichtbar bleiben?</w:t>
      </w:r>
    </w:p>
    <w:tbl>
      <w:tblPr>
        <w:tblStyle w:val="Table"/>
        <w:tblW w:type="auto" w:w="0"/>
        <w:tblLook w:firstRow="0" w:lastRow="0" w:firstColumn="0" w:lastColumn="0" w:noHBand="0" w:noVBand="0" w:val="0000"/>
      </w:tblPr>
      <w:tblGrid>
        <w:gridCol w:w="7920"/>
      </w:tblGrid>
      <w:tr>
        <w:tc>
          <w:tcPr/>
          <w:p>
            <w:pPr>
              <w:pStyle w:val="Compact"/>
            </w:pPr>
            <w:r>
              <w:rPr>
                <w:b/>
                <w:bCs/>
              </w:rPr>
              <w:t xml:space="preserve">SETTING**</w:t>
            </w:r>
            <w:r>
              <w:rPr>
                <w:b/>
                <w:bCs/>
              </w:rPr>
              <w:t xml:space="preserve"> </w:t>
            </w:r>
            <w:r>
              <w:t xml:space="preserve">ENTSCHEIDUNGSTRÄGERIN** ENTSCHEIDUNGSDATUM\</w:t>
            </w:r>
          </w:p>
        </w:tc>
      </w:tr>
      <w:tr>
        <w:tc>
          <w:tcPr/>
          <w:p>
            <w:pPr>
              <w:pStyle w:val="Compact"/>
            </w:pPr>
            <w:r>
              <w:t xml:space="preserve">Harbor County, ein fiktiver suburban-ländlicher Landkreis Dr. Maya Patel, Leiterin des Gesundheitsamts des Landkreises August 2026</w:t>
            </w:r>
          </w:p>
        </w:tc>
      </w:tr>
    </w:tbl>
    <w:p>
      <w:r>
        <w:pict>
          <v:rect style="width:0;height:1.5pt" o:hralign="center" o:hrstd="t" o:hr="t"/>
        </w:pict>
      </w:r>
    </w:p>
    <w:bookmarkStart w:id="9" w:name="section"/>
    <w:p>
      <w:pPr>
        <w:pStyle w:val="Heading1"/>
      </w:pPr>
    </w:p>
    <w:bookmarkEnd w:id="9"/>
    <w:bookmarkStart w:id="11" w:name="eine-nachricht-vor-sonnenaufgang"/>
    <w:p>
      <w:pPr>
        <w:pStyle w:val="Heading1"/>
      </w:pPr>
      <w:r>
        <w:t xml:space="preserve">Eine Nachricht vor Sonnenaufgang</w:t>
      </w:r>
    </w:p>
    <w:p>
      <w:pPr>
        <w:pStyle w:val="FirstParagraph"/>
      </w:pPr>
      <w:r>
        <w:t xml:space="preserve">Um 5:42 Uhr morgens erhielt Dr. Maya Patel eine SMS von der staatlichen Epidemiologin: Ein Labor hatte Masern bei einer neunjährigen Schülerin aus Harbor County bestätigt. Das Kind hatte vier Tage lang die Schule besucht, während es ansteckend war, eine Notfallklinik aufgesucht, an einem Basketballturnier am Wochenende teilgenommen und zwei Stunden in einem überfüllten Flughafenterminal verbracht, bevor der Ausschlag auftrat.</w:t>
      </w:r>
    </w:p>
    <w:p>
      <w:pPr>
        <w:pStyle w:val="BodyText"/>
      </w:pPr>
      <w:r>
        <w:t xml:space="preserve">Bis 7:00 Uhr hatte das Gesundheitsamt des Landkreises 186 Personen identifiziert, die möglicherweise exponiert waren. Die Zahl würde weiter steigen. Manche Kontaktpersonen verfügten über elektronische Impfaufzeichnungen; andere hatten Aufzeichnungen, die über pädiatrische Praxen, Schulen, Apotheken und andere Bundesstaaten verstreut waren. Siebenundzwanzig Säuglinge waren zu jung für die routinemäßige Impfung. Mindestens elf exponierte Personen waren schwanger oder immungeschwächt. Der Schulbezirk wollte wissen, ob Schüler ohne dokumentierte Immunität vom Unterricht ausgeschlossen werden sollten—und für wie lange.</w:t>
      </w:r>
    </w:p>
    <w:p>
      <w:pPr>
        <w:pStyle w:val="BodyText"/>
      </w:pPr>
      <w:r>
        <w:t xml:space="preserve">Der bestätigte Fall trat während eines landesweiten Wiederauflebens der Krankheit auf. Zum 23. Juli 2026 hatten die Vereinigten Staaten 2.318 bestätigte Masernfälle gemeldet, von denen 93% mit Ausbrüchen in Verbindung standen. Die Jahresgesamtzahl für 2025 hatte 2.289 Fälle betragen, verglichen mit 285 im Jahr 2024.¹</w:t>
      </w:r>
    </w:p>
    <w:p>
      <w:pPr>
        <w:pStyle w:val="BodyText"/>
      </w:pPr>
      <w:r>
        <w:t xml:space="preserve">Harbor County hatte seit mehr als einem Jahrzehnt keine bestätigte lokale Übertragung verzeichnet. Dennoch wusste Patel, dass die Abwesenheit von Krankheit nicht dasselbe war wie die Abwesenheit von Risiko. Die landkreisweite MMR-Impfquote unter Kindergartenkindern lag bei 91,8%, doch dieser Durchschnitt verbarg erhebliche Unterschiede zwischen Schulen und Wohngebieten. Der Landkreisverwalter hatte für 15:30 Uhr ein Krisentreffen anberaumt. Von Patel wurde erwartet, dass sie eine sofortige Reaktion sowie eine langfristige Impfstrategie empfehlen würde—ohne Misstrauen zu schüren oder zu versprechen, dass ein Ausbruch verhindert werden könne.</w:t>
      </w:r>
    </w:p>
    <w:bookmarkStart w:id="10" w:name="die-zentrale-herausforderung"/>
    <w:p>
      <w:pPr>
        <w:pStyle w:val="Heading2"/>
      </w:pPr>
      <w:r>
        <w:t xml:space="preserve">Die zentrale Herausforderung</w:t>
      </w:r>
    </w:p>
    <w:p>
      <w:pPr>
        <w:pStyle w:val="FirstParagraph"/>
      </w:pPr>
      <w:r>
        <w:t xml:space="preserve">Sollte Harbor County den Fall als eingedämmte Exposition behandeln, die eine intensive kurzfristige Reaktion erfordert, oder als Beleg für eine tiefere Immunitätslücke, die ein nachhaltiges Eingreifen in Schulen, Kliniken und Gemeinden rechtfertigt?</w:t>
      </w:r>
    </w:p>
    <w:bookmarkEnd w:id="10"/>
    <w:bookmarkEnd w:id="11"/>
    <w:bookmarkStart w:id="12" w:name="harbor-county"/>
    <w:p>
      <w:pPr>
        <w:pStyle w:val="Heading1"/>
      </w:pPr>
      <w:r>
        <w:t xml:space="preserve">Harbor County</w:t>
      </w:r>
    </w:p>
    <w:p>
      <w:pPr>
        <w:pStyle w:val="FirstParagraph"/>
      </w:pPr>
      <w:r>
        <w:t xml:space="preserve">Harbor County hatte 742.000 Einwohner. Zu seinen Küstenvororten gehörten mehrere große Arbeitgeber, ein regionaler Flughafen und ein universitäres medizinisches Zentrum. Die Binnengemeinden waren ländlicher geprägt, mit weniger pädiatrischen Praxen und eingeschränkten Abendtransportmöglichkeiten. Der Landkreis war wirtschaftlich vielfältig: Das mittlere Haushaltseinkommen lag bei 86.900 $, doch 14% der Kinder lebten unterhalb der bundesstaatlichen Armutsgrenze. Etwa 24% der Einwohner sprachen zu Hause eine andere Sprache als Englisch. Alle Daten zu Harbor County in diesem Fall sind fiktiv, wurden jedoch so gestaltet, dass sie Bedingungen widerspiegeln, mit denen US-Gemeinden konfrontiert sind.</w:t>
      </w:r>
    </w:p>
    <w:bookmarkEnd w:id="12"/>
    <w:bookmarkStart w:id="13" w:name="X815d4e45ace8ac50372c96866ee831d41fd5e0c"/>
    <w:p>
      <w:pPr>
        <w:pStyle w:val="Heading1"/>
      </w:pPr>
      <w:r>
        <w:t xml:space="preserve">Eine vermeidbare Krankheit mit anspruchsvollen Kontrollanforderungen</w:t>
      </w:r>
    </w:p>
    <w:p>
      <w:pPr>
        <w:pStyle w:val="FirstParagraph"/>
      </w:pPr>
      <w:r>
        <w:t xml:space="preserve">Masern gehören zu den ansteckendsten Infektionskrankheiten des Menschen. Symptome treten häufig 7 bis 14 Tage nach der Exposition auf, sodass infizierte Personen sich durch Schulen, Kliniken, Geschäfte, Arbeitsplätze und Verkehrssysteme bewegen können, bevor die Krankheit erkannt wird. Etwa jeder fünfte ungeimpfte US-Patient mit Masern wird ins Krankenhaus eingeliefert; Lungenentzündung tritt bei bis zu einem von zwanzig Kindern auf, Enzephalitis bei etwa einem von tausend.²</w:t>
      </w:r>
    </w:p>
    <w:p>
      <w:pPr>
        <w:pStyle w:val="BodyText"/>
      </w:pPr>
      <w:r>
        <w:t xml:space="preserve">Zwei MMR-Dosen bieten den besten Schutz, und die meisten geimpften Personen sind lebenslang geschützt. Kindern wird routinemäßig empfohlen, die erste Dosis im Alter von 12–15 Monaten und die zweite im Alter von 4–6 Jahren zu erhalten.³ Gemeinschaftsschutz erfordert im Allgemeinen eine Impfquote von über 95%, ein Schwellenwert, der lokal aufrechterhalten werden muss und nicht nur in landkreisweiten Durchschnittswerten.¹</w:t>
      </w:r>
    </w:p>
    <w:p>
      <w:pPr>
        <w:pStyle w:val="BodyText"/>
      </w:pPr>
      <w:r>
        <w:t xml:space="preserve">Die nationale MMR-Impfquote bei Kindergartenkindern sank von 95,2% in 2019–2020 auf 92,5% in 2024–2025, sodass etwa 286.000 Kindergartenkinder ohne Dokumentation eines vollständigen Impfzyklus blieben. Befreiungen von einer oder mehreren Impfungen stiegen auf 3,6%, und siebzehn Bundesstaaten meldeten Befreiungsquoten von über 5%.⁴</w:t>
      </w:r>
    </w:p>
    <w:bookmarkEnd w:id="13"/>
    <w:bookmarkStart w:id="14" w:name="die-lokale-immunitätslandkarte"/>
    <w:p>
      <w:pPr>
        <w:pStyle w:val="Heading1"/>
      </w:pPr>
      <w:r>
        <w:t xml:space="preserve">Die lokale Immunitätslandkarte</w:t>
      </w:r>
    </w:p>
    <w:p>
      <w:pPr>
        <w:pStyle w:val="FirstParagraph"/>
      </w:pPr>
      <w:r>
        <w:t xml:space="preserve">Der Durchschnitt von Harbor County erschien beherrschbar, bis Analysten die Impfquoten auf Schulebene kartierten. Dreiundvierzig der 128 Grundschulen des Landkreises übertrafen eine dokumentierte MMR-Impfquote von 95%. Einunddreißig Schulen lagen unter 90%, darunter neun unter 85%. Mehrere Schulen mit niedriger Impfquote waren geografisch geclustert, doch ihre Umstände unterschieden sich. Manche betreuten Familien, die Schwierigkeiten hatten, Termine zu vereinbaren oder Unterlagen zu beschaffen. Andere hatten organisierte Netzwerke von Eltern, die Impfvorschriften in Frage stellten. Einige Privatschulen hatten hohe Befreiungsquoten, aber starke Beziehungen zu Familien und wenig Vertrauen in die Landkreisverwaltung.</w:t>
      </w:r>
    </w:p>
    <w:p>
      <w:pPr>
        <w:pStyle w:val="BodyText"/>
      </w:pPr>
      <w:r>
        <w:t xml:space="preserve">Die Daten waren unvollständig. Das staatliche Impfregister erfasste Impfungen, die vor dem Zuzug der Familien in den Bundesstaat verabreicht wurden, nicht zuverlässig. Schulakten zählten fehlende Dokumentation als nicht geimpft, was die Anfälligkeit an manchen Orten überschätzte. Gleichzeitig konnten Schuldurchschnitte das Risiko unterschätzen, da ungeimpfte Familien häufig über Sportmannschaften, religiöse Gemeinschaften, Kinderbetreuungsnetzwerke und Homeschooling-Gruppen interagierten, die schulbezirksübergreifend waren.</w:t>
      </w:r>
    </w:p>
    <w:bookmarkEnd w:id="14"/>
    <w:bookmarkStart w:id="15" w:name="die-sofortige-reaktion"/>
    <w:p>
      <w:pPr>
        <w:pStyle w:val="Heading1"/>
      </w:pPr>
      <w:r>
        <w:t xml:space="preserve">Die sofortige Reaktion</w:t>
      </w:r>
    </w:p>
    <w:p>
      <w:pPr>
        <w:pStyle w:val="FirstParagraph"/>
      </w:pPr>
      <w:r>
        <w:t xml:space="preserve">Fallermittlung und Kontaktverfolgung: Befragung der Familie, Rekonstruktion von Orten und Zeitpunkten, Benachrichtigung exponierter Personen und Symptomüberwachung für 21 Tage nach der letzten Exposition.</w:t>
      </w:r>
    </w:p>
    <w:p>
      <w:pPr>
        <w:pStyle w:val="BodyText"/>
      </w:pPr>
      <w:r>
        <w:t xml:space="preserve">Postexpositioneller Schutz: Organisation einer schnellen MMR-Impfung für berechtigte Kontaktpersonen innerhalb von 72 Stunden nach Exposition sowie Immunglobulin für bestimmte Hochrisikopersonen innerhalb von sechs Tagen.³</w:t>
      </w:r>
    </w:p>
    <w:p>
      <w:pPr>
        <w:pStyle w:val="BodyText"/>
      </w:pPr>
      <w:r>
        <w:t xml:space="preserve">Schulkontrollen: Überprüfung von Unterlagen, Identifizierung anfälliger Schüler und Mitarbeiter sowie Feststellung, ob ein Ausschluss gesetzlich vorgeschrieben oder betrieblich durchführbar ist.</w:t>
      </w:r>
    </w:p>
    <w:p>
      <w:pPr>
        <w:pStyle w:val="BodyText"/>
      </w:pPr>
      <w:r>
        <w:t xml:space="preserve">Klinische Bereitschaft: Alarmierung von Krankenhäusern und Praxen, Einrichtung von Isolationsverfahren und Verringerung des Risikos, dass Verdachtsfälle Wartezimmer gefährden.</w:t>
      </w:r>
    </w:p>
    <w:p>
      <w:pPr>
        <w:pStyle w:val="BodyText"/>
      </w:pPr>
      <w:r>
        <w:t xml:space="preserve">Öffentliche Kommunikation: Die Gemeinde schnell genug informieren, um zum Handeln anzuregen, während gleichzeitig die Offenlegung der Identität des Kindes oder Formulierungen vermieden werden, die eine Schule, Glaubensgemeinschaft, Einwanderergruppe oder impfskeptische Familien stigmatisieren könnten.</w:t>
      </w:r>
    </w:p>
    <w:bookmarkEnd w:id="15"/>
    <w:bookmarkStart w:id="16" w:name="widersprüchliche-ansichten"/>
    <w:p>
      <w:pPr>
        <w:pStyle w:val="Heading1"/>
      </w:pPr>
      <w:r>
        <w:t xml:space="preserve">Widersprüchliche Ansichten</w:t>
      </w:r>
    </w:p>
    <w:p>
      <w:pPr>
        <w:pStyle w:val="FirstParagraph"/>
      </w:pPr>
      <w:r>
        <w:t xml:space="preserve">Schulleiterin Laura Chen wollte eine einheitliche Regelung. Schulleiter konnten nicht unterschiedliche Aufzeichnungen und Befreiungen interpretieren, während sie gleichzeitig besorgte Eltern und Personalausfälle managen mussten. Die Rechtsabteilung des Landkreises warnte, dass Ausschlussregeln dem staatlichen Recht und den Anforderungen an ein ordnungsgemäßes Verfahren unterlägen. Kinderärzte unterstützten Impfkliniken, sagten jedoch, dass viele Praxen weder über zusätzliches Personal noch über gekühlte Lagerung für eine plötzliche Kampagne verfügten. Krankenhausleitungen baten den Landkreis, spezielle Triage- und Testkapazitäten zu finanzieren, damit Verdachtsfälle nicht in gewöhnliche Notaufnahme-Wartezimmer gelangten.</w:t>
      </w:r>
    </w:p>
    <w:p>
      <w:pPr>
        <w:pStyle w:val="BodyText"/>
      </w:pPr>
      <w:r>
        <w:t xml:space="preserve">Elterngruppen waren sich stark uneinig. Manche forderten den sofortigen Ausschluss jedes Schülers ohne nachgewiesene Immunität. Andere argumentierten, ein einzelner eingeschleppter Fall rechtfertige weder eine Unterbrechung des Unterrichts noch die Behandlung befreiter Familien als unverantwortlich. Gemeinschaftsorganisationen sagten, die Botschaften des Landkreises seien zu technisch und zu stark auf Überzeugungsarbeit ausgerichtet. Sie wollten praktische Unterstützung—Übersetzung, Transport, Abendkliniken, Beschaffung von Unterlagen und vertrauenswürdige Vermittler—bevor durchgegriffen wird.</w:t>
      </w:r>
    </w:p>
    <w:bookmarkEnd w:id="16"/>
    <w:bookmarkStart w:id="17" w:name="die-finanzierungsentscheidung"/>
    <w:p>
      <w:pPr>
        <w:pStyle w:val="Heading1"/>
      </w:pPr>
      <w:r>
        <w:t xml:space="preserve">Die Finanzierungsentscheidung</w:t>
      </w:r>
    </w:p>
    <w:p>
      <w:pPr>
        <w:pStyle w:val="FirstParagraph"/>
      </w:pPr>
      <w:r>
        <w:t xml:space="preserve">Patel konnte auf 1,9 Millionen $ an Notfallreserven zugreifen. Ein staatlicher Ausbruchszuschuss könnte bis zu 1,2 Millionen $ erstatten, jedoch erst nach Dokumentation und Genehmigung der Ausgaben. Der Landkreisverwalter war bereit, eine zusätzliche Mittelbereitstellung in Betracht zu ziehen, wenn Patel erklären konnte, was beschafft würde, wie lange es betrieben würde und wann der Landkreis aufhören würde. Jeder Dollar, der für Masern eingesetzt wird, würde für Restaurantinspektionen, Kliniken für sexuell übertragbare Infektionen, Besuche im Bereich Mütterhilfe, Tuberkulosekontrolle und Vorbereitungen auf die Herbst-Atemwegsvirussaison nicht verfügbar sein.</w:t>
      </w:r>
    </w:p>
    <w:bookmarkEnd w:id="17"/>
    <w:bookmarkStart w:id="18" w:name="geprüfte-programme"/>
    <w:p>
      <w:pPr>
        <w:pStyle w:val="Heading1"/>
      </w:pPr>
      <w:r>
        <w:t xml:space="preserve">Geprüfte Programme</w:t>
      </w:r>
    </w:p>
    <w:p>
      <w:pPr>
        <w:pStyle w:val="FirstParagraph"/>
      </w:pPr>
      <w:r>
        <w:t xml:space="preserve">Hinweis: Kosten, Ergebnisse und lokale Schätzungen sind fiktiv. Die Kapazitätsangaben zeigen, was in den ersten 90 Tagen geleistet werden könnte.</w:t>
      </w:r>
    </w:p>
    <w:tbl>
      <w:tblPr>
        <w:tblStyle w:val="Table"/>
        <w:tblW w:type="pct" w:w="4950"/>
        <w:tblLayout w:type="fixed"/>
        <w:tblLook w:firstRow="1" w:lastRow="0" w:firstColumn="0" w:lastColumn="0" w:noHBand="0" w:noVBand="0" w:val="0020"/>
      </w:tblPr>
      <w:tblGrid>
        <w:gridCol w:w="1221"/>
        <w:gridCol w:w="551"/>
        <w:gridCol w:w="1694"/>
        <w:gridCol w:w="2324"/>
        <w:gridCol w:w="2048"/>
      </w:tblGrid>
      <w:tr>
        <w:trPr>
          <w:tblHeader w:val="on"/>
        </w:trPr>
        <w:tc>
          <w:tcPr/>
          <w:p>
            <w:pPr>
              <w:pStyle w:val="Compact"/>
              <w:jc w:val="left"/>
            </w:pPr>
            <w:r>
              <w:t xml:space="preserve">Maßnahme</w:t>
            </w:r>
          </w:p>
        </w:tc>
        <w:tc>
          <w:tcPr/>
          <w:p>
            <w:pPr>
              <w:pStyle w:val="Compact"/>
            </w:pPr>
            <w:r>
              <w:t xml:space="preserve">90-Tage-Kosten</w:t>
            </w:r>
          </w:p>
        </w:tc>
        <w:tc>
          <w:tcPr/>
          <w:p>
            <w:pPr>
              <w:pStyle w:val="Compact"/>
              <w:jc w:val="center"/>
            </w:pPr>
            <w:r>
              <w:t xml:space="preserve">Potenzielle Kapazität</w:t>
            </w:r>
          </w:p>
        </w:tc>
        <w:tc>
          <w:tcPr/>
          <w:p>
            <w:pPr>
              <w:pStyle w:val="Compact"/>
              <w:jc w:val="center"/>
            </w:pPr>
            <w:r>
              <w:t xml:space="preserve">Primäre Unsicherheit</w:t>
            </w:r>
          </w:p>
        </w:tc>
        <w:tc>
          <w:tcPr/>
          <w:p>
            <w:pPr>
              <w:pStyle w:val="Compact"/>
              <w:jc w:val="center"/>
            </w:pPr>
            <w:r>
              <w:t xml:space="preserve">Betriebliche Einschränkung</w:t>
            </w:r>
          </w:p>
        </w:tc>
      </w:tr>
      <w:tr>
        <w:tc>
          <w:tcPr/>
          <w:p>
            <w:pPr>
              <w:pStyle w:val="Compact"/>
              <w:jc w:val="left"/>
            </w:pPr>
            <w:r>
              <w:t xml:space="preserve">Schulbasierte Kliniken</w:t>
            </w:r>
          </w:p>
        </w:tc>
        <w:tc>
          <w:tcPr/>
          <w:p>
            <w:pPr>
              <w:pStyle w:val="Compact"/>
            </w:pPr>
            <w:r>
              <w:t xml:space="preserve">$620.000</w:t>
            </w:r>
          </w:p>
        </w:tc>
        <w:tc>
          <w:tcPr/>
          <w:p>
            <w:pPr>
              <w:pStyle w:val="Compact"/>
              <w:jc w:val="center"/>
            </w:pPr>
            <w:r>
              <w:t xml:space="preserve">18.000 Impfungen oder Aktenüberprüfungen</w:t>
            </w:r>
          </w:p>
        </w:tc>
        <w:tc>
          <w:tcPr/>
          <w:p>
            <w:pPr>
              <w:pStyle w:val="Compact"/>
              <w:jc w:val="center"/>
            </w:pPr>
            <w:r>
              <w:t xml:space="preserve">Wie viele Schüler ohne Dokumentation sind bereits immu</w:t>
            </w:r>
          </w:p>
        </w:tc>
        <w:tc>
          <w:tcPr/>
          <w:p>
            <w:pPr>
              <w:pStyle w:val="Compact"/>
              <w:jc w:val="center"/>
            </w:pPr>
            <w:r>
              <w:t xml:space="preserve">n? Erfordert Zustimmung der Schule, Personal und Kühlkette</w:t>
            </w:r>
          </w:p>
        </w:tc>
      </w:tr>
      <w:tr>
        <w:tc>
          <w:tcPr/>
          <w:p>
            <w:pPr>
              <w:pStyle w:val="Compact"/>
              <w:jc w:val="left"/>
            </w:pPr>
            <w:r>
              <w:t xml:space="preserve">Mobile/gemeinschaftliche Klinik</w:t>
            </w:r>
          </w:p>
        </w:tc>
        <w:tc>
          <w:tcPr/>
          <w:p>
            <w:pPr>
              <w:pStyle w:val="Compact"/>
            </w:pPr>
            <w:r>
              <w:t xml:space="preserve">en $410</w:t>
            </w:r>
          </w:p>
        </w:tc>
        <w:tc>
          <w:tcPr/>
          <w:p>
            <w:pPr>
              <w:pStyle w:val="Compact"/>
              <w:jc w:val="center"/>
            </w:pPr>
            <w:r>
              <w:t xml:space="preserve">.000 7.500 Impfungen; 36 Abendveranstal</w:t>
            </w:r>
          </w:p>
        </w:tc>
        <w:tc>
          <w:tcPr/>
          <w:p>
            <w:pPr>
              <w:pStyle w:val="Compact"/>
              <w:jc w:val="center"/>
            </w:pPr>
            <w:r>
              <w:t xml:space="preserve">tungen Werden Gruppen mit niedriger Impfquote an landkrei</w:t>
            </w:r>
          </w:p>
        </w:tc>
        <w:tc>
          <w:tcPr/>
          <w:p>
            <w:pPr>
              <w:pStyle w:val="Compact"/>
              <w:jc w:val="center"/>
            </w:pPr>
            <w:r>
              <w:t xml:space="preserve">sgesponserten Veranstaltungen teilnehmen? Standorte und vertrauenswürdige Partner variieren je nach Wohngebiet</w:t>
            </w:r>
          </w:p>
        </w:tc>
      </w:tr>
      <w:tr>
        <w:tc>
          <w:tcPr/>
          <w:p>
            <w:pPr>
              <w:pStyle w:val="Compact"/>
              <w:jc w:val="left"/>
            </w:pPr>
            <w:r>
              <w:t xml:space="preserve">Team zur Aktenabstimmung $</w:t>
            </w:r>
          </w:p>
        </w:tc>
        <w:tc>
          <w:tcPr/>
          <w:p>
            <w:pPr>
              <w:pStyle w:val="Compact"/>
            </w:pPr>
            <w:r>
              <w:t xml:space="preserve">280.000 25</w:t>
            </w:r>
          </w:p>
        </w:tc>
        <w:tc>
          <w:tcPr/>
          <w:p>
            <w:pPr>
              <w:pStyle w:val="Compact"/>
              <w:jc w:val="center"/>
            </w:pPr>
            <w:r>
              <w:t xml:space="preserve">.000 überprüfte Schülerakten Wir</w:t>
            </w:r>
          </w:p>
        </w:tc>
        <w:tc>
          <w:tcPr/>
          <w:p>
            <w:pPr>
              <w:pStyle w:val="Compact"/>
              <w:jc w:val="center"/>
            </w:pPr>
            <w:r>
              <w:t xml:space="preserve">d eine bessere Aktenlage die Risikoschätzungen wesentlich v</w:t>
            </w:r>
          </w:p>
        </w:tc>
        <w:tc>
          <w:tcPr/>
          <w:p>
            <w:pPr>
              <w:pStyle w:val="Compact"/>
              <w:jc w:val="center"/>
            </w:pPr>
            <w:r>
              <w:t xml:space="preserve">erändern? Datenaustausch und manuelle Überprüfung</w:t>
            </w:r>
          </w:p>
        </w:tc>
      </w:tr>
      <w:tr>
        <w:tc>
          <w:tcPr/>
          <w:p>
            <w:pPr>
              <w:pStyle w:val="Compact"/>
              <w:jc w:val="left"/>
            </w:pPr>
            <w:r>
              <w:t xml:space="preserve">Klinische Isolationsunterstützu</w:t>
            </w:r>
          </w:p>
        </w:tc>
        <w:tc>
          <w:tcPr/>
          <w:p>
            <w:pPr>
              <w:pStyle w:val="Compact"/>
            </w:pPr>
            <w:r>
              <w:t xml:space="preserve">ng $360.0</w:t>
            </w:r>
          </w:p>
        </w:tc>
        <w:tc>
          <w:tcPr/>
          <w:p>
            <w:pPr>
              <w:pStyle w:val="Compact"/>
              <w:jc w:val="center"/>
            </w:pPr>
            <w:r>
              <w:t xml:space="preserve">00 12 ausgestattete und geschulte Einri</w:t>
            </w:r>
          </w:p>
        </w:tc>
        <w:tc>
          <w:tcPr/>
          <w:p>
            <w:pPr>
              <w:pStyle w:val="Compact"/>
              <w:jc w:val="center"/>
            </w:pPr>
            <w:r>
              <w:t xml:space="preserve">chtungen Wie viele Verdachtsfälle werden Behandlung such</w:t>
            </w:r>
          </w:p>
        </w:tc>
        <w:tc>
          <w:tcPr/>
          <w:p>
            <w:pPr>
              <w:pStyle w:val="Compact"/>
              <w:jc w:val="center"/>
            </w:pPr>
            <w:r>
              <w:t xml:space="preserve">en? Arbeitsabläufe in Krankenhäusern und Praxen unterscheiden sich</w:t>
            </w:r>
          </w:p>
        </w:tc>
      </w:tr>
      <w:tr>
        <w:tc>
          <w:tcPr/>
          <w:p>
            <w:pPr>
              <w:pStyle w:val="Compact"/>
              <w:jc w:val="left"/>
            </w:pPr>
            <w:r>
              <w:t xml:space="preserve">Kommunikation und Vermittler</w:t>
            </w:r>
          </w:p>
        </w:tc>
        <w:tc>
          <w:tcPr/>
          <w:p>
            <w:pPr>
              <w:pStyle w:val="Compact"/>
            </w:pPr>
            <w:r>
              <w:t xml:space="preserve">$240.000</w:t>
            </w:r>
          </w:p>
        </w:tc>
        <w:tc>
          <w:tcPr/>
          <w:p>
            <w:pPr>
              <w:pStyle w:val="Compact"/>
              <w:jc w:val="center"/>
            </w:pPr>
            <w:r>
              <w:t xml:space="preserve">Mehrsprachige Kampagne; 40 Partnerzuschüsse</w:t>
            </w:r>
          </w:p>
        </w:tc>
        <w:tc>
          <w:tcPr/>
          <w:p>
            <w:pPr>
              <w:pStyle w:val="Compact"/>
              <w:jc w:val="center"/>
            </w:pPr>
            <w:r>
              <w:t xml:space="preserve">Könnte die Kommunikation Widerstand oder Stigmatisierung</w:t>
            </w:r>
          </w:p>
        </w:tc>
        <w:tc>
          <w:tcPr/>
          <w:p>
            <w:pPr>
              <w:pStyle w:val="Compact"/>
              <w:jc w:val="center"/>
            </w:pPr>
            <w:r>
              <w:t xml:space="preserve">verstärken? Wirkung ist schwer zuzuordnen</w:t>
            </w:r>
          </w:p>
        </w:tc>
      </w:tr>
      <w:tr>
        <w:tc>
          <w:tcPr/>
          <w:p>
            <w:pPr>
              <w:pStyle w:val="Compact"/>
              <w:jc w:val="left"/>
            </w:pPr>
            <w:r>
              <w:t xml:space="preserve">Erweiterte Rücklage für Kontakt</w:t>
            </w:r>
          </w:p>
        </w:tc>
        <w:tc>
          <w:tcPr/>
          <w:p>
            <w:pPr>
              <w:pStyle w:val="Compact"/>
            </w:pPr>
            <w:r>
              <w:t xml:space="preserve">verfolgung</w:t>
            </w:r>
          </w:p>
        </w:tc>
        <w:tc>
          <w:tcPr/>
          <w:p>
            <w:pPr>
              <w:pStyle w:val="Compact"/>
              <w:jc w:val="center"/>
            </w:pPr>
            <w:r>
              <w:t xml:space="preserve">$510.000 Bis zu 1.800 überwachte Ko</w:t>
            </w:r>
          </w:p>
        </w:tc>
        <w:tc>
          <w:tcPr/>
          <w:p>
            <w:pPr>
              <w:pStyle w:val="Compact"/>
              <w:jc w:val="center"/>
            </w:pPr>
            <w:r>
              <w:t xml:space="preserve">ntakte Anzahl und Komplexität zukünftiger Fälle</w:t>
            </w:r>
          </w:p>
        </w:tc>
        <w:tc>
          <w:tcPr/>
          <w:p>
            <w:pPr>
              <w:pStyle w:val="Compact"/>
              <w:jc w:val="center"/>
            </w:pPr>
            <w:r>
              <w:t xml:space="preserve">Arbeitsintensiv; Nachfrage kann verschwinden oder ansteigen</w:t>
            </w:r>
          </w:p>
        </w:tc>
      </w:tr>
    </w:tbl>
    <w:bookmarkEnd w:id="18"/>
    <w:bookmarkStart w:id="19" w:name="X8b1df93f9fa75be45da5b7b78f6249587ef3560"/>
    <w:p>
      <w:pPr>
        <w:pStyle w:val="Heading1"/>
      </w:pPr>
      <w:r>
        <w:t xml:space="preserve">Mögliche Richtungen—nicht gegenseitig ausschließend</w:t>
      </w:r>
    </w:p>
    <w:p>
      <w:pPr>
        <w:pStyle w:val="FirstParagraph"/>
      </w:pPr>
      <w:r>
        <w:t xml:space="preserve">Die aktuelle Exposition eindämmen. Ressourcen auf Kontaktverfolgung, Postexpositionsprophylaxe, schulische Aktenprüfungen und klinische Isolation konzentrieren; eine breitere Kampagne vermeiden, sofern keine Sekundärfälle auftreten.</w:t>
      </w:r>
    </w:p>
    <w:p>
      <w:pPr>
        <w:pStyle w:val="BodyText"/>
      </w:pPr>
      <w:r>
        <w:t xml:space="preserve">Dokumentierte Zugangslücken schließen. Bequeme Impfmöglichkeiten und Aktenbeschaffung in Schulen mit niedriger Impfquote ausweiten, unabhängig von den geäußerten Überzeugungen der Familien.</w:t>
      </w:r>
    </w:p>
    <w:p>
      <w:pPr>
        <w:pStyle w:val="BodyText"/>
      </w:pPr>
      <w:r>
        <w:t xml:space="preserve">Stärkere schulische Durchsetzung nutzen. Fristen und Ausschlusspraktiken verschärfen, um die dokumentierte Immunität zu erhöhen, unter Inkaufnahme politischer und schulischer Störungen.</w:t>
      </w:r>
    </w:p>
    <w:p>
      <w:pPr>
        <w:pStyle w:val="BodyText"/>
      </w:pPr>
      <w:r>
        <w:t xml:space="preserve">In Vertrauen und Beziehungen investieren. Lokale Organisationen und Kliniker finanzieren, um sich über die Zeit mit skeptischen Familien auseinanderzusetzen, auch wenn messbare Ergebnisse langsam und ungewiss sein können.</w:t>
      </w:r>
    </w:p>
    <w:p>
      <w:pPr>
        <w:pStyle w:val="BodyText"/>
      </w:pPr>
      <w:r>
        <w:t xml:space="preserve">Ein risikoausgelöstes Portfolio übernehmen. Schwellenwerte vorab definieren—neue Fälle, Expositionsorte, Schulimpfquoten, Krankenhauskapazität—die Maßnahmen automatisch ausweiten oder zurückfahren.</w:t>
      </w:r>
    </w:p>
    <w:bookmarkEnd w:id="19"/>
    <w:bookmarkStart w:id="20" w:name="was-würde-erfolg-bedeuten"/>
    <w:p>
      <w:pPr>
        <w:pStyle w:val="Heading1"/>
      </w:pPr>
      <w:r>
        <w:t xml:space="preserve">Was würde Erfolg bedeuten?</w:t>
      </w:r>
    </w:p>
    <w:p>
      <w:pPr>
        <w:pStyle w:val="FirstParagraph"/>
      </w:pPr>
      <w:r>
        <w:t xml:space="preserve">Die Interessengruppen waren sich über das Ziel nicht einig. Epidemiologen betonten die Verhinderung von Sekundärübertragung. Schulen wollten Stabilität bei der Anwesenheit und klare Regeln. Krankenhäuser priorisierten sichere Triage und vermiedene Expositionen. Eltern konzentrierten sich auf Kindersicherheit, Autonomie oder beides. Gemeinschaftsgruppen betonten Vertrauen und gerechten Zugang. Finanzverantwortliche wollten die Kosten pro Impfung, pro verifizierter Akte, pro erkanntem Fall oder pro verhinderter Infektion wissen—obwohl das letzte Maß niemals direkt beobachtet werden konnte.</w:t>
      </w:r>
    </w:p>
    <w:p>
      <w:pPr>
        <w:pStyle w:val="BodyText"/>
      </w:pPr>
      <w:r>
        <w:t xml:space="preserve">Patel stand zudem vor einem Timing-Problem. Eine energische Reaktion könnte als verschwenderisch erscheinen, wenn kein zweiter Fall auftrat. Eine zurückhaltende Reaktion könnte als umsichtig erscheinen—bis eine verzögerte Erkennung eine Übertragung über mehrere Schulen hinweg ermöglichte. Bessere Daten könnten die Unsicherheit verringern, doch das Warten auf bessere Daten war selbst eine Entscheidung.</w:t>
      </w:r>
    </w:p>
    <w:bookmarkEnd w:id="20"/>
    <w:bookmarkStart w:id="21" w:name="X4188f776b9ca31bd409f1a932b74c9bd540a04b"/>
    <w:p>
      <w:pPr>
        <w:pStyle w:val="Heading1"/>
      </w:pPr>
      <w:r>
        <w:t xml:space="preserve">Exhibit 1. Impfindikatoren von Harbor County</w:t>
      </w:r>
    </w:p>
    <w:p>
      <w:pPr>
        <w:pStyle w:val="FirstParagraph"/>
      </w:pPr>
      <w:r>
        <w:t xml:space="preserve">*Die Zahlen für 2026 spiegeln die zum 15. Juli verfügbaren Aufzeichnungen wider. Alle Zahlen zu Harbor County sind fiktiv.</w:t>
      </w:r>
    </w:p>
    <w:tbl>
      <w:tblPr>
        <w:tblStyle w:val="Table"/>
        <w:tblW w:type="pct" w:w="4901"/>
        <w:tblLayout w:type="fixed"/>
        <w:tblLook w:firstRow="1" w:lastRow="0" w:firstColumn="0" w:lastColumn="0" w:noHBand="0" w:noVBand="0" w:val="0020"/>
      </w:tblPr>
      <w:tblGrid>
        <w:gridCol w:w="3293"/>
        <w:gridCol w:w="862"/>
        <w:gridCol w:w="862"/>
        <w:gridCol w:w="862"/>
        <w:gridCol w:w="862"/>
        <w:gridCol w:w="1019"/>
      </w:tblGrid>
      <w:tr>
        <w:trPr>
          <w:tblHeader w:val="on"/>
        </w:trPr>
        <w:tc>
          <w:tcPr/>
          <w:p>
            <w:pPr>
              <w:pStyle w:val="Compact"/>
              <w:jc w:val="left"/>
            </w:pPr>
            <w:r>
              <w:t xml:space="preserve">Indikator</w:t>
            </w:r>
          </w:p>
        </w:tc>
        <w:tc>
          <w:tcPr/>
          <w:p>
            <w:pPr>
              <w:pStyle w:val="Compact"/>
              <w:jc w:val="left"/>
            </w:pPr>
            <w:r>
              <w:t xml:space="preserve">2021–22</w:t>
            </w:r>
          </w:p>
        </w:tc>
        <w:tc>
          <w:tcPr/>
          <w:p>
            <w:pPr>
              <w:pStyle w:val="Compact"/>
              <w:jc w:val="left"/>
            </w:pPr>
            <w:r>
              <w:t xml:space="preserve">2022–23</w:t>
            </w:r>
          </w:p>
        </w:tc>
        <w:tc>
          <w:tcPr/>
          <w:p>
            <w:pPr>
              <w:pStyle w:val="Compact"/>
              <w:jc w:val="left"/>
            </w:pPr>
            <w:r>
              <w:t xml:space="preserve">2023–24</w:t>
            </w:r>
          </w:p>
        </w:tc>
        <w:tc>
          <w:tcPr/>
          <w:p>
            <w:pPr>
              <w:pStyle w:val="Compact"/>
              <w:jc w:val="left"/>
            </w:pPr>
            <w:r>
              <w:t xml:space="preserve">2024–25</w:t>
            </w:r>
          </w:p>
        </w:tc>
        <w:tc>
          <w:tcPr/>
          <w:p>
            <w:pPr>
              <w:pStyle w:val="Compact"/>
              <w:jc w:val="left"/>
            </w:pPr>
            <w:r>
              <w:t xml:space="preserve">2025–26*</w:t>
            </w:r>
          </w:p>
        </w:tc>
      </w:tr>
      <w:tr>
        <w:tc>
          <w:tcPr/>
          <w:p>
            <w:pPr>
              <w:pStyle w:val="Compact"/>
              <w:jc w:val="left"/>
            </w:pPr>
            <w:r>
              <w:t xml:space="preserve">MMR-Impfquote im Kindergarten</w:t>
            </w:r>
          </w:p>
        </w:tc>
        <w:tc>
          <w:tcPr/>
          <w:p>
            <w:pPr>
              <w:pStyle w:val="Compact"/>
              <w:jc w:val="left"/>
            </w:pPr>
            <w:r>
              <w:t xml:space="preserve">94,8%</w:t>
            </w:r>
          </w:p>
        </w:tc>
        <w:tc>
          <w:tcPr/>
          <w:p>
            <w:pPr>
              <w:pStyle w:val="Compact"/>
              <w:jc w:val="left"/>
            </w:pPr>
            <w:r>
              <w:t xml:space="preserve">94,1%</w:t>
            </w:r>
          </w:p>
        </w:tc>
        <w:tc>
          <w:tcPr/>
          <w:p>
            <w:pPr>
              <w:pStyle w:val="Compact"/>
              <w:jc w:val="left"/>
            </w:pPr>
            <w:r>
              <w:t xml:space="preserve">93,0%</w:t>
            </w:r>
          </w:p>
        </w:tc>
        <w:tc>
          <w:tcPr/>
          <w:p>
            <w:pPr>
              <w:pStyle w:val="Compact"/>
              <w:jc w:val="left"/>
            </w:pPr>
            <w:r>
              <w:t xml:space="preserve">92,4%</w:t>
            </w:r>
          </w:p>
        </w:tc>
        <w:tc>
          <w:tcPr/>
          <w:p>
            <w:pPr>
              <w:pStyle w:val="Compact"/>
              <w:jc w:val="left"/>
            </w:pPr>
            <w:r>
              <w:t xml:space="preserve">91,8%</w:t>
            </w:r>
          </w:p>
        </w:tc>
      </w:tr>
      <w:tr>
        <w:tc>
          <w:tcPr/>
          <w:p>
            <w:pPr>
              <w:pStyle w:val="Compact"/>
              <w:jc w:val="left"/>
            </w:pPr>
            <w:r>
              <w:t xml:space="preserve">Schüler mit Befreiungen 2</w:t>
            </w:r>
          </w:p>
        </w:tc>
        <w:tc>
          <w:tcPr/>
          <w:p>
            <w:pPr>
              <w:pStyle w:val="Compact"/>
              <w:jc w:val="left"/>
            </w:pPr>
            <w:r>
              <w:t xml:space="preserve">,4% 2</w:t>
            </w:r>
          </w:p>
        </w:tc>
        <w:tc>
          <w:tcPr/>
          <w:p>
            <w:pPr>
              <w:pStyle w:val="Compact"/>
              <w:jc w:val="left"/>
            </w:pPr>
            <w:r>
              <w:t xml:space="preserve">,8% 3</w:t>
            </w:r>
          </w:p>
        </w:tc>
        <w:tc>
          <w:tcPr/>
          <w:p>
            <w:pPr>
              <w:pStyle w:val="Compact"/>
              <w:jc w:val="left"/>
            </w:pPr>
            <w:r>
              <w:t xml:space="preserve">,3% 3</w:t>
            </w:r>
          </w:p>
        </w:tc>
        <w:tc>
          <w:tcPr/>
          <w:p>
            <w:pPr>
              <w:pStyle w:val="Compact"/>
              <w:jc w:val="left"/>
            </w:pPr>
            <w:r>
              <w:t xml:space="preserve">,9% 4</w:t>
            </w:r>
          </w:p>
        </w:tc>
        <w:tc>
          <w:tcPr/>
          <w:p>
            <w:pPr>
              <w:pStyle w:val="Compact"/>
              <w:jc w:val="left"/>
            </w:pPr>
            <w:r>
              <w:t xml:space="preserve">,4%</w:t>
            </w:r>
          </w:p>
        </w:tc>
      </w:tr>
      <w:tr>
        <w:tc>
          <w:tcPr/>
          <w:p>
            <w:pPr>
              <w:pStyle w:val="Compact"/>
              <w:jc w:val="left"/>
            </w:pPr>
            <w:r>
              <w:t xml:space="preserve">Schüler ohne vollständige Dokumentation</w:t>
            </w:r>
          </w:p>
        </w:tc>
        <w:tc>
          <w:tcPr/>
          <w:p>
            <w:pPr>
              <w:pStyle w:val="Compact"/>
              <w:jc w:val="left"/>
            </w:pPr>
            <w:r>
              <w:t xml:space="preserve">5,2%</w:t>
            </w:r>
          </w:p>
        </w:tc>
        <w:tc>
          <w:tcPr/>
          <w:p>
            <w:pPr>
              <w:pStyle w:val="Compact"/>
              <w:jc w:val="left"/>
            </w:pPr>
            <w:r>
              <w:t xml:space="preserve">5,9%</w:t>
            </w:r>
          </w:p>
        </w:tc>
        <w:tc>
          <w:tcPr/>
          <w:p>
            <w:pPr>
              <w:pStyle w:val="Compact"/>
              <w:jc w:val="left"/>
            </w:pPr>
            <w:r>
              <w:t xml:space="preserve">7,0%</w:t>
            </w:r>
          </w:p>
        </w:tc>
        <w:tc>
          <w:tcPr/>
          <w:p>
            <w:pPr>
              <w:pStyle w:val="Compact"/>
              <w:jc w:val="left"/>
            </w:pPr>
            <w:r>
              <w:t xml:space="preserve">7,6%</w:t>
            </w:r>
          </w:p>
        </w:tc>
        <w:tc>
          <w:tcPr/>
          <w:p>
            <w:pPr>
              <w:pStyle w:val="Compact"/>
              <w:jc w:val="left"/>
            </w:pPr>
            <w:r>
              <w:t xml:space="preserve">8,2%</w:t>
            </w:r>
          </w:p>
        </w:tc>
      </w:tr>
      <w:tr>
        <w:tc>
          <w:tcPr/>
          <w:p>
            <w:pPr>
              <w:pStyle w:val="Compact"/>
              <w:jc w:val="left"/>
            </w:pPr>
            <w:r>
              <w:t xml:space="preserve">Grundschulen unter 90% Impfquote 12</w:t>
            </w:r>
          </w:p>
        </w:tc>
        <w:tc>
          <w:tcPr/>
          <w:p>
            <w:pPr>
              <w:pStyle w:val="Compact"/>
              <w:jc w:val="left"/>
            </w:pPr>
            <w:r>
              <w:t xml:space="preserve">17</w:t>
            </w:r>
          </w:p>
        </w:tc>
        <w:tc>
          <w:tcPr/>
          <w:p>
            <w:pPr>
              <w:pStyle w:val="Compact"/>
              <w:jc w:val="left"/>
            </w:pPr>
            <w:r>
              <w:t xml:space="preserve">23</w:t>
            </w:r>
          </w:p>
        </w:tc>
        <w:tc>
          <w:tcPr/>
          <w:p>
            <w:pPr>
              <w:pStyle w:val="Compact"/>
              <w:jc w:val="left"/>
            </w:pPr>
            <w:r>
              <w:t xml:space="preserve">27</w:t>
            </w:r>
          </w:p>
        </w:tc>
        <w:tc>
          <w:tcPr/>
          <w:p>
            <w:pPr>
              <w:pStyle w:val="Compact"/>
              <w:jc w:val="left"/>
            </w:pPr>
            <w:r>
              <w:t xml:space="preserve">31</w:t>
            </w:r>
          </w:p>
        </w:tc>
        <w:tc>
          <w:tcPr/>
          <w:p>
            <w:pPr>
              <w:pStyle w:val="Compact"/>
            </w:pPr>
          </w:p>
        </w:tc>
      </w:tr>
      <w:tr>
        <w:tc>
          <w:tcPr/>
          <w:p>
            <w:pPr>
              <w:pStyle w:val="Compact"/>
              <w:jc w:val="left"/>
            </w:pPr>
            <w:r>
              <w:t xml:space="preserve">Grundschulen unter 85% Impfquote 2</w:t>
            </w:r>
          </w:p>
        </w:tc>
        <w:tc>
          <w:tcPr/>
          <w:p>
            <w:pPr>
              <w:pStyle w:val="Compact"/>
              <w:jc w:val="left"/>
            </w:pPr>
            <w:r>
              <w:t xml:space="preserve">4</w:t>
            </w:r>
          </w:p>
        </w:tc>
        <w:tc>
          <w:tcPr/>
          <w:p>
            <w:pPr>
              <w:pStyle w:val="Compact"/>
              <w:jc w:val="left"/>
            </w:pPr>
            <w:r>
              <w:t xml:space="preserve">6</w:t>
            </w:r>
          </w:p>
        </w:tc>
        <w:tc>
          <w:tcPr/>
          <w:p>
            <w:pPr>
              <w:pStyle w:val="Compact"/>
              <w:jc w:val="left"/>
            </w:pPr>
            <w:r>
              <w:t xml:space="preserve">8</w:t>
            </w:r>
          </w:p>
        </w:tc>
        <w:tc>
          <w:tcPr/>
          <w:p>
            <w:pPr>
              <w:pStyle w:val="Compact"/>
              <w:jc w:val="left"/>
            </w:pPr>
            <w:r>
              <w:t xml:space="preserve">9</w:t>
            </w:r>
          </w:p>
        </w:tc>
        <w:tc>
          <w:tcPr/>
          <w:p>
            <w:pPr>
              <w:pStyle w:val="Compact"/>
            </w:pPr>
          </w:p>
        </w:tc>
      </w:tr>
      <w:tr>
        <w:tc>
          <w:tcPr/>
          <w:p>
            <w:pPr>
              <w:pStyle w:val="Compact"/>
              <w:jc w:val="left"/>
            </w:pPr>
            <w:r>
              <w:t xml:space="preserve">MMR-Dosen, verabreicht durch Landkreisklin</w:t>
            </w:r>
          </w:p>
        </w:tc>
        <w:tc>
          <w:tcPr/>
          <w:p>
            <w:pPr>
              <w:pStyle w:val="Compact"/>
              <w:jc w:val="left"/>
            </w:pPr>
            <w:r>
              <w:t xml:space="preserve">iken 3.</w:t>
            </w:r>
          </w:p>
        </w:tc>
        <w:tc>
          <w:tcPr/>
          <w:p>
            <w:pPr>
              <w:pStyle w:val="Compact"/>
              <w:jc w:val="left"/>
            </w:pPr>
            <w:r>
              <w:t xml:space="preserve">420 3.</w:t>
            </w:r>
          </w:p>
        </w:tc>
        <w:tc>
          <w:tcPr/>
          <w:p>
            <w:pPr>
              <w:pStyle w:val="Compact"/>
              <w:jc w:val="left"/>
            </w:pPr>
            <w:r>
              <w:t xml:space="preserve">180 2.</w:t>
            </w:r>
          </w:p>
        </w:tc>
        <w:tc>
          <w:tcPr/>
          <w:p>
            <w:pPr>
              <w:pStyle w:val="Compact"/>
              <w:jc w:val="left"/>
            </w:pPr>
            <w:r>
              <w:t xml:space="preserve">960 3.</w:t>
            </w:r>
          </w:p>
        </w:tc>
        <w:tc>
          <w:tcPr/>
          <w:p>
            <w:pPr>
              <w:pStyle w:val="Compact"/>
              <w:jc w:val="left"/>
            </w:pPr>
            <w:r>
              <w:t xml:space="preserve">610 2.740</w:t>
            </w:r>
          </w:p>
        </w:tc>
      </w:tr>
    </w:tbl>
    <w:bookmarkEnd w:id="21"/>
    <w:bookmarkStart w:id="22" w:name="Xd68aff2626cafe79535d0f27c9bfe5995240e42"/>
    <w:p>
      <w:pPr>
        <w:pStyle w:val="Heading1"/>
      </w:pPr>
      <w:r>
        <w:t xml:space="preserve">Exhibit 2. Vom Landkreisdurchschnitt verborgene Variation</w:t>
      </w:r>
    </w:p>
    <w:tbl>
      <w:tblPr>
        <w:tblStyle w:val="Table"/>
        <w:tblW w:type="pct" w:w="4925"/>
        <w:tblLayout w:type="fixed"/>
        <w:tblLook w:firstRow="1" w:lastRow="0" w:firstColumn="0" w:lastColumn="0" w:noHBand="0" w:noVBand="0" w:val="0020"/>
      </w:tblPr>
      <w:tblGrid>
        <w:gridCol w:w="1773"/>
        <w:gridCol w:w="650"/>
        <w:gridCol w:w="1536"/>
        <w:gridCol w:w="1004"/>
        <w:gridCol w:w="1063"/>
        <w:gridCol w:w="1773"/>
      </w:tblGrid>
      <w:tr>
        <w:trPr>
          <w:tblHeader w:val="on"/>
        </w:trPr>
        <w:tc>
          <w:tcPr/>
          <w:p>
            <w:pPr>
              <w:pStyle w:val="Compact"/>
            </w:pPr>
            <w:r>
              <w:t xml:space="preserve">Schul-Cluster S</w:t>
            </w:r>
          </w:p>
        </w:tc>
        <w:tc>
          <w:tcPr/>
          <w:p>
            <w:pPr>
              <w:pStyle w:val="Compact"/>
            </w:pPr>
            <w:r>
              <w:t xml:space="preserve">chüler Do</w:t>
            </w:r>
          </w:p>
        </w:tc>
        <w:tc>
          <w:tcPr/>
          <w:p>
            <w:pPr>
              <w:pStyle w:val="Compact"/>
            </w:pPr>
            <w:r>
              <w:t xml:space="preserve">kumentierte MMR-Impfquote</w:t>
            </w:r>
          </w:p>
        </w:tc>
        <w:tc>
          <w:tcPr/>
          <w:p>
            <w:pPr>
              <w:pStyle w:val="Compact"/>
              <w:jc w:val="right"/>
            </w:pPr>
            <w:r>
              <w:t xml:space="preserve">Befreiungsquote</w:t>
            </w:r>
          </w:p>
        </w:tc>
        <w:tc>
          <w:tcPr/>
          <w:p>
            <w:pPr>
              <w:pStyle w:val="Compact"/>
              <w:jc w:val="right"/>
            </w:pPr>
            <w:r>
              <w:t xml:space="preserve">Fehlende Unterl</w:t>
            </w:r>
          </w:p>
        </w:tc>
        <w:tc>
          <w:tcPr/>
          <w:p>
            <w:pPr>
              <w:pStyle w:val="Compact"/>
              <w:jc w:val="left"/>
            </w:pPr>
            <w:r>
              <w:t xml:space="preserve">agen Zugangsindikator</w:t>
            </w:r>
          </w:p>
        </w:tc>
      </w:tr>
      <w:tr>
        <w:tc>
          <w:tcPr/>
          <w:p>
            <w:pPr>
              <w:pStyle w:val="Compact"/>
            </w:pPr>
            <w:r>
              <w:t xml:space="preserve">Coastal North</w:t>
            </w:r>
          </w:p>
        </w:tc>
        <w:tc>
          <w:tcPr/>
          <w:p>
            <w:pPr>
              <w:pStyle w:val="Compact"/>
            </w:pPr>
            <w:r>
              <w:t xml:space="preserve">8.420</w:t>
            </w:r>
          </w:p>
        </w:tc>
        <w:tc>
          <w:tcPr/>
          <w:p>
            <w:pPr>
              <w:pStyle w:val="Compact"/>
            </w:pPr>
            <w:r>
              <w:t xml:space="preserve">96,4%</w:t>
            </w:r>
          </w:p>
        </w:tc>
        <w:tc>
          <w:tcPr/>
          <w:p>
            <w:pPr>
              <w:pStyle w:val="Compact"/>
              <w:jc w:val="right"/>
            </w:pPr>
            <w:r>
              <w:t xml:space="preserve">1,2%</w:t>
            </w:r>
          </w:p>
        </w:tc>
        <w:tc>
          <w:tcPr/>
          <w:p>
            <w:pPr>
              <w:pStyle w:val="Compact"/>
              <w:jc w:val="right"/>
            </w:pPr>
            <w:r>
              <w:t xml:space="preserve">2,4%</w:t>
            </w:r>
          </w:p>
        </w:tc>
        <w:tc>
          <w:tcPr/>
          <w:p>
            <w:pPr>
              <w:pStyle w:val="Compact"/>
              <w:jc w:val="left"/>
            </w:pPr>
            <w:r>
              <w:t xml:space="preserve">Hohe Anbieterdichte</w:t>
            </w:r>
          </w:p>
        </w:tc>
      </w:tr>
      <w:tr>
        <w:tc>
          <w:tcPr/>
          <w:p>
            <w:pPr>
              <w:pStyle w:val="Compact"/>
            </w:pPr>
            <w:r>
              <w:t xml:space="preserve">Central City</w:t>
            </w:r>
          </w:p>
        </w:tc>
        <w:tc>
          <w:tcPr/>
          <w:p>
            <w:pPr>
              <w:pStyle w:val="Compact"/>
            </w:pPr>
            <w:r>
              <w:t xml:space="preserve">11.760</w:t>
            </w:r>
          </w:p>
        </w:tc>
        <w:tc>
          <w:tcPr/>
          <w:p>
            <w:pPr>
              <w:pStyle w:val="Compact"/>
            </w:pPr>
            <w:r>
              <w:t xml:space="preserve">90,7%</w:t>
            </w:r>
          </w:p>
        </w:tc>
        <w:tc>
          <w:tcPr/>
          <w:p>
            <w:pPr>
              <w:pStyle w:val="Compact"/>
              <w:jc w:val="right"/>
            </w:pPr>
            <w:r>
              <w:t xml:space="preserve">2,1%</w:t>
            </w:r>
          </w:p>
        </w:tc>
        <w:tc>
          <w:tcPr/>
          <w:p>
            <w:pPr>
              <w:pStyle w:val="Compact"/>
              <w:jc w:val="right"/>
            </w:pPr>
            <w:r>
              <w:t xml:space="preserve">7,2%</w:t>
            </w:r>
          </w:p>
        </w:tc>
        <w:tc>
          <w:tcPr/>
          <w:p>
            <w:pPr>
              <w:pStyle w:val="Compact"/>
              <w:jc w:val="left"/>
            </w:pPr>
            <w:r>
              <w:t xml:space="preserve">Hohe Mobilität; mehrsprachig</w:t>
            </w:r>
          </w:p>
        </w:tc>
      </w:tr>
      <w:tr>
        <w:tc>
          <w:tcPr/>
          <w:p>
            <w:pPr>
              <w:pStyle w:val="Compact"/>
            </w:pPr>
            <w:r>
              <w:t xml:space="preserve">Inland Rural</w:t>
            </w:r>
          </w:p>
        </w:tc>
        <w:tc>
          <w:tcPr/>
          <w:p>
            <w:pPr>
              <w:pStyle w:val="Compact"/>
            </w:pPr>
            <w:r>
              <w:t xml:space="preserve">6.180</w:t>
            </w:r>
          </w:p>
        </w:tc>
        <w:tc>
          <w:tcPr/>
          <w:p>
            <w:pPr>
              <w:pStyle w:val="Compact"/>
            </w:pPr>
            <w:r>
              <w:t xml:space="preserve">88,9%</w:t>
            </w:r>
          </w:p>
        </w:tc>
        <w:tc>
          <w:tcPr/>
          <w:p>
            <w:pPr>
              <w:pStyle w:val="Compact"/>
              <w:jc w:val="right"/>
            </w:pPr>
            <w:r>
              <w:t xml:space="preserve">3,4%</w:t>
            </w:r>
          </w:p>
        </w:tc>
        <w:tc>
          <w:tcPr/>
          <w:p>
            <w:pPr>
              <w:pStyle w:val="Compact"/>
              <w:jc w:val="right"/>
            </w:pPr>
            <w:r>
              <w:t xml:space="preserve">7,7%</w:t>
            </w:r>
          </w:p>
        </w:tc>
        <w:tc>
          <w:tcPr/>
          <w:p>
            <w:pPr>
              <w:pStyle w:val="Compact"/>
              <w:jc w:val="left"/>
            </w:pPr>
            <w:r>
              <w:t xml:space="preserve">Wenige Abend-/Wochenendkliniken</w:t>
            </w:r>
          </w:p>
        </w:tc>
      </w:tr>
      <w:tr>
        <w:tc>
          <w:tcPr/>
          <w:p>
            <w:pPr>
              <w:pStyle w:val="Compact"/>
            </w:pPr>
            <w:r>
              <w:t xml:space="preserve">West Suburban</w:t>
            </w:r>
          </w:p>
        </w:tc>
        <w:tc>
          <w:tcPr/>
          <w:p>
            <w:pPr>
              <w:pStyle w:val="Compact"/>
            </w:pPr>
            <w:r>
              <w:t xml:space="preserve">9.540</w:t>
            </w:r>
          </w:p>
        </w:tc>
        <w:tc>
          <w:tcPr/>
          <w:p>
            <w:pPr>
              <w:pStyle w:val="Compact"/>
            </w:pPr>
            <w:r>
              <w:t xml:space="preserve">93,6%</w:t>
            </w:r>
          </w:p>
        </w:tc>
        <w:tc>
          <w:tcPr/>
          <w:p>
            <w:pPr>
              <w:pStyle w:val="Compact"/>
              <w:jc w:val="right"/>
            </w:pPr>
            <w:r>
              <w:t xml:space="preserve">4,8%</w:t>
            </w:r>
          </w:p>
        </w:tc>
        <w:tc>
          <w:tcPr/>
          <w:p>
            <w:pPr>
              <w:pStyle w:val="Compact"/>
              <w:jc w:val="right"/>
            </w:pPr>
            <w:r>
              <w:t xml:space="preserve">1,6%</w:t>
            </w:r>
          </w:p>
        </w:tc>
        <w:tc>
          <w:tcPr/>
          <w:p>
            <w:pPr>
              <w:pStyle w:val="Compact"/>
              <w:jc w:val="left"/>
            </w:pPr>
            <w:r>
              <w:t xml:space="preserve">Hohe Anbieterdichte</w:t>
            </w:r>
          </w:p>
        </w:tc>
      </w:tr>
      <w:tr>
        <w:tc>
          <w:tcPr/>
          <w:p>
            <w:pPr>
              <w:pStyle w:val="Compact"/>
            </w:pPr>
            <w:r>
              <w:t xml:space="preserve">Unabhängige/Privatschulen 4.</w:t>
            </w:r>
          </w:p>
        </w:tc>
        <w:tc>
          <w:tcPr/>
          <w:p>
            <w:pPr>
              <w:pStyle w:val="Compact"/>
            </w:pPr>
            <w:r>
              <w:t xml:space="preserve">330 84</w:t>
            </w:r>
          </w:p>
        </w:tc>
        <w:tc>
          <w:tcPr/>
          <w:p>
            <w:pPr>
              <w:pStyle w:val="Compact"/>
            </w:pPr>
            <w:r>
              <w:t xml:space="preserve">,7% 11</w:t>
            </w:r>
          </w:p>
        </w:tc>
        <w:tc>
          <w:tcPr/>
          <w:p>
            <w:pPr>
              <w:pStyle w:val="Compact"/>
              <w:jc w:val="right"/>
            </w:pPr>
            <w:r>
              <w:t xml:space="preserve">,2% 4,</w:t>
            </w:r>
          </w:p>
        </w:tc>
        <w:tc>
          <w:tcPr/>
          <w:p>
            <w:pPr>
              <w:pStyle w:val="Compact"/>
              <w:jc w:val="right"/>
            </w:pPr>
            <w:r>
              <w:t xml:space="preserve">1% Ri</w:t>
            </w:r>
          </w:p>
        </w:tc>
        <w:tc>
          <w:tcPr/>
          <w:p>
            <w:pPr>
              <w:pStyle w:val="Compact"/>
              <w:jc w:val="left"/>
            </w:pPr>
            <w:r>
              <w:t xml:space="preserve">chtlinien und Vertrauen variieren</w:t>
            </w:r>
          </w:p>
        </w:tc>
      </w:tr>
      <w:tr>
        <w:tc>
          <w:tcPr/>
          <w:p>
            <w:pPr>
              <w:pStyle w:val="Compact"/>
            </w:pPr>
            <w:r>
              <w:t xml:space="preserve">Landkreisweit</w:t>
            </w:r>
          </w:p>
        </w:tc>
        <w:tc>
          <w:tcPr/>
          <w:p>
            <w:pPr>
              <w:pStyle w:val="Compact"/>
            </w:pPr>
            <w:r>
              <w:t xml:space="preserve">40.230</w:t>
            </w:r>
          </w:p>
        </w:tc>
        <w:tc>
          <w:tcPr/>
          <w:p>
            <w:pPr>
              <w:pStyle w:val="Compact"/>
            </w:pPr>
            <w:r>
              <w:t xml:space="preserve">91,8%</w:t>
            </w:r>
          </w:p>
        </w:tc>
        <w:tc>
          <w:tcPr/>
          <w:p>
            <w:pPr>
              <w:pStyle w:val="Compact"/>
              <w:jc w:val="right"/>
            </w:pPr>
            <w:r>
              <w:t xml:space="preserve">4,4%</w:t>
            </w:r>
          </w:p>
        </w:tc>
        <w:tc>
          <w:tcPr/>
          <w:p>
            <w:pPr>
              <w:pStyle w:val="Compact"/>
              <w:jc w:val="right"/>
            </w:pPr>
            <w:r>
              <w:t xml:space="preserve">3,8%</w:t>
            </w:r>
          </w:p>
        </w:tc>
        <w:tc>
          <w:tcPr/>
          <w:p>
            <w:pPr>
              <w:pStyle w:val="Compact"/>
              <w:jc w:val="left"/>
            </w:pPr>
            <w:r>
              <w:t xml:space="preserve">Durchschnitt verbirgt Clusterbildung</w:t>
            </w:r>
          </w:p>
        </w:tc>
      </w:tr>
    </w:tbl>
    <w:bookmarkEnd w:id="22"/>
    <w:bookmarkStart w:id="23" w:name="diskussionsfragen"/>
    <w:p>
      <w:pPr>
        <w:pStyle w:val="Heading1"/>
      </w:pPr>
      <w:r>
        <w:t xml:space="preserve">Diskussionsfragen</w:t>
      </w:r>
    </w:p>
    <w:p>
      <w:pPr>
        <w:numPr>
          <w:ilvl w:val="0"/>
          <w:numId w:val="1001"/>
        </w:numPr>
      </w:pPr>
      <w:r>
        <w:t xml:space="preserve">Welches Problem soll Patel lösen: eine Exposition eindämmen, einen Ausbruch verhindern, die Impfquote erhöhen, Vertrauen wiederherstellen oder gefährdete Einwohner schützen?</w:t>
      </w:r>
    </w:p>
    <w:p>
      <w:pPr>
        <w:numPr>
          <w:ilvl w:val="0"/>
          <w:numId w:val="1001"/>
        </w:numPr>
      </w:pPr>
      <w:r>
        <w:t xml:space="preserve">Welche Entscheidungen müssen vor dem Treffen um 15:30 Uhr getroffen werden, und welche können von neuen Informationen abhängig gemacht werden?</w:t>
      </w:r>
    </w:p>
    <w:p>
      <w:pPr>
        <w:numPr>
          <w:ilvl w:val="0"/>
          <w:numId w:val="1001"/>
        </w:numPr>
      </w:pPr>
      <w:r>
        <w:t xml:space="preserve">Wie sollte der Landkreis zwischen fehlender Impfung und fehlender Dokumentation unterscheiden? Welchen Wert hat eine Verbesserung der Daten?</w:t>
      </w:r>
    </w:p>
    <w:p>
      <w:pPr>
        <w:numPr>
          <w:ilvl w:val="0"/>
          <w:numId w:val="1001"/>
        </w:numPr>
      </w:pPr>
      <w:r>
        <w:t xml:space="preserve">Welche Leistungskennzahlen sollten die Reaktion bestimmen: Fälle, Sekundärübertragung, Impfquote, verifizierte Akten, verlorene Schultage, Vertrauen, Gerechtigkeit, Kosten oder eine Kombination davon?</w:t>
      </w:r>
    </w:p>
    <w:p>
      <w:pPr>
        <w:numPr>
          <w:ilvl w:val="0"/>
          <w:numId w:val="1001"/>
        </w:numPr>
      </w:pPr>
      <w:r>
        <w:t xml:space="preserve">Wie sollten Ressourcen verteilt werden, wenn niedrige Impfquoten in verschiedenen Gemeinden unterschiedliche Ursachen haben?</w:t>
      </w:r>
    </w:p>
    <w:p>
      <w:pPr>
        <w:numPr>
          <w:ilvl w:val="0"/>
          <w:numId w:val="1001"/>
        </w:numPr>
      </w:pPr>
      <w:r>
        <w:t xml:space="preserve">Welche Kommunikationsstrategie würde nützliche Informationen liefern, ohne Stigmatisierung, Polarisierung oder Selbstzufriedenheit zu verstärken?</w:t>
      </w:r>
    </w:p>
    <w:p>
      <w:pPr>
        <w:numPr>
          <w:ilvl w:val="0"/>
          <w:numId w:val="1001"/>
        </w:numPr>
      </w:pPr>
      <w:r>
        <w:t xml:space="preserve">Erstellen Sie eine 90-Tage-Empfehlung für Patel, einschließlich eines Budgets, von Entscheidungsauslösern und Indikatoren, die eine Ausweitung, Einschränkung oder Änderung der Strategie bewirken würden.</w:t>
      </w:r>
    </w:p>
    <w:bookmarkEnd w:id="23"/>
    <w:bookmarkStart w:id="29" w:name="fragen-zur-entscheidungsrahmung"/>
    <w:p>
      <w:pPr>
        <w:pStyle w:val="Heading1"/>
      </w:pPr>
      <w:r>
        <w:t xml:space="preserve">Fragen zur Entscheidungsrahmung</w:t>
      </w:r>
    </w:p>
    <w:p>
      <w:pPr>
        <w:numPr>
          <w:ilvl w:val="0"/>
          <w:numId w:val="1002"/>
        </w:numPr>
      </w:pPr>
      <w:r>
        <w:t xml:space="preserve">Identifizieren und beschreiben Sie die Verantwortlichkeiten der Entscheidungsträgerin. Dies soll den Umfang des Problems festlegen.</w:t>
      </w:r>
    </w:p>
    <w:p>
      <w:pPr>
        <w:numPr>
          <w:ilvl w:val="0"/>
          <w:numId w:val="1002"/>
        </w:numPr>
      </w:pPr>
      <w:r>
        <w:t xml:space="preserve">Verwenden Sie das</w:t>
      </w:r>
      <w:r>
        <w:t xml:space="preserve"> </w:t>
      </w:r>
      <w:hyperlink r:id="rId24">
        <w:r>
          <w:rPr>
            <w:rStyle w:val="Hyperlink"/>
          </w:rPr>
          <w:t xml:space="preserve">Metrik-Pyramiden-Tool</w:t>
        </w:r>
      </w:hyperlink>
      <w:r>
        <w:t xml:space="preserve">, um die verschiedenen Leistungskennzahlen zu identifizieren und zu priorisieren. Klicken Sie auf das Oval, das die Kennzahl enthält, um festzulegen, ob es sich um eine zu maximierende Kennzahl (grün), eine zu minimierende Kennzahl (rot), einen Zielwert, der eine Untergrenze darstellt (hellgrün), oder eine Obergrenze (hellrot), oder schließlich um einen Zielwert (violett) handelt.</w:t>
      </w:r>
    </w:p>
    <w:p>
      <w:pPr>
        <w:numPr>
          <w:ilvl w:val="0"/>
          <w:numId w:val="1002"/>
        </w:numPr>
      </w:pPr>
      <w:r>
        <w:t xml:space="preserve">Verwenden Sie das</w:t>
      </w:r>
      <w:r>
        <w:t xml:space="preserve"> </w:t>
      </w:r>
      <w:hyperlink r:id="rId25">
        <w:r>
          <w:rPr>
            <w:rStyle w:val="Hyperlink"/>
          </w:rPr>
          <w:t xml:space="preserve">Entscheidungspriorisierungs-Tool</w:t>
        </w:r>
      </w:hyperlink>
      <w:r>
        <w:t xml:space="preserve">, um zunächst die verschiedenen Arten von Entscheidungen aufzulisten (nutzen Sie die</w:t>
      </w:r>
      <w:r>
        <w:t xml:space="preserve"> </w:t>
      </w:r>
      <w:hyperlink r:id="rId26">
        <w:r>
          <w:rPr>
            <w:rStyle w:val="Hyperlink"/>
          </w:rPr>
          <w:t xml:space="preserve">Entscheidungsarten</w:t>
        </w:r>
      </w:hyperlink>
      <w:r>
        <w:t xml:space="preserve"> </w:t>
      </w:r>
      <w:r>
        <w:t xml:space="preserve">als Orientierung). Diese füllen dann die Zeilen der Matrix rechts, wobei die Spalten die Leistungskennzahlen sind, sortiert von links nach rechts nach der Priorität in der obigen Pyramide. Klicken Sie auf jede Zelle, um anzugeben, ob die Auswirkung der Entscheidung auf jede Kennzahl hoch (rot), mittel (orange), niedrig (gelb) oder nicht vorhanden (weiß) ist.</w:t>
      </w:r>
    </w:p>
    <w:p>
      <w:pPr>
        <w:numPr>
          <w:ilvl w:val="0"/>
          <w:numId w:val="1002"/>
        </w:numPr>
      </w:pPr>
      <w:r>
        <w:t xml:space="preserve">Sie können den Griff (drei Balken) ganz links in jeder Zeile fassen, um sie nach oben oder unten zu verschieben. Sortieren Sie die Zeilen so, dass die Entscheidungen mit dem größten Einfluss auf die wichtigsten Kennzahlen weiter oben stehen. Die Zellen in der oberen linken Ecke sollten die größte Konzentration an roten und orangefarbenen Zellen aufweisen. Identifizieren Sie an dieser Stelle die Entscheidungen, die in Ihrer Studie die meiste Aufmerksamkeit erhalten sollten. Wenn Sie keine Entscheidungen mit mittlerem oder hohem Einfluss auf die wichtigsten Kennzahlen haben, überarbeiten Sie Ihre Liste von Entscheidungen.</w:t>
      </w:r>
    </w:p>
    <w:p>
      <w:pPr>
        <w:numPr>
          <w:ilvl w:val="0"/>
          <w:numId w:val="1002"/>
        </w:numPr>
      </w:pPr>
      <w:r>
        <w:t xml:space="preserve">Wiederholen Sie den Prozess, um die Unsicherheiten mithilfe des</w:t>
      </w:r>
      <w:r>
        <w:t xml:space="preserve"> </w:t>
      </w:r>
      <w:hyperlink r:id="rId27">
        <w:r>
          <w:rPr>
            <w:rStyle w:val="Hyperlink"/>
          </w:rPr>
          <w:t xml:space="preserve">Unsicherheitspriorisierungs-Tools</w:t>
        </w:r>
      </w:hyperlink>
      <w:r>
        <w:t xml:space="preserve"> </w:t>
      </w:r>
      <w:r>
        <w:t xml:space="preserve">aufzulisten und zu priorisieren. Nutzen Sie die</w:t>
      </w:r>
      <w:r>
        <w:t xml:space="preserve"> </w:t>
      </w:r>
      <w:hyperlink r:id="rId28">
        <w:r>
          <w:rPr>
            <w:rStyle w:val="Hyperlink"/>
          </w:rPr>
          <w:t xml:space="preserve">Kategorien der Unsicherheit</w:t>
        </w:r>
      </w:hyperlink>
      <w:r>
        <w:t xml:space="preserve">, um diese zu identifizieren.</w:t>
      </w:r>
    </w:p>
    <w:p>
      <w:pPr>
        <w:numPr>
          <w:ilvl w:val="0"/>
          <w:numId w:val="1002"/>
        </w:numPr>
      </w:pPr>
      <w:r>
        <w:t xml:space="preserve">Es ist wichtig, Unsicherheiten zu unterscheiden, die im Durchschnitt oder als Risikoereignisse bewertet werden können:</w:t>
      </w:r>
    </w:p>
    <w:p>
      <w:pPr>
        <w:numPr>
          <w:ilvl w:val="1"/>
          <w:numId w:val="1003"/>
        </w:numPr>
      </w:pPr>
      <w:r>
        <w:t xml:space="preserve">Welche Unsicherheitsquellen würden durch die durchschnittliche Leistung über die Zeit erfasst?</w:t>
      </w:r>
    </w:p>
    <w:p>
      <w:pPr>
        <w:numPr>
          <w:ilvl w:val="1"/>
          <w:numId w:val="1003"/>
        </w:numPr>
      </w:pPr>
      <w:r>
        <w:t xml:space="preserve">Welche Unsicherheitsquellen stellen Formen von Risiko dar, die durch Durchschnittswerte nicht angemessen erfasst werden?</w:t>
      </w:r>
    </w:p>
    <w:p>
      <w:pPr>
        <w:numPr>
          <w:ilvl w:val="0"/>
          <w:numId w:val="1002"/>
        </w:numPr>
      </w:pPr>
      <w:r>
        <w:t xml:space="preserve">Wählen Sie die einzelne Entscheidung aus, die den größten Einfluss auf die wichtigste Kennzahl zu haben scheint.</w:t>
      </w:r>
    </w:p>
    <w:p>
      <w:pPr>
        <w:numPr>
          <w:ilvl w:val="1"/>
          <w:numId w:val="1004"/>
        </w:numPr>
      </w:pPr>
      <w:r>
        <w:t xml:space="preserve">Welchen Ansatz würden Sie Ihrer Meinung nach verwenden, um diese Entscheidung zu treffen?</w:t>
      </w:r>
    </w:p>
    <w:p>
      <w:pPr>
        <w:numPr>
          <w:ilvl w:val="1"/>
          <w:numId w:val="1004"/>
        </w:numPr>
      </w:pPr>
      <w:r>
        <w:t xml:space="preserve">Welche Daten scheinen notwendig zu sein, um diese Entscheidung zu treffen, einschließlich der Berechnung etwaiger Leistungskennzahlen, auf die die Entscheidung einen hohen oder mittleren Einfluss hätte.</w:t>
      </w:r>
    </w:p>
    <w:p>
      <w:pPr>
        <w:numPr>
          <w:ilvl w:val="0"/>
          <w:numId w:val="1002"/>
        </w:numPr>
      </w:pPr>
      <w:r>
        <w:t xml:space="preserve">Identifizieren Sie unter Verwendung derselben Entscheidung, die Sie in (7) identifiziert haben, die Personen, Abteilungen, Gruppen oder Organisationen, mit denen Sie zusammenarbeiten müssten, um die Entscheidung umzusetzen.</w:t>
      </w:r>
    </w:p>
    <w:bookmarkEnd w:id="29"/>
    <w:bookmarkStart w:id="30" w:name="quellen-und-anmerkungen"/>
    <w:p>
      <w:pPr>
        <w:pStyle w:val="Heading1"/>
      </w:pPr>
      <w:r>
        <w:t xml:space="preserve">Quellen und Anmerkungen</w:t>
      </w:r>
    </w:p>
    <w:p>
      <w:pPr>
        <w:pStyle w:val="FirstParagraph"/>
      </w:pPr>
      <w:r>
        <w:t xml:space="preserve">1. CDC,</w:t>
      </w:r>
      <w:r>
        <w:t xml:space="preserve"> </w:t>
      </w:r>
      <w:r>
        <w:t xml:space="preserve">“Measles Cases and Outbreaks,”</w:t>
      </w:r>
      <w:r>
        <w:t xml:space="preserve"> </w:t>
      </w:r>
      <w:r>
        <w:t xml:space="preserve">aktualisiert am 24. Juli 2026. Zum 23. Juli 2026 hatten die Vereinigten Staaten 2.318 bestätigte Fälle gemeldet; 93% standen mit Ausbrüchen in Verbindung. Die Seite berichtet außerdem von 2.289 Fällen im Jahr 2025 und 285 im Jahr 2024 und stellt fest, dass Gemeinschaftsimmunität im Allgemeinen eine Impfquote von über 95% erfordert.</w:t>
      </w:r>
    </w:p>
    <w:p>
      <w:pPr>
        <w:pStyle w:val="BodyText"/>
      </w:pPr>
      <w:r>
        <w:t xml:space="preserve">2. CDC,</w:t>
      </w:r>
      <w:r>
        <w:t xml:space="preserve"> </w:t>
      </w:r>
      <w:r>
        <w:t xml:space="preserve">“Measles Symptoms and Complications,”</w:t>
      </w:r>
      <w:r>
        <w:t xml:space="preserve"> </w:t>
      </w:r>
      <w:r>
        <w:t xml:space="preserve">29. April 2026. Symptome beginnen im Allgemeinen 7–14 Tage nach der Infektion; etwa jeder fünfte ungeimpfte US-Patient wird ins Krankenhaus eingeliefert, bis zu einem von zwanzig Kindern entwickelt eine Lungenentzündung, und etwa einer von tausend entwickelt eine Enzephalitis.</w:t>
      </w:r>
    </w:p>
    <w:p>
      <w:pPr>
        <w:pStyle w:val="BodyText"/>
      </w:pPr>
      <w:r>
        <w:t xml:space="preserve">3. CDC,</w:t>
      </w:r>
      <w:r>
        <w:t xml:space="preserve"> </w:t>
      </w:r>
      <w:r>
        <w:t xml:space="preserve">“Measles Vaccination,”</w:t>
      </w:r>
      <w:r>
        <w:t xml:space="preserve"> </w:t>
      </w:r>
      <w:r>
        <w:t xml:space="preserve">29. April 2026. Die CDC empfiehlt zwei MMR-Dosen für Kinder, normalerweise im Alter von 12–15 Monaten und 4–6 Jahren; MMR innerhalb von 72 Stunden nach Exposition und Immunglobulin innerhalb von sechs Tagen können unter geeigneten Umständen postexpositionellen Schutz bieten.</w:t>
      </w:r>
    </w:p>
    <w:p>
      <w:pPr>
        <w:pStyle w:val="BodyText"/>
      </w:pPr>
      <w:r>
        <w:t xml:space="preserve">4. CDC SchoolVaxView,</w:t>
      </w:r>
      <w:r>
        <w:t xml:space="preserve"> </w:t>
      </w:r>
      <w:r>
        <w:t xml:space="preserve">“Vaccination Coverage and Exemptions among Kindergartners,”</w:t>
      </w:r>
      <w:r>
        <w:t xml:space="preserve"> </w:t>
      </w:r>
      <w:r>
        <w:t xml:space="preserve">31. Juli 2025. Die nationale MMR-Impfquote lag 2024–2025 bei 92,5%; etwa 286.000 Kindergartenkinder hatten keine Dokumentation einer vollständigen MMR-Impfserie; Befreiungen von einer oder mehreren Impfungen erreichten 3,6%, wobei siebzehn Bundesstaaten über 5% lagen.</w:t>
      </w:r>
    </w:p>
    <w:bookmarkEnd w:id="30"/>
    <w:bookmarkStart w:id="33" w:name="chatgpt-notizen"/>
    <w:p>
      <w:pPr>
        <w:pStyle w:val="Heading1"/>
      </w:pPr>
      <w:r>
        <w:t xml:space="preserve">ChatGPT-Notizen:</w:t>
      </w:r>
    </w:p>
    <w:bookmarkStart w:id="31" w:name="prompt"/>
    <w:p>
      <w:pPr>
        <w:pStyle w:val="Heading2"/>
      </w:pPr>
      <w:r>
        <w:t xml:space="preserve">Prompt</w:t>
      </w:r>
    </w:p>
    <w:p>
      <w:pPr>
        <w:pStyle w:val="FirstParagraph"/>
      </w:pPr>
      <w:r>
        <w:t xml:space="preserve">Erstellen Sie im Stil einer Business-Fallstudie eine Fallstudie zu einem Problem der öffentlichen Gesundheit, gestützt durch Statistiken. Sie sollte 3 bis 5 Seiten in einem Word-Dokument umfassen, gut strukturiert sein, jedoch ohne eine klare Vorstellung davon, wie das Problem zu lösen ist.</w:t>
      </w:r>
    </w:p>
    <w:bookmarkEnd w:id="31"/>
    <w:bookmarkStart w:id="32" w:name="zusammenfassung"/>
    <w:p>
      <w:pPr>
        <w:pStyle w:val="Heading2"/>
      </w:pPr>
      <w:r>
        <w:t xml:space="preserve">Zusammenfassung</w:t>
      </w:r>
    </w:p>
    <w:p>
      <w:pPr>
        <w:pStyle w:val="FirstParagraph"/>
      </w:pPr>
      <w:r>
        <w:t xml:space="preserve">Diese Fallstudie untersucht einen Landkreis, der mit einer bestätigten Masernexposition inmitten sinkender Impfquoten bei Kindern konfrontiert ist. Sie folgt demselben Format wie die frühere Fallstudie, einschließlich widersprüchlicher Ansichten der Interessengruppen, unvollständiger Daten, Budgetbeschränkungen, Interventionsoptionen, quantitativer Exhibits, aktueller CDC-Statistiken und Diskussionsfragen—ohne eine bevorzugte Lösung zu benennen.</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2026-09-11T16:12:05Z</dcterms:created>
  <dcterms:modified xsi:type="dcterms:W3CDTF">2026-09-11T16:12:05Z</dcterms:modified>
</cp:coreProperties>
</file>

<file path=docProps/custom.xml><?xml version="1.0" encoding="utf-8"?>
<Properties xmlns="http://schemas.openxmlformats.org/officeDocument/2006/custom-properties" xmlns:vt="http://schemas.openxmlformats.org/officeDocument/2006/docPropsVTypes"/>
</file>