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Harborview Hotel</w:t>
      </w:r>
    </w:p>
    <w:p>
      <w:pPr>
        <w:pStyle w:val="BodyText"/>
      </w:pPr>
      <w:r>
        <w:t xml:space="preserve">Die Achtwöchige Preisentscheidung</w:t>
      </w:r>
    </w:p>
    <w:p>
      <w:pPr>
        <w:pStyle w:val="BodyText"/>
      </w:pPr>
      <w:r>
        <w:t xml:space="preserve">Dieser Fall ist fiktiv und für die Diskussion im Unterricht gedacht. Namen, Ereignisse, Fonds und interne Kennzahlen sind erfunden, obwohl das Branchenumfeld durch öffentliche Daten motiviert ist.</w:t>
      </w:r>
    </w:p>
    <w:p>
      <w:pPr>
        <w:pStyle w:val="BodyText"/>
      </w:pPr>
      <w:r>
        <w:t xml:space="preserve">Um 8:10 Uhr morgens am Montag, dem 8. September, betrachtete Elena Marquez, General Managerin des Harborview Hotels, zwei Bildschirme, die gegensätzliche Geschichten zu erzählen schienen. Der erste zeigte, dass 71 % der Zimmer des Hotels bereits für die stadtweite Technologiekonferenz sieben Wochen im Voraus reserviert waren. Der zweite zeigte, dass die Reservierungen für die umliegenden Wochenenden deutlich unter der Prognose lagen. Ein Revenue-Management-System empfahl, die Preise für die Konferenznächte sofort anzuheben, mehrere Rabattangebote zu schließen und die Gebote für Online-Werbung zu erhöhen, die auf spät buchende Geschäftsreisende abzielte. Der Vertriebsleiter wollte das Gegenteil: niedrigere Preise lange genug sichtbar halten, um mehr Konferenzgruppen zu gewinnen, und Pakete nutzen, um die schwachen Randnächte zu füllen.</w:t>
      </w:r>
    </w:p>
    <w:p>
      <w:pPr>
        <w:pStyle w:val="BodyText"/>
      </w:pPr>
      <w:r>
        <w:t xml:space="preserve">Die Meinungsverschiedenheit war bedeutsam, weil das Harborview mit 264 Zimmern nur eine Möglichkeit hatte, jedes Zimmer für jede Nacht zu verkaufen. Ein am 24. Oktober leer gebliebenes Zimmer konnte niemals gespeichert und später verkauft werden. Doch ein zu früh für 189 $ verkauftes Zimmer könnte das Hotel daran hindern, einen Geschäftsreisenden anzunehmen, der bereit war, 349 $ zu zahlen. Marquez hatte bis Mittag Zeit, den Preis-, Werbe- und Paketplan des Hotels für die nächsten acht Wochen zu genehmigen.</w:t>
      </w:r>
    </w:p>
    <w:bookmarkStart w:id="9" w:name="das-harborview-und-sein-markt"/>
    <w:p>
      <w:pPr>
        <w:pStyle w:val="Heading1"/>
      </w:pPr>
      <w:r>
        <w:t xml:space="preserve">Das Harborview und Sein Markt</w:t>
      </w:r>
    </w:p>
    <w:p>
      <w:pPr>
        <w:pStyle w:val="FirstParagraph"/>
      </w:pPr>
      <w:r>
        <w:t xml:space="preserve">Das Harborview war ein unabhängiges Hotel der gehobenen Oberklasse in der fiktiven Stadt Port Mason, einem regionalen Geschäftszentrum mit einer Kongresshalle, einem universitären Medizinkomplex, einem Unterhaltungsviertel am Wasser und einem expandierenden Technologiesektor. Das Hotel verfügte über 240 Standardzimmer und 24 Suiten. Zu seinen Einrichtungen gehörten ein Restaurant, eine kleine Club-Lounge, ein Fitnesscenter, Tagungsräume und ein Shuttle zum Flughafen und zu den Büros in der Innenstadt.</w:t>
      </w:r>
    </w:p>
    <w:p>
      <w:pPr>
        <w:pStyle w:val="BodyText"/>
      </w:pPr>
      <w:r>
        <w:t xml:space="preserve">Der Hotelmarkt von Port Mason war schwieriger zu lesen geworden. National sank die US-Hotelauslastung 2025 auf etwa 62,3 %, während die durchschnittliche Tagesrate nur moderat auf etwa 160,54 $ stieg und der Umsatz pro verfügbarem Zimmer auf etwa 100,02 $ zurückging. Die Durchschnittswerte verschleierten deutliche Unterschiede nach Markt, Kundensegment, Saison und Veranstaltungskalender. Im Juli 2025 erreichte beispielsweise die nationale Auslastung 68,2 %, aber einzelne Großmärkte reichten von Mitte 50 bis über 85 %. Die Eigentümer des Harborview mahnten die Manager daher, sich bei der lokalen Preisfestsetzung nicht auf nationale Durchschnittswerte zu verlassen.</w:t>
      </w:r>
    </w:p>
    <w:p>
      <w:pPr>
        <w:pStyle w:val="BodyText"/>
      </w:pPr>
      <w:r>
        <w:t xml:space="preserve">Der Markt von Port Mason umfasste vier große Markenhotels in der Nähe des Kongresszentrums, mehrere Häuser mit eingeschränktem Service und ein wachsendes Angebot an Kurzzeitvermietungen. Preisvergleichs-Websites machten konkurrierende Preise sofort sichtbar. Online-Reisebüros konnten Reservierungen schnell liefern, aber ihre Provisionen minderten den Nettoumsatz des Hotels. Direktreservierungen erzielten eine bessere Wirtschaftlichkeit und mehr Kundeninformationen, erforderten jedoch, dass das Hotel Geld für Suchanzeigen, soziale Medien, E-Mail-Kampagnen und Website-Verbesserungen ausgab.</w:t>
      </w:r>
    </w:p>
    <w:bookmarkEnd w:id="9"/>
    <w:bookmarkStart w:id="11" w:name="Xcfd10608cee9e0e56425161e149d37e4e24de79"/>
    <w:p>
      <w:pPr>
        <w:pStyle w:val="Heading1"/>
      </w:pPr>
      <w:r>
        <w:t xml:space="preserve">Ein Kalender mit Ungleichmäßiger Nachfrage</w:t>
      </w:r>
    </w:p>
    <w:p>
      <w:pPr>
        <w:pStyle w:val="FirstParagraph"/>
      </w:pPr>
      <w:r>
        <w:t xml:space="preserve">Der achtwöchige Planungszeitraum umfasste ein Homecoming-Wochenende der Universität, die dreitägige Technologiekonferenz, einen Marathon am Wasser, zwei hochzeitsstarke Samstage und mehrere ruhige Zeiträume von Sonntag bis Donnerstag. Die Technologiekonferenz sollte 18.000 Teilnehmer nach Port Mason bringen, aber ihre Veranstalter hatten noch keine endgültige Anmeldezahl veröffentlicht. Mehrere Unternehmenskunden hatten Blöcke reserviert, die bis 21 Tage vor Anreise ohne Strafe reduziert werden konnten. Es wurde gemunkelt, dass ein konkurrierendes Hotel 90 Zimmer renoviere, obwohl auf dessen Website noch normale Verfügbarkeit angezeigt wurde.</w:t>
      </w:r>
    </w:p>
    <w:p>
      <w:pPr>
        <w:pStyle w:val="BodyText"/>
      </w:pPr>
      <w:r>
        <w:t xml:space="preserve">Das Harborview nahm Reservierungen bis zu einem Jahr vor Anreise an. Freizeitgäste buchten häufig früh, wenn ihnen erstattungsfähige Tarife angeboten wurden, während Geschäftsreisende oft innerhalb von zwei Wochen vor Anreise buchten. Einige Konferenzteilnehmer reservierten Zimmer in mehreren Hotels und stornierten alle bis auf eines kurz vor der Veranstaltung. Branchendaten zu Vertriebskanälen deuteten darauf hin, dass sich Stornierungen je nach Quelle erheblich unterscheiden konnten; eine aktuelle Branchenanalyse berichtete von Stornierungsraten von etwa 21,8 % für Buchungen über Online-Reisebüros gegenüber 10,6 % für Direktbuchungen im Jahr 2025. Die eigenen Erfahrungen des Harborview variierten stark je nach Veranstaltung und Tarifbeschränkungen.</w:t>
      </w:r>
    </w:p>
    <w:bookmarkStart w:id="10" w:name="Xc09be4158943f8441b1be68086adb4ae56baf58"/>
    <w:p>
      <w:pPr>
        <w:pStyle w:val="Heading2"/>
      </w:pPr>
      <w:r>
        <w:t xml:space="preserve">Exhibit 1. Betriebsergebnisse des Harborview</w:t>
      </w:r>
    </w:p>
    <w:tbl>
      <w:tblPr>
        <w:tblStyle w:val="Table"/>
        <w:tblW w:type="pct" w:w="4932"/>
        <w:tblLayout w:type="fixed"/>
        <w:tblLook w:firstRow="1" w:lastRow="0" w:firstColumn="0" w:lastColumn="0" w:noHBand="0" w:noVBand="0" w:val="0020"/>
      </w:tblPr>
      <w:tblGrid>
        <w:gridCol w:w="2033"/>
        <w:gridCol w:w="856"/>
        <w:gridCol w:w="1337"/>
        <w:gridCol w:w="1016"/>
        <w:gridCol w:w="1444"/>
        <w:gridCol w:w="1123"/>
      </w:tblGrid>
      <w:tr>
        <w:trPr>
          <w:tblHeader w:val="on"/>
        </w:trPr>
        <w:tc>
          <w:tcPr/>
          <w:p>
            <w:pPr>
              <w:pStyle w:val="Compact"/>
              <w:jc w:val="left"/>
            </w:pPr>
            <w:r>
              <w:rPr>
                <w:b/>
                <w:bCs/>
              </w:rPr>
              <w:t xml:space="preserve">Geschäftsjahr</w:t>
            </w:r>
          </w:p>
        </w:tc>
        <w:tc>
          <w:tcPr/>
          <w:p>
            <w:pPr>
              <w:pStyle w:val="Compact"/>
              <w:jc w:val="left"/>
            </w:pPr>
            <w:r>
              <w:rPr>
                <w:b/>
                <w:bCs/>
              </w:rPr>
              <w:t xml:space="preserve">Auslastung</w:t>
            </w:r>
          </w:p>
        </w:tc>
        <w:tc>
          <w:tcPr/>
          <w:p>
            <w:pPr>
              <w:pStyle w:val="Compact"/>
            </w:pPr>
            <w:r>
              <w:t xml:space="preserve">**Durchschnittliche Tages</w:t>
            </w:r>
          </w:p>
        </w:tc>
        <w:tc>
          <w:tcPr/>
          <w:p>
            <w:pPr>
              <w:pStyle w:val="Compact"/>
            </w:pPr>
            <w:r>
              <w:t xml:space="preserve">rate** **Zimmerum</w:t>
            </w:r>
          </w:p>
        </w:tc>
        <w:tc>
          <w:tcPr/>
          <w:p>
            <w:pPr>
              <w:pStyle w:val="Compact"/>
            </w:pPr>
            <w:r>
              <w:t xml:space="preserve">satz** **Anteil Direktbuc</w:t>
            </w:r>
          </w:p>
        </w:tc>
        <w:tc>
          <w:tcPr/>
          <w:p>
            <w:pPr>
              <w:pStyle w:val="Compact"/>
            </w:pPr>
            <w:r>
              <w:t xml:space="preserve">hungen**</w:t>
            </w:r>
            <w:r>
              <w:t xml:space="preserve"> </w:t>
            </w:r>
            <w:r>
              <w:rPr>
                <w:b/>
                <w:bCs/>
              </w:rPr>
              <w:t xml:space="preserve">Abgelehnte Zimmer</w:t>
            </w:r>
          </w:p>
        </w:tc>
      </w:tr>
      <w:tr>
        <w:tc>
          <w:tcPr/>
          <w:p>
            <w:pPr>
              <w:pStyle w:val="Compact"/>
              <w:jc w:val="left"/>
            </w:pPr>
            <w:r>
              <w:t xml:space="preserve">2023</w:t>
            </w:r>
          </w:p>
        </w:tc>
        <w:tc>
          <w:tcPr/>
          <w:p>
            <w:pPr>
              <w:pStyle w:val="Compact"/>
              <w:jc w:val="left"/>
            </w:pPr>
            <w:r>
              <w:t xml:space="preserve">68,4 %</w:t>
            </w:r>
          </w:p>
        </w:tc>
        <w:tc>
          <w:tcPr/>
          <w:p>
            <w:pPr>
              <w:pStyle w:val="Compact"/>
            </w:pPr>
            <w:r>
              <w:t xml:space="preserve">181 $</w:t>
            </w:r>
          </w:p>
        </w:tc>
        <w:tc>
          <w:tcPr/>
          <w:p>
            <w:pPr>
              <w:pStyle w:val="Compact"/>
            </w:pPr>
            <w:r>
              <w:t xml:space="preserve">11,92 Mio. $</w:t>
            </w:r>
          </w:p>
        </w:tc>
        <w:tc>
          <w:tcPr/>
          <w:p>
            <w:pPr>
              <w:pStyle w:val="Compact"/>
            </w:pPr>
            <w:r>
              <w:t xml:space="preserve">43 %</w:t>
            </w:r>
          </w:p>
        </w:tc>
        <w:tc>
          <w:tcPr/>
          <w:p>
            <w:pPr>
              <w:pStyle w:val="Compact"/>
            </w:pPr>
            <w:r>
              <w:t xml:space="preserve">3.740</w:t>
            </w:r>
          </w:p>
        </w:tc>
      </w:tr>
      <w:tr>
        <w:tc>
          <w:tcPr/>
          <w:p>
            <w:pPr>
              <w:pStyle w:val="Compact"/>
              <w:jc w:val="left"/>
            </w:pPr>
            <w:r>
              <w:t xml:space="preserve">2024</w:t>
            </w:r>
          </w:p>
        </w:tc>
        <w:tc>
          <w:tcPr/>
          <w:p>
            <w:pPr>
              <w:pStyle w:val="Compact"/>
              <w:jc w:val="left"/>
            </w:pPr>
            <w:r>
              <w:t xml:space="preserve">70,1 %</w:t>
            </w:r>
          </w:p>
        </w:tc>
        <w:tc>
          <w:tcPr/>
          <w:p>
            <w:pPr>
              <w:pStyle w:val="Compact"/>
            </w:pPr>
            <w:r>
              <w:t xml:space="preserve">188 $</w:t>
            </w:r>
          </w:p>
        </w:tc>
        <w:tc>
          <w:tcPr/>
          <w:p>
            <w:pPr>
              <w:pStyle w:val="Compact"/>
            </w:pPr>
            <w:r>
              <w:t xml:space="preserve">12,72 Mio. $</w:t>
            </w:r>
          </w:p>
        </w:tc>
        <w:tc>
          <w:tcPr/>
          <w:p>
            <w:pPr>
              <w:pStyle w:val="Compact"/>
            </w:pPr>
            <w:r>
              <w:t xml:space="preserve">46 %</w:t>
            </w:r>
          </w:p>
        </w:tc>
        <w:tc>
          <w:tcPr/>
          <w:p>
            <w:pPr>
              <w:pStyle w:val="Compact"/>
            </w:pPr>
            <w:r>
              <w:t xml:space="preserve">4.180</w:t>
            </w:r>
          </w:p>
        </w:tc>
      </w:tr>
      <w:tr>
        <w:tc>
          <w:tcPr/>
          <w:p>
            <w:pPr>
              <w:pStyle w:val="Compact"/>
              <w:jc w:val="left"/>
            </w:pPr>
            <w:r>
              <w:t xml:space="preserve">2025</w:t>
            </w:r>
          </w:p>
        </w:tc>
        <w:tc>
          <w:tcPr/>
          <w:p>
            <w:pPr>
              <w:pStyle w:val="Compact"/>
              <w:jc w:val="left"/>
            </w:pPr>
            <w:r>
              <w:t xml:space="preserve">67,6 %</w:t>
            </w:r>
          </w:p>
        </w:tc>
        <w:tc>
          <w:tcPr/>
          <w:p>
            <w:pPr>
              <w:pStyle w:val="Compact"/>
            </w:pPr>
            <w:r>
              <w:t xml:space="preserve">193 $</w:t>
            </w:r>
          </w:p>
        </w:tc>
        <w:tc>
          <w:tcPr/>
          <w:p>
            <w:pPr>
              <w:pStyle w:val="Compact"/>
            </w:pPr>
            <w:r>
              <w:t xml:space="preserve">12,58 Mio. $</w:t>
            </w:r>
          </w:p>
        </w:tc>
        <w:tc>
          <w:tcPr/>
          <w:p>
            <w:pPr>
              <w:pStyle w:val="Compact"/>
            </w:pPr>
            <w:r>
              <w:t xml:space="preserve">49 %</w:t>
            </w:r>
          </w:p>
        </w:tc>
        <w:tc>
          <w:tcPr/>
          <w:p>
            <w:pPr>
              <w:pStyle w:val="Compact"/>
            </w:pPr>
            <w:r>
              <w:t xml:space="preserve">3.960</w:t>
            </w:r>
          </w:p>
        </w:tc>
      </w:tr>
      <w:tr>
        <w:tc>
          <w:tcPr/>
          <w:p>
            <w:pPr>
              <w:pStyle w:val="Compact"/>
              <w:jc w:val="left"/>
            </w:pPr>
            <w:r>
              <w:t xml:space="preserve">Prognose 2026 vor aktueller Überprüfun</w:t>
            </w:r>
          </w:p>
        </w:tc>
        <w:tc>
          <w:tcPr/>
          <w:p>
            <w:pPr>
              <w:pStyle w:val="Compact"/>
              <w:jc w:val="left"/>
            </w:pPr>
            <w:r>
              <w:t xml:space="preserve">g 69,0 %</w:t>
            </w:r>
          </w:p>
        </w:tc>
        <w:tc>
          <w:tcPr/>
          <w:p>
            <w:pPr>
              <w:pStyle w:val="Compact"/>
            </w:pPr>
            <w:r>
              <w:t xml:space="preserve">198 $</w:t>
            </w:r>
          </w:p>
        </w:tc>
        <w:tc>
          <w:tcPr/>
          <w:p>
            <w:pPr>
              <w:pStyle w:val="Compact"/>
            </w:pPr>
            <w:r>
              <w:t xml:space="preserve">13,18 Mio. $</w:t>
            </w:r>
          </w:p>
        </w:tc>
        <w:tc>
          <w:tcPr/>
          <w:p>
            <w:pPr>
              <w:pStyle w:val="Compact"/>
            </w:pPr>
            <w:r>
              <w:t xml:space="preserve">52 %</w:t>
            </w:r>
          </w:p>
        </w:tc>
        <w:tc>
          <w:tcPr/>
          <w:p>
            <w:pPr>
              <w:pStyle w:val="Compact"/>
            </w:pPr>
            <w:r>
              <w:t xml:space="preserve">4.300</w:t>
            </w:r>
          </w:p>
        </w:tc>
      </w:tr>
    </w:tbl>
    <w:bookmarkEnd w:id="10"/>
    <w:bookmarkEnd w:id="11"/>
    <w:bookmarkStart w:id="13" w:name="die-buchungskurve"/>
    <w:p>
      <w:pPr>
        <w:pStyle w:val="Heading1"/>
      </w:pPr>
      <w:r>
        <w:t xml:space="preserve">Die Buchungskurve</w:t>
      </w:r>
    </w:p>
    <w:p>
      <w:pPr>
        <w:pStyle w:val="FirstParagraph"/>
      </w:pPr>
      <w:r>
        <w:t xml:space="preserve">Revenue-Director Marcus Lee organisierte die Nachfrage nach Aufenthaltsdatum. Jeden Morgen prüfte er, wie viele Zimmer für jede zukünftige Nacht verkauft worden waren, welche Preise mit diesen Buchungen verbunden waren, Stornierungen, Wettbewerbspreise, Werbeergebnisse und die Anzahl der Website-Besucher, die eine Reservierung begannen, aber nicht abschlossen. Für den Konferenzzeitraum lagen die Buchungen vor dem im Vorjahr beobachteten Muster. Für gewöhnliche Wochentage lagen sie zurück.</w:t>
      </w:r>
    </w:p>
    <w:p>
      <w:pPr>
        <w:pStyle w:val="BodyText"/>
      </w:pPr>
      <w:r>
        <w:t xml:space="preserve">Lees System schätzte, dass die Dienstags- und Mittwochsnächte der Konferenz letztlich ausverkauft sein würden. Es empfahl, Zimmer für Kunden zu reservieren, die wahrscheinlich später ankommen und höhere Preise zahlen würden. Bei Montag und Donnerstag war sich das System weniger sicher, da viele Konferenzreisende möglicherweise spät ankommen oder früh abreisen könnten. Eine Entscheidung, die Preise für alle vier Nächte anzuheben, könnte den Umsatz an den Spitzennächten erhöhen, während die Randnächte unterbelegt blieben.</w:t>
      </w:r>
    </w:p>
    <w:bookmarkStart w:id="12" w:name="X0c00bc6ff45b9ac094dd7e1fd93cd1ea73d989c"/>
    <w:p>
      <w:pPr>
        <w:pStyle w:val="Heading2"/>
      </w:pPr>
      <w:r>
        <w:t xml:space="preserve">Exhibit 2. Buchungsbestand, 47 Tage vor Anreise</w:t>
      </w:r>
    </w:p>
    <w:tbl>
      <w:tblPr>
        <w:tblStyle w:val="Table"/>
        <w:tblW w:type="pct" w:w="4945"/>
        <w:tblLayout w:type="fixed"/>
        <w:tblLook w:firstRow="1" w:lastRow="0" w:firstColumn="0" w:lastColumn="0" w:noHBand="0" w:noVBand="0" w:val="0020"/>
      </w:tblPr>
      <w:tblGrid>
        <w:gridCol w:w="1750"/>
        <w:gridCol w:w="918"/>
        <w:gridCol w:w="1137"/>
        <w:gridCol w:w="1750"/>
        <w:gridCol w:w="1268"/>
        <w:gridCol w:w="1006"/>
      </w:tblGrid>
      <w:tr>
        <w:trPr>
          <w:tblHeader w:val="on"/>
        </w:trPr>
        <w:tc>
          <w:tcPr/>
          <w:p>
            <w:pPr>
              <w:pStyle w:val="Compact"/>
              <w:jc w:val="left"/>
            </w:pPr>
            <w:r>
              <w:rPr>
                <w:b/>
                <w:bCs/>
              </w:rPr>
              <w:t xml:space="preserve">Aufenthaltsdatum / Ereignis</w:t>
            </w:r>
          </w:p>
        </w:tc>
        <w:tc>
          <w:tcPr/>
          <w:p>
            <w:pPr>
              <w:pStyle w:val="Compact"/>
              <w:jc w:val="right"/>
            </w:pPr>
            <w:r>
              <w:t xml:space="preserve">**Reservier</w:t>
            </w:r>
          </w:p>
        </w:tc>
        <w:tc>
          <w:tcPr/>
          <w:p>
            <w:pPr>
              <w:pStyle w:val="Compact"/>
            </w:pPr>
            <w:r>
              <w:t xml:space="preserve">te Zimmer** **Aktueller</w:t>
            </w:r>
          </w:p>
        </w:tc>
        <w:tc>
          <w:tcPr/>
          <w:p>
            <w:pPr>
              <w:pStyle w:val="Compact"/>
            </w:pPr>
            <w:r>
              <w:t xml:space="preserve">öffentlicher Preis** **2025 verkaufte</w:t>
            </w:r>
          </w:p>
        </w:tc>
        <w:tc>
          <w:tcPr/>
          <w:p>
            <w:pPr>
              <w:pStyle w:val="Compact"/>
            </w:pPr>
            <w:r>
              <w:t xml:space="preserve">Zimmer bei gleicher Vorlaufze</w:t>
            </w:r>
          </w:p>
        </w:tc>
        <w:tc>
          <w:tcPr/>
          <w:p>
            <w:pPr>
              <w:pStyle w:val="Compact"/>
            </w:pPr>
            <w:r>
              <w:t xml:space="preserve">it**</w:t>
            </w:r>
            <w:r>
              <w:t xml:space="preserve"> </w:t>
            </w:r>
            <w:r>
              <w:rPr>
                <w:b/>
                <w:bCs/>
              </w:rPr>
              <w:t xml:space="preserve">Erwartete Stornierungen</w:t>
            </w:r>
            <w:r>
              <w:t xml:space="preserve"> </w:t>
            </w:r>
            <w:r>
              <w:rPr>
                <w:b/>
                <w:bCs/>
              </w:rPr>
              <w:t xml:space="preserve">Wettbewerber-Preisspanne</w:t>
            </w:r>
          </w:p>
        </w:tc>
      </w:tr>
      <w:tr>
        <w:tc>
          <w:tcPr/>
          <w:p>
            <w:pPr>
              <w:pStyle w:val="Compact"/>
              <w:jc w:val="left"/>
            </w:pPr>
            <w:r>
              <w:t xml:space="preserve">Fr., 17. Okt. – Homecoming</w:t>
            </w:r>
          </w:p>
        </w:tc>
        <w:tc>
          <w:tcPr/>
          <w:p>
            <w:pPr>
              <w:pStyle w:val="Compact"/>
              <w:jc w:val="right"/>
            </w:pPr>
            <w:r>
              <w:t xml:space="preserve">176</w:t>
            </w:r>
          </w:p>
        </w:tc>
        <w:tc>
          <w:tcPr/>
          <w:p>
            <w:pPr>
              <w:pStyle w:val="Compact"/>
            </w:pPr>
            <w:r>
              <w:t xml:space="preserve">239 $</w:t>
            </w:r>
          </w:p>
        </w:tc>
        <w:tc>
          <w:tcPr/>
          <w:p>
            <w:pPr>
              <w:pStyle w:val="Compact"/>
            </w:pPr>
            <w:r>
              <w:t xml:space="preserve">163</w:t>
            </w:r>
          </w:p>
        </w:tc>
        <w:tc>
          <w:tcPr/>
          <w:p>
            <w:pPr>
              <w:pStyle w:val="Compact"/>
            </w:pPr>
            <w:r>
              <w:t xml:space="preserve">14–25</w:t>
            </w:r>
          </w:p>
        </w:tc>
        <w:tc>
          <w:tcPr/>
          <w:p>
            <w:pPr>
              <w:pStyle w:val="Compact"/>
            </w:pPr>
            <w:r>
              <w:t xml:space="preserve">219–279 $</w:t>
            </w:r>
          </w:p>
        </w:tc>
      </w:tr>
      <w:tr>
        <w:tc>
          <w:tcPr/>
          <w:p>
            <w:pPr>
              <w:pStyle w:val="Compact"/>
              <w:jc w:val="left"/>
            </w:pPr>
            <w:r>
              <w:t xml:space="preserve">So., 19. Okt. – Ruhige Nacht</w:t>
            </w:r>
          </w:p>
        </w:tc>
        <w:tc>
          <w:tcPr/>
          <w:p>
            <w:pPr>
              <w:pStyle w:val="Compact"/>
              <w:jc w:val="right"/>
            </w:pPr>
            <w:r>
              <w:t xml:space="preserve">91</w:t>
            </w:r>
          </w:p>
        </w:tc>
        <w:tc>
          <w:tcPr/>
          <w:p>
            <w:pPr>
              <w:pStyle w:val="Compact"/>
            </w:pPr>
            <w:r>
              <w:t xml:space="preserve">169 $</w:t>
            </w:r>
          </w:p>
        </w:tc>
        <w:tc>
          <w:tcPr/>
          <w:p>
            <w:pPr>
              <w:pStyle w:val="Compact"/>
            </w:pPr>
            <w:r>
              <w:t xml:space="preserve">108</w:t>
            </w:r>
          </w:p>
        </w:tc>
        <w:tc>
          <w:tcPr/>
          <w:p>
            <w:pPr>
              <w:pStyle w:val="Compact"/>
            </w:pPr>
            <w:r>
              <w:t xml:space="preserve">7–12</w:t>
            </w:r>
          </w:p>
        </w:tc>
        <w:tc>
          <w:tcPr/>
          <w:p>
            <w:pPr>
              <w:pStyle w:val="Compact"/>
            </w:pPr>
            <w:r>
              <w:t xml:space="preserve">149–189 $</w:t>
            </w:r>
          </w:p>
        </w:tc>
      </w:tr>
      <w:tr>
        <w:tc>
          <w:tcPr/>
          <w:p>
            <w:pPr>
              <w:pStyle w:val="Compact"/>
              <w:jc w:val="left"/>
            </w:pPr>
            <w:r>
              <w:t xml:space="preserve">Mo., 20. Okt. – Konferenzankunft</w:t>
            </w:r>
          </w:p>
        </w:tc>
        <w:tc>
          <w:tcPr/>
          <w:p>
            <w:pPr>
              <w:pStyle w:val="Compact"/>
              <w:jc w:val="right"/>
            </w:pPr>
            <w:r>
              <w:t xml:space="preserve">154</w:t>
            </w:r>
          </w:p>
        </w:tc>
        <w:tc>
          <w:tcPr/>
          <w:p>
            <w:pPr>
              <w:pStyle w:val="Compact"/>
            </w:pPr>
            <w:r>
              <w:t xml:space="preserve">229 $</w:t>
            </w:r>
          </w:p>
        </w:tc>
        <w:tc>
          <w:tcPr/>
          <w:p>
            <w:pPr>
              <w:pStyle w:val="Compact"/>
            </w:pPr>
            <w:r>
              <w:t xml:space="preserve">127</w:t>
            </w:r>
          </w:p>
        </w:tc>
        <w:tc>
          <w:tcPr/>
          <w:p>
            <w:pPr>
              <w:pStyle w:val="Compact"/>
            </w:pPr>
            <w:r>
              <w:t xml:space="preserve">18–31</w:t>
            </w:r>
          </w:p>
        </w:tc>
        <w:tc>
          <w:tcPr/>
          <w:p>
            <w:pPr>
              <w:pStyle w:val="Compact"/>
            </w:pPr>
            <w:r>
              <w:t xml:space="preserve">209–259 $</w:t>
            </w:r>
          </w:p>
        </w:tc>
      </w:tr>
      <w:tr>
        <w:tc>
          <w:tcPr/>
          <w:p>
            <w:pPr>
              <w:pStyle w:val="Compact"/>
              <w:jc w:val="left"/>
            </w:pPr>
            <w:r>
              <w:t xml:space="preserve">Di., 21. Okt. – Konferenz</w:t>
            </w:r>
          </w:p>
        </w:tc>
        <w:tc>
          <w:tcPr/>
          <w:p>
            <w:pPr>
              <w:pStyle w:val="Compact"/>
              <w:jc w:val="right"/>
            </w:pPr>
            <w:r>
              <w:t xml:space="preserve">188</w:t>
            </w:r>
          </w:p>
        </w:tc>
        <w:tc>
          <w:tcPr/>
          <w:p>
            <w:pPr>
              <w:pStyle w:val="Compact"/>
            </w:pPr>
            <w:r>
              <w:t xml:space="preserve">279 $</w:t>
            </w:r>
          </w:p>
        </w:tc>
        <w:tc>
          <w:tcPr/>
          <w:p>
            <w:pPr>
              <w:pStyle w:val="Compact"/>
            </w:pPr>
            <w:r>
              <w:t xml:space="preserve">146</w:t>
            </w:r>
          </w:p>
        </w:tc>
        <w:tc>
          <w:tcPr/>
          <w:p>
            <w:pPr>
              <w:pStyle w:val="Compact"/>
            </w:pPr>
            <w:r>
              <w:t xml:space="preserve">24–43</w:t>
            </w:r>
          </w:p>
        </w:tc>
        <w:tc>
          <w:tcPr/>
          <w:p>
            <w:pPr>
              <w:pStyle w:val="Compact"/>
            </w:pPr>
            <w:r>
              <w:t xml:space="preserve">259–329 $</w:t>
            </w:r>
          </w:p>
        </w:tc>
      </w:tr>
      <w:tr>
        <w:tc>
          <w:tcPr/>
          <w:p>
            <w:pPr>
              <w:pStyle w:val="Compact"/>
              <w:jc w:val="left"/>
            </w:pPr>
            <w:r>
              <w:t xml:space="preserve">Mi., 22. Okt. – Konferenz</w:t>
            </w:r>
          </w:p>
        </w:tc>
        <w:tc>
          <w:tcPr/>
          <w:p>
            <w:pPr>
              <w:pStyle w:val="Compact"/>
              <w:jc w:val="right"/>
            </w:pPr>
            <w:r>
              <w:t xml:space="preserve">192</w:t>
            </w:r>
          </w:p>
        </w:tc>
        <w:tc>
          <w:tcPr/>
          <w:p>
            <w:pPr>
              <w:pStyle w:val="Compact"/>
            </w:pPr>
            <w:r>
              <w:t xml:space="preserve">289 $</w:t>
            </w:r>
          </w:p>
        </w:tc>
        <w:tc>
          <w:tcPr/>
          <w:p>
            <w:pPr>
              <w:pStyle w:val="Compact"/>
            </w:pPr>
            <w:r>
              <w:t xml:space="preserve">151</w:t>
            </w:r>
          </w:p>
        </w:tc>
        <w:tc>
          <w:tcPr/>
          <w:p>
            <w:pPr>
              <w:pStyle w:val="Compact"/>
            </w:pPr>
            <w:r>
              <w:t xml:space="preserve">25–45</w:t>
            </w:r>
          </w:p>
        </w:tc>
        <w:tc>
          <w:tcPr/>
          <w:p>
            <w:pPr>
              <w:pStyle w:val="Compact"/>
            </w:pPr>
            <w:r>
              <w:t xml:space="preserve">269–339 $</w:t>
            </w:r>
          </w:p>
        </w:tc>
      </w:tr>
      <w:tr>
        <w:tc>
          <w:tcPr/>
          <w:p>
            <w:pPr>
              <w:pStyle w:val="Compact"/>
              <w:jc w:val="left"/>
            </w:pPr>
            <w:r>
              <w:t xml:space="preserve">Do., 23. Okt. – Konferenzabreise</w:t>
            </w:r>
          </w:p>
        </w:tc>
        <w:tc>
          <w:tcPr/>
          <w:p>
            <w:pPr>
              <w:pStyle w:val="Compact"/>
              <w:jc w:val="right"/>
            </w:pPr>
            <w:r>
              <w:t xml:space="preserve">139</w:t>
            </w:r>
          </w:p>
        </w:tc>
        <w:tc>
          <w:tcPr/>
          <w:p>
            <w:pPr>
              <w:pStyle w:val="Compact"/>
            </w:pPr>
            <w:r>
              <w:t xml:space="preserve">219 $</w:t>
            </w:r>
          </w:p>
        </w:tc>
        <w:tc>
          <w:tcPr/>
          <w:p>
            <w:pPr>
              <w:pStyle w:val="Compact"/>
            </w:pPr>
            <w:r>
              <w:t xml:space="preserve">118</w:t>
            </w:r>
          </w:p>
        </w:tc>
        <w:tc>
          <w:tcPr/>
          <w:p>
            <w:pPr>
              <w:pStyle w:val="Compact"/>
            </w:pPr>
            <w:r>
              <w:t xml:space="preserve">16–28</w:t>
            </w:r>
          </w:p>
        </w:tc>
        <w:tc>
          <w:tcPr/>
          <w:p>
            <w:pPr>
              <w:pStyle w:val="Compact"/>
            </w:pPr>
            <w:r>
              <w:t xml:space="preserve">199–249 $</w:t>
            </w:r>
          </w:p>
        </w:tc>
      </w:tr>
      <w:tr>
        <w:tc>
          <w:tcPr/>
          <w:p>
            <w:pPr>
              <w:pStyle w:val="Compact"/>
              <w:jc w:val="left"/>
            </w:pPr>
            <w:r>
              <w:t xml:space="preserve">So., 26. Okt. – Ruhige Nacht</w:t>
            </w:r>
          </w:p>
        </w:tc>
        <w:tc>
          <w:tcPr/>
          <w:p>
            <w:pPr>
              <w:pStyle w:val="Compact"/>
              <w:jc w:val="right"/>
            </w:pPr>
            <w:r>
              <w:t xml:space="preserve">72</w:t>
            </w:r>
          </w:p>
        </w:tc>
        <w:tc>
          <w:tcPr/>
          <w:p>
            <w:pPr>
              <w:pStyle w:val="Compact"/>
            </w:pPr>
            <w:r>
              <w:t xml:space="preserve">159 $</w:t>
            </w:r>
          </w:p>
        </w:tc>
        <w:tc>
          <w:tcPr/>
          <w:p>
            <w:pPr>
              <w:pStyle w:val="Compact"/>
            </w:pPr>
            <w:r>
              <w:t xml:space="preserve">99</w:t>
            </w:r>
          </w:p>
        </w:tc>
        <w:tc>
          <w:tcPr/>
          <w:p>
            <w:pPr>
              <w:pStyle w:val="Compact"/>
            </w:pPr>
            <w:r>
              <w:t xml:space="preserve">5–10</w:t>
            </w:r>
          </w:p>
        </w:tc>
        <w:tc>
          <w:tcPr/>
          <w:p>
            <w:pPr>
              <w:pStyle w:val="Compact"/>
            </w:pPr>
            <w:r>
              <w:t xml:space="preserve">139–179 $</w:t>
            </w:r>
          </w:p>
        </w:tc>
      </w:tr>
    </w:tbl>
    <w:bookmarkEnd w:id="12"/>
    <w:bookmarkEnd w:id="13"/>
    <w:bookmarkStart w:id="14" w:name="preise-beschränkungen-und-leistungen"/>
    <w:p>
      <w:pPr>
        <w:pStyle w:val="Heading1"/>
      </w:pPr>
      <w:r>
        <w:t xml:space="preserve">Preise, Beschränkungen und Leistungen</w:t>
      </w:r>
    </w:p>
    <w:p>
      <w:pPr>
        <w:pStyle w:val="FirstParagraph"/>
      </w:pPr>
      <w:r>
        <w:t xml:space="preserve">Das Harborview verkaufte kein homogenes Produkt. Ein Kunde konnte ein flexibles Zimmer, einen niedrigeren nicht erstattungsfähigen Tarif, ein Frühstückspaket, ein Parkpaket, ein Konferenzpaket, eine Suite oder ein Zimmer auf der Club-Etage wählen. Einige Firmenkunden hatten Preisobergrenzen vereinbart. Treuemitglieder erhielten Vorteile bei Direktbuchungen. Das Hotel konnte auch während Spitzenzeiten einen zweinächtigen Aufenthalt vorschreiben, Niedrigpreiskategorien schließen oder die Anzahl der über bestimmte Kanäle vertriebenen Zimmer begrenzen.</w:t>
      </w:r>
    </w:p>
    <w:p>
      <w:pPr>
        <w:pStyle w:val="BodyText"/>
      </w:pPr>
      <w:r>
        <w:t xml:space="preserve">Jede Leistung hatte Kosten und konnte die Konversion beeinflussen. Frühstück kostete das Hotel schätzungsweise 14 $ pro belegtem Zimmer, wurde aber von vielen Gästen mit 25 bis 35 $ bewertet. Parken erzeugte attraktive Margen, wenn Kapazität verfügbar war, doch das Parkhaus füllte sich während Kongressen häufig. Flexible Stornierung förderte frühe Reservierungen, erhöhte aber das Risiko, dass die scheinbare Nachfrage wieder verschwand. Nicht erstattungsfähige Tarife reduzierten das Stornierungsrisiko, drängten Kunden aber manchmal zu Wettbewerbern.</w:t>
      </w:r>
    </w:p>
    <w:p>
      <w:pPr>
        <w:pStyle w:val="BodyText"/>
      </w:pPr>
      <w:r>
        <w:t xml:space="preserve">Vertriebsdirektorin Priya Shah argumentierte, das Ziel des Hotels dürfe nicht auf den höchsten Zimmerpreis reduziert werden. Gruppen brachten Catering-Umsätze, füllten Tagungsräume und konnten in künftigen Jahren wiederkommen. Freizeitpakete erzeugten Restaurant- und Parkausgaben. Ein Hochpreisgast für eine Nacht könnte insgesamt weniger Gewinn beitragen als ein Kunde mit niedrigerem Tarif, der drei Nächte bleibt. Sie befürchtete auch, Kunden zu vertreiben, die sich daran erinnern würden, dass das Harborview unerschwinglich erschienen war.</w:t>
      </w:r>
    </w:p>
    <w:bookmarkEnd w:id="14"/>
    <w:bookmarkStart w:id="16" w:name="X4159934d7fad9dcc11dac5cfc39be6ff546fb90"/>
    <w:p>
      <w:pPr>
        <w:pStyle w:val="Heading1"/>
      </w:pPr>
      <w:r>
        <w:t xml:space="preserve">Werbung für Reservierungen, die Vielleicht Eintreffen</w:t>
      </w:r>
    </w:p>
    <w:p>
      <w:pPr>
        <w:pStyle w:val="FirstParagraph"/>
      </w:pPr>
      <w:r>
        <w:t xml:space="preserve">Das Hotel gab jährlich etwa 1,15 Mio. $ für digitales und traditionelles Marketing aus. Suchmaschinenwerbung war die größte flexible Kategorie. Wenn ein potenzieller Reisender nach Ausdrücken wie „Port Mason Konferenzhotel“ suchte, boten das Harborview und seine Wettbewerber um gesponserte Platzierung. Ein höheres Gebot erhöhte die Wahrscheinlichkeit, dass der Link des Hotels erschien, garantierte aber weder einen Klick noch eine Buchung. Das Hotel zahlte für viele Klicks von Kunden, die Preise verglichen und anderswo reservierten.</w:t>
      </w:r>
    </w:p>
    <w:p>
      <w:pPr>
        <w:pStyle w:val="BodyText"/>
      </w:pPr>
      <w:r>
        <w:t xml:space="preserve">Lee schlug vor, die Gebote für Suchanzeigen für Konferenztermine zu erhöhen und die breiten Social-Media-Ausgaben zu senken. Marketingdirektorin Simone Carter widersprach. Suchanzeigen erfassten Kunden, die bereits nach Zimmern suchten; soziale Medien und E-Mail könnten Wochenendnachfrage erzeugen und Pakete verkaufen. Carter wollte außerdem eine neu gestaltete Buchungsseite testen, die kostenloses Frühstück und flexible Stornierung betonte. Der vorherige Website-Test hatte die abgeschlossenen Reservierungen auf Mobilgeräten erhöht, aber der Test war während eines Feiertagszeitraums gelaufen, und das Team war sich unsicher, ob die Verbesserung anhalten würde.</w:t>
      </w:r>
    </w:p>
    <w:bookmarkStart w:id="15" w:name="X37200bd4e8e088f9f26fb25b30e9cedbf8a5ff3"/>
    <w:p>
      <w:pPr>
        <w:pStyle w:val="Heading2"/>
      </w:pPr>
      <w:r>
        <w:t xml:space="preserve">Exhibit 3. Aktuelle Kundenakquisitions-Performance</w:t>
      </w:r>
    </w:p>
    <w:tbl>
      <w:tblPr>
        <w:tblStyle w:val="Table"/>
        <w:tblW w:type="pct" w:w="4946"/>
        <w:tblLayout w:type="fixed"/>
        <w:tblLook w:firstRow="1" w:lastRow="0" w:firstColumn="0" w:lastColumn="0" w:noHBand="0" w:noVBand="0" w:val="0020"/>
      </w:tblPr>
      <w:tblGrid>
        <w:gridCol w:w="1119"/>
        <w:gridCol w:w="990"/>
        <w:gridCol w:w="1291"/>
        <w:gridCol w:w="1463"/>
        <w:gridCol w:w="1936"/>
        <w:gridCol w:w="1033"/>
      </w:tblGrid>
      <w:tr>
        <w:trPr>
          <w:tblHeader w:val="on"/>
        </w:trPr>
        <w:tc>
          <w:tcPr/>
          <w:p>
            <w:pPr>
              <w:pStyle w:val="Compact"/>
            </w:pPr>
            <w:r>
              <w:rPr>
                <w:b/>
                <w:bCs/>
              </w:rPr>
              <w:t xml:space="preserve">Kanal</w:t>
            </w:r>
            <w:r>
              <w:t xml:space="preserve"> </w:t>
            </w:r>
            <w:r>
              <w:t xml:space="preserve">**</w:t>
            </w:r>
          </w:p>
        </w:tc>
        <w:tc>
          <w:tcPr/>
          <w:p>
            <w:pPr>
              <w:pStyle w:val="Compact"/>
              <w:jc w:val="left"/>
            </w:pPr>
            <w:r>
              <w:t xml:space="preserve">Monatliche Ausgaben**</w:t>
            </w:r>
          </w:p>
        </w:tc>
        <w:tc>
          <w:tcPr/>
          <w:p>
            <w:pPr>
              <w:pStyle w:val="Compact"/>
              <w:jc w:val="right"/>
            </w:pPr>
            <w:r>
              <w:t xml:space="preserve">**Zugeordnete Reservierungen*</w:t>
            </w:r>
          </w:p>
        </w:tc>
        <w:tc>
          <w:tcPr/>
          <w:p>
            <w:pPr>
              <w:pStyle w:val="Compact"/>
            </w:pPr>
            <w:r>
              <w:t xml:space="preserve">* **Durchschnittlicher gebuchter</w:t>
            </w:r>
          </w:p>
        </w:tc>
        <w:tc>
          <w:tcPr/>
          <w:p>
            <w:pPr>
              <w:pStyle w:val="Compact"/>
              <w:jc w:val="right"/>
            </w:pPr>
            <w:r>
              <w:t xml:space="preserve">Zimmerumsatz** **Geschätzte Kanalkosten pr</w:t>
            </w:r>
          </w:p>
        </w:tc>
        <w:tc>
          <w:tcPr/>
          <w:p>
            <w:pPr>
              <w:pStyle w:val="Compact"/>
            </w:pPr>
            <w:r>
              <w:t xml:space="preserve">o Reservierung**</w:t>
            </w:r>
            <w:r>
              <w:t xml:space="preserve"> </w:t>
            </w:r>
            <w:r>
              <w:rPr>
                <w:b/>
                <w:bCs/>
              </w:rPr>
              <w:t xml:space="preserve">Stornierungsrate</w:t>
            </w:r>
          </w:p>
        </w:tc>
      </w:tr>
      <w:tr>
        <w:tc>
          <w:tcPr/>
          <w:p>
            <w:pPr>
              <w:pStyle w:val="Compact"/>
            </w:pPr>
            <w:r>
              <w:t xml:space="preserve">Hotelwebsite / unbezahlt</w:t>
            </w:r>
          </w:p>
        </w:tc>
        <w:tc>
          <w:tcPr/>
          <w:p>
            <w:pPr>
              <w:pStyle w:val="Compact"/>
              <w:jc w:val="left"/>
            </w:pPr>
            <w:r>
              <w:t xml:space="preserve">38.000 $</w:t>
            </w:r>
          </w:p>
        </w:tc>
        <w:tc>
          <w:tcPr/>
          <w:p>
            <w:pPr>
              <w:pStyle w:val="Compact"/>
              <w:jc w:val="right"/>
            </w:pPr>
            <w:r>
              <w:t xml:space="preserve">1.040</w:t>
            </w:r>
          </w:p>
        </w:tc>
        <w:tc>
          <w:tcPr/>
          <w:p>
            <w:pPr>
              <w:pStyle w:val="Compact"/>
            </w:pPr>
            <w:r>
              <w:t xml:space="preserve">462 $</w:t>
            </w:r>
          </w:p>
        </w:tc>
        <w:tc>
          <w:tcPr/>
          <w:p>
            <w:pPr>
              <w:pStyle w:val="Compact"/>
              <w:jc w:val="right"/>
            </w:pPr>
            <w:r>
              <w:t xml:space="preserve">37 $</w:t>
            </w:r>
          </w:p>
        </w:tc>
        <w:tc>
          <w:tcPr/>
          <w:p>
            <w:pPr>
              <w:pStyle w:val="Compact"/>
            </w:pPr>
            <w:r>
              <w:t xml:space="preserve">9 %</w:t>
            </w:r>
          </w:p>
        </w:tc>
      </w:tr>
      <w:tr>
        <w:tc>
          <w:tcPr/>
          <w:p>
            <w:pPr>
              <w:pStyle w:val="Compact"/>
            </w:pPr>
            <w:r>
              <w:t xml:space="preserve">Suchmaschinenwerbung</w:t>
            </w:r>
          </w:p>
        </w:tc>
        <w:tc>
          <w:tcPr/>
          <w:p>
            <w:pPr>
              <w:pStyle w:val="Compact"/>
              <w:jc w:val="left"/>
            </w:pPr>
            <w:r>
              <w:t xml:space="preserve">112.000 $</w:t>
            </w:r>
          </w:p>
        </w:tc>
        <w:tc>
          <w:tcPr/>
          <w:p>
            <w:pPr>
              <w:pStyle w:val="Compact"/>
              <w:jc w:val="right"/>
            </w:pPr>
            <w:r>
              <w:t xml:space="preserve">1.380</w:t>
            </w:r>
          </w:p>
        </w:tc>
        <w:tc>
          <w:tcPr/>
          <w:p>
            <w:pPr>
              <w:pStyle w:val="Compact"/>
            </w:pPr>
            <w:r>
              <w:t xml:space="preserve">438 $</w:t>
            </w:r>
          </w:p>
        </w:tc>
        <w:tc>
          <w:tcPr/>
          <w:p>
            <w:pPr>
              <w:pStyle w:val="Compact"/>
              <w:jc w:val="right"/>
            </w:pPr>
            <w:r>
              <w:t xml:space="preserve">81 $</w:t>
            </w:r>
          </w:p>
        </w:tc>
        <w:tc>
          <w:tcPr/>
          <w:p>
            <w:pPr>
              <w:pStyle w:val="Compact"/>
            </w:pPr>
            <w:r>
              <w:t xml:space="preserve">13 %</w:t>
            </w:r>
          </w:p>
        </w:tc>
      </w:tr>
      <w:tr>
        <w:tc>
          <w:tcPr/>
          <w:p>
            <w:pPr>
              <w:pStyle w:val="Compact"/>
            </w:pPr>
            <w:r>
              <w:t xml:space="preserve">Soziale Medien</w:t>
            </w:r>
          </w:p>
        </w:tc>
        <w:tc>
          <w:tcPr/>
          <w:p>
            <w:pPr>
              <w:pStyle w:val="Compact"/>
              <w:jc w:val="left"/>
            </w:pPr>
            <w:r>
              <w:t xml:space="preserve">54.000 $</w:t>
            </w:r>
          </w:p>
        </w:tc>
        <w:tc>
          <w:tcPr/>
          <w:p>
            <w:pPr>
              <w:pStyle w:val="Compact"/>
              <w:jc w:val="right"/>
            </w:pPr>
            <w:r>
              <w:t xml:space="preserve">410</w:t>
            </w:r>
          </w:p>
        </w:tc>
        <w:tc>
          <w:tcPr/>
          <w:p>
            <w:pPr>
              <w:pStyle w:val="Compact"/>
            </w:pPr>
            <w:r>
              <w:t xml:space="preserve">496 $</w:t>
            </w:r>
          </w:p>
        </w:tc>
        <w:tc>
          <w:tcPr/>
          <w:p>
            <w:pPr>
              <w:pStyle w:val="Compact"/>
              <w:jc w:val="right"/>
            </w:pPr>
            <w:r>
              <w:t xml:space="preserve">132 $</w:t>
            </w:r>
          </w:p>
        </w:tc>
        <w:tc>
          <w:tcPr/>
          <w:p>
            <w:pPr>
              <w:pStyle w:val="Compact"/>
            </w:pPr>
            <w:r>
              <w:t xml:space="preserve">15 %</w:t>
            </w:r>
          </w:p>
        </w:tc>
      </w:tr>
      <w:tr>
        <w:tc>
          <w:tcPr/>
          <w:p>
            <w:pPr>
              <w:pStyle w:val="Compact"/>
            </w:pPr>
            <w:r>
              <w:t xml:space="preserve">Online-Reisebüros Provi</w:t>
            </w:r>
          </w:p>
        </w:tc>
        <w:tc>
          <w:tcPr/>
          <w:p>
            <w:pPr>
              <w:pStyle w:val="Compact"/>
              <w:jc w:val="left"/>
            </w:pPr>
            <w:r>
              <w:t xml:space="preserve">sionsbasiert 1.</w:t>
            </w:r>
          </w:p>
        </w:tc>
        <w:tc>
          <w:tcPr/>
          <w:p>
            <w:pPr>
              <w:pStyle w:val="Compact"/>
              <w:jc w:val="right"/>
            </w:pPr>
            <w:r>
              <w:t xml:space="preserve">720 33</w:t>
            </w:r>
          </w:p>
        </w:tc>
        <w:tc>
          <w:tcPr/>
          <w:p>
            <w:pPr>
              <w:pStyle w:val="Compact"/>
            </w:pPr>
            <w:r>
              <w:t xml:space="preserve">1 $ 5</w:t>
            </w:r>
          </w:p>
        </w:tc>
        <w:tc>
          <w:tcPr/>
          <w:p>
            <w:pPr>
              <w:pStyle w:val="Compact"/>
              <w:jc w:val="right"/>
            </w:pPr>
            <w:r>
              <w:t xml:space="preserve">8 $ Provisionsäquivalent 2</w:t>
            </w:r>
          </w:p>
        </w:tc>
        <w:tc>
          <w:tcPr/>
          <w:p>
            <w:pPr>
              <w:pStyle w:val="Compact"/>
            </w:pPr>
            <w:r>
              <w:t xml:space="preserve">2 %</w:t>
            </w:r>
          </w:p>
        </w:tc>
      </w:tr>
      <w:tr>
        <w:tc>
          <w:tcPr/>
          <w:p>
            <w:pPr>
              <w:pStyle w:val="Compact"/>
            </w:pPr>
            <w:r>
              <w:t xml:space="preserve">Firmen- / Gruppenverkauf</w:t>
            </w:r>
          </w:p>
        </w:tc>
        <w:tc>
          <w:tcPr/>
          <w:p>
            <w:pPr>
              <w:pStyle w:val="Compact"/>
              <w:jc w:val="left"/>
            </w:pPr>
            <w:r>
              <w:t xml:space="preserve">96.000 $</w:t>
            </w:r>
          </w:p>
        </w:tc>
        <w:tc>
          <w:tcPr/>
          <w:p>
            <w:pPr>
              <w:pStyle w:val="Compact"/>
              <w:jc w:val="right"/>
            </w:pPr>
            <w:r>
              <w:t xml:space="preserve">1.260</w:t>
            </w:r>
          </w:p>
        </w:tc>
        <w:tc>
          <w:tcPr/>
          <w:p>
            <w:pPr>
              <w:pStyle w:val="Compact"/>
            </w:pPr>
            <w:r>
              <w:t xml:space="preserve">574 $</w:t>
            </w:r>
          </w:p>
        </w:tc>
        <w:tc>
          <w:tcPr/>
          <w:p>
            <w:pPr>
              <w:pStyle w:val="Compact"/>
              <w:jc w:val="right"/>
            </w:pPr>
            <w:r>
              <w:t xml:space="preserve">76 $</w:t>
            </w:r>
          </w:p>
        </w:tc>
        <w:tc>
          <w:tcPr/>
          <w:p>
            <w:pPr>
              <w:pStyle w:val="Compact"/>
            </w:pPr>
            <w:r>
              <w:t xml:space="preserve">12 %</w:t>
            </w:r>
          </w:p>
        </w:tc>
      </w:tr>
      <w:tr>
        <w:tc>
          <w:tcPr/>
          <w:p>
            <w:pPr>
              <w:pStyle w:val="Compact"/>
            </w:pPr>
            <w:r>
              <w:t xml:space="preserve">E-Mail / Treueprogramm</w:t>
            </w:r>
          </w:p>
        </w:tc>
        <w:tc>
          <w:tcPr/>
          <w:p>
            <w:pPr>
              <w:pStyle w:val="Compact"/>
              <w:jc w:val="left"/>
            </w:pPr>
            <w:r>
              <w:t xml:space="preserve">21.000 $</w:t>
            </w:r>
          </w:p>
        </w:tc>
        <w:tc>
          <w:tcPr/>
          <w:p>
            <w:pPr>
              <w:pStyle w:val="Compact"/>
              <w:jc w:val="right"/>
            </w:pPr>
            <w:r>
              <w:t xml:space="preserve">590</w:t>
            </w:r>
          </w:p>
        </w:tc>
        <w:tc>
          <w:tcPr/>
          <w:p>
            <w:pPr>
              <w:pStyle w:val="Compact"/>
            </w:pPr>
            <w:r>
              <w:t xml:space="preserve">521 $</w:t>
            </w:r>
          </w:p>
        </w:tc>
        <w:tc>
          <w:tcPr/>
          <w:p>
            <w:pPr>
              <w:pStyle w:val="Compact"/>
              <w:jc w:val="right"/>
            </w:pPr>
            <w:r>
              <w:t xml:space="preserve">36 $</w:t>
            </w:r>
          </w:p>
        </w:tc>
        <w:tc>
          <w:tcPr/>
          <w:p>
            <w:pPr>
              <w:pStyle w:val="Compact"/>
            </w:pPr>
            <w:r>
              <w:t xml:space="preserve">8 %</w:t>
            </w:r>
          </w:p>
        </w:tc>
      </w:tr>
    </w:tbl>
    <w:bookmarkEnd w:id="15"/>
    <w:bookmarkEnd w:id="16"/>
    <w:bookmarkStart w:id="18" w:name="X4fda1eafc9af51744be97853f9c0c58ab095372"/>
    <w:p>
      <w:pPr>
        <w:pStyle w:val="Heading1"/>
      </w:pPr>
      <w:r>
        <w:t xml:space="preserve">Ein Vorschlag mit Mehreren Beweglichen Teilen</w:t>
      </w:r>
    </w:p>
    <w:p>
      <w:pPr>
        <w:pStyle w:val="FirstParagraph"/>
      </w:pPr>
      <w:r>
        <w:t xml:space="preserve">Lees empfohlener Plan kombinierte mehrere Maßnahmen. Für die beiden Konferenz-Spitzennächte würde er den flexiblen Standardzimmerpreis von 279–289 $ auf 329 $ anheben, die tiefsten Rabatte schließen und mindestens 38 Zimmer für innerhalb von 14 Tagen vor Anreise erwartete Buchungen reservieren. Für Montag und Donnerstag würde er ein dreinächtiges Paket zu einem effektiven Preis von 239 $ pro Nacht inklusive Frühstück anbieten. Er würde die Gebote für hochintentionale Konferenzbegriffe um 35 % erhöhen, die Verfügbarkeit über Online-Reisebüros reduzieren, sobald das Hotel sich fülle, und die bestehende Website beibehalten.</w:t>
      </w:r>
    </w:p>
    <w:p>
      <w:pPr>
        <w:pStyle w:val="BodyText"/>
      </w:pPr>
      <w:r>
        <w:t xml:space="preserve">Shah schlug ein anderes Paket vor. Sie würde den Spitzennachtpreis für weitere zwei Wochen bei 299 $ begrenzen, einen zusätzlichen 60-Zimmer-Firmenblock zu 224 $ akzeptieren und Empfangsräume für Mittwochabend einschließen. Sie glaubte, der Block würde die Auslastung über alle vier Nächte hinweg stabilisieren und Speise- und Getränkeumsätze erzeugen. Das Unternehmen verlangte eine flexible Attrition-Klausel und würde die Gästenamen erst 14 Tage vor Anreise bereitstellen.</w:t>
      </w:r>
    </w:p>
    <w:p>
      <w:pPr>
        <w:pStyle w:val="BodyText"/>
      </w:pPr>
      <w:r>
        <w:t xml:space="preserve">Carter unterstützte die vorübergehende Beibehaltung des Firmenblocks, wollte aber einen breiteren Test. Sie schlug zwei Webseitendesigns, verschiedene Frühstücksangebote und drei Werbeniveaus in ausgewählten geografischen Märkten vor. Sie argumentierte, das Hotel wisse zu wenig darüber, wie Reisende auf Preis, Leistungen und Webseitendarstellung reagierten. Lee entgegnete, Experimente verbrauchten Traffic und könnten Umsatz während der wertvollsten Wochen des Jahres kosten.</w:t>
      </w:r>
    </w:p>
    <w:bookmarkStart w:id="17" w:name="exhibit-4.-diskutierte-alternativen"/>
    <w:p>
      <w:pPr>
        <w:pStyle w:val="Heading2"/>
      </w:pPr>
      <w:r>
        <w:t xml:space="preserve">Exhibit 4. Diskutierte Alternativen</w:t>
      </w:r>
    </w:p>
    <w:tbl>
      <w:tblPr>
        <w:tblStyle w:val="Table"/>
        <w:tblW w:type="pct" w:w="4951"/>
        <w:tblLayout w:type="fixed"/>
        <w:tblLook w:firstRow="1" w:lastRow="0" w:firstColumn="0" w:lastColumn="0" w:noHBand="0" w:noVBand="0" w:val="0020"/>
      </w:tblPr>
      <w:tblGrid>
        <w:gridCol w:w="975"/>
        <w:gridCol w:w="1677"/>
        <w:gridCol w:w="1443"/>
        <w:gridCol w:w="1677"/>
        <w:gridCol w:w="2067"/>
      </w:tblGrid>
      <w:tr>
        <w:trPr>
          <w:tblHeader w:val="on"/>
        </w:trPr>
        <w:tc>
          <w:tcPr/>
          <w:p>
            <w:pPr>
              <w:pStyle w:val="Compact"/>
              <w:jc w:val="left"/>
            </w:pPr>
            <w:r>
              <w:rPr>
                <w:b/>
                <w:bCs/>
              </w:rPr>
              <w:t xml:space="preserve">Alternative</w:t>
            </w:r>
          </w:p>
        </w:tc>
        <w:tc>
          <w:tcPr/>
          <w:p>
            <w:pPr>
              <w:pStyle w:val="Compact"/>
              <w:jc w:val="left"/>
            </w:pPr>
            <w:r>
              <w:rPr>
                <w:b/>
                <w:bCs/>
              </w:rPr>
              <w:t xml:space="preserve">Ansatz für Spitzennächte</w:t>
            </w:r>
          </w:p>
        </w:tc>
        <w:tc>
          <w:tcPr/>
          <w:p>
            <w:pPr>
              <w:pStyle w:val="Compact"/>
              <w:jc w:val="center"/>
            </w:pPr>
            <w:r>
              <w:rPr>
                <w:b/>
                <w:bCs/>
              </w:rPr>
              <w:t xml:space="preserve">Ansatz für Randnächte</w:t>
            </w:r>
          </w:p>
        </w:tc>
        <w:tc>
          <w:tcPr/>
          <w:p>
            <w:pPr>
              <w:pStyle w:val="Compact"/>
              <w:jc w:val="right"/>
            </w:pPr>
            <w:r>
              <w:rPr>
                <w:b/>
                <w:bCs/>
              </w:rPr>
              <w:t xml:space="preserve">Werbe-/Kanalansatz</w:t>
            </w:r>
            <w:r>
              <w:t xml:space="preserve"> </w:t>
            </w:r>
            <w:r>
              <w:t xml:space="preserve">**Hauptbe</w:t>
            </w:r>
          </w:p>
        </w:tc>
        <w:tc>
          <w:tcPr/>
          <w:p>
            <w:pPr>
              <w:pStyle w:val="Compact"/>
              <w:jc w:val="left"/>
            </w:pPr>
            <w:r>
              <w:t xml:space="preserve">denken**</w:t>
            </w:r>
          </w:p>
        </w:tc>
      </w:tr>
      <w:tr>
        <w:tc>
          <w:tcPr/>
          <w:p>
            <w:pPr>
              <w:pStyle w:val="Compact"/>
              <w:jc w:val="left"/>
            </w:pPr>
            <w:r>
              <w:t xml:space="preserve">A. Späte Nachfrage schütz</w:t>
            </w:r>
          </w:p>
        </w:tc>
        <w:tc>
          <w:tcPr/>
          <w:p>
            <w:pPr>
              <w:pStyle w:val="Compact"/>
              <w:jc w:val="left"/>
            </w:pPr>
            <w:r>
              <w:t xml:space="preserve">en Anheben auf 329 $; 38 Zimmer zurückha</w:t>
            </w:r>
          </w:p>
        </w:tc>
        <w:tc>
          <w:tcPr/>
          <w:p>
            <w:pPr>
              <w:pStyle w:val="Compact"/>
              <w:jc w:val="center"/>
            </w:pPr>
            <w:r>
              <w:t xml:space="preserve">lten 3-Nächte-Frühstücks</w:t>
            </w:r>
          </w:p>
        </w:tc>
        <w:tc>
          <w:tcPr/>
          <w:p>
            <w:pPr>
              <w:pStyle w:val="Compact"/>
              <w:jc w:val="right"/>
            </w:pPr>
            <w:r>
              <w:t xml:space="preserve">paket Höhere Suchgebote; OTA-Inv</w:t>
            </w:r>
          </w:p>
        </w:tc>
        <w:tc>
          <w:tcPr/>
          <w:p>
            <w:pPr>
              <w:pStyle w:val="Compact"/>
              <w:jc w:val="left"/>
            </w:pPr>
            <w:r>
              <w:t xml:space="preserve">entar reduzieren Späte Hochpreisnachfrage könnte nicht eintreffen</w:t>
            </w:r>
          </w:p>
        </w:tc>
      </w:tr>
      <w:tr>
        <w:tc>
          <w:tcPr/>
          <w:p>
            <w:pPr>
              <w:pStyle w:val="Compact"/>
              <w:jc w:val="left"/>
            </w:pPr>
            <w:r>
              <w:t xml:space="preserve">B. Die Gruppe sichern</w:t>
            </w:r>
          </w:p>
        </w:tc>
        <w:tc>
          <w:tcPr/>
          <w:p>
            <w:pPr>
              <w:pStyle w:val="Compact"/>
              <w:jc w:val="left"/>
            </w:pPr>
            <w:r>
              <w:t xml:space="preserve">Begrenzung auf 299 $; 60-Zimmer-Block zu</w:t>
            </w:r>
          </w:p>
        </w:tc>
        <w:tc>
          <w:tcPr/>
          <w:p>
            <w:pPr>
              <w:pStyle w:val="Compact"/>
              <w:jc w:val="center"/>
            </w:pPr>
            <w:r>
              <w:t xml:space="preserve">224 $ hinzufügen Gruppe umfasst a</w:t>
            </w:r>
          </w:p>
        </w:tc>
        <w:tc>
          <w:tcPr/>
          <w:p>
            <w:pPr>
              <w:pStyle w:val="Compact"/>
              <w:jc w:val="right"/>
            </w:pPr>
            <w:r>
              <w:t xml:space="preserve">lle vier Nächte Firmenverkauf; normale</w:t>
            </w:r>
          </w:p>
        </w:tc>
        <w:tc>
          <w:tcPr/>
          <w:p>
            <w:pPr>
              <w:pStyle w:val="Compact"/>
              <w:jc w:val="left"/>
            </w:pPr>
            <w:r>
              <w:t xml:space="preserve">Werbung Block könnte schrumpfen oder Hochpreisgäste verdrängen</w:t>
            </w:r>
          </w:p>
        </w:tc>
      </w:tr>
      <w:tr>
        <w:tc>
          <w:tcPr/>
          <w:p>
            <w:pPr>
              <w:pStyle w:val="Compact"/>
              <w:jc w:val="left"/>
            </w:pPr>
            <w:r>
              <w:t xml:space="preserve">C. Testen und anpassen</w:t>
            </w:r>
          </w:p>
        </w:tc>
        <w:tc>
          <w:tcPr/>
          <w:p>
            <w:pPr>
              <w:pStyle w:val="Compact"/>
              <w:jc w:val="left"/>
            </w:pPr>
            <w:r>
              <w:t xml:space="preserve">Preisspanne 299–319 $ je nach Markt ver</w:t>
            </w:r>
          </w:p>
        </w:tc>
        <w:tc>
          <w:tcPr/>
          <w:p>
            <w:pPr>
              <w:pStyle w:val="Compact"/>
              <w:jc w:val="center"/>
            </w:pPr>
            <w:r>
              <w:t xml:space="preserve">wenden Pakete und Webseitenvariante</w:t>
            </w:r>
          </w:p>
        </w:tc>
        <w:tc>
          <w:tcPr/>
          <w:p>
            <w:pPr>
              <w:pStyle w:val="Compact"/>
              <w:jc w:val="right"/>
            </w:pPr>
            <w:r>
              <w:t xml:space="preserve">n testen Kontrollierte Kanalexperimente d</w:t>
            </w:r>
          </w:p>
        </w:tc>
        <w:tc>
          <w:tcPr/>
          <w:p>
            <w:pPr>
              <w:pStyle w:val="Compact"/>
              <w:jc w:val="left"/>
            </w:pPr>
            <w:r>
              <w:t xml:space="preserve">urchführen Lernen könnte kostspielig sein und Ergebnisse könnten spät eintreffen</w:t>
            </w:r>
          </w:p>
        </w:tc>
      </w:tr>
      <w:tr>
        <w:tc>
          <w:tcPr/>
          <w:p>
            <w:pPr>
              <w:pStyle w:val="Compact"/>
              <w:jc w:val="left"/>
            </w:pPr>
            <w:r>
              <w:t xml:space="preserve">D. Früh füllen 279–</w:t>
            </w:r>
          </w:p>
        </w:tc>
        <w:tc>
          <w:tcPr/>
          <w:p>
            <w:pPr>
              <w:pStyle w:val="Compact"/>
              <w:jc w:val="left"/>
            </w:pPr>
            <w:r>
              <w:t xml:space="preserve">289 $ beibehalten; Rabatte ausweiten</w:t>
            </w:r>
          </w:p>
        </w:tc>
        <w:tc>
          <w:tcPr/>
          <w:p>
            <w:pPr>
              <w:pStyle w:val="Compact"/>
              <w:jc w:val="center"/>
            </w:pPr>
            <w:r>
              <w:t xml:space="preserve">Aggressive Sonntags-/Donnerstagsange</w:t>
            </w:r>
          </w:p>
        </w:tc>
        <w:tc>
          <w:tcPr/>
          <w:p>
            <w:pPr>
              <w:pStyle w:val="Compact"/>
              <w:jc w:val="right"/>
            </w:pPr>
            <w:r>
              <w:t xml:space="preserve">bote Breite OTA- und Social-Media-Distrib</w:t>
            </w:r>
          </w:p>
        </w:tc>
        <w:tc>
          <w:tcPr/>
          <w:p>
            <w:pPr>
              <w:pStyle w:val="Compact"/>
              <w:jc w:val="left"/>
            </w:pPr>
            <w:r>
              <w:t xml:space="preserve">ution Hotel könnte knappe Zimmer zu billig verkaufen</w:t>
            </w:r>
          </w:p>
        </w:tc>
      </w:tr>
    </w:tbl>
    <w:bookmarkEnd w:id="17"/>
    <w:bookmarkEnd w:id="18"/>
    <w:bookmarkStart w:id="20" w:name="die-grenzen-der-prognose"/>
    <w:p>
      <w:pPr>
        <w:pStyle w:val="Heading1"/>
      </w:pPr>
      <w:r>
        <w:t xml:space="preserve">Die Grenzen der Prognose</w:t>
      </w:r>
    </w:p>
    <w:p>
      <w:pPr>
        <w:pStyle w:val="FirstParagraph"/>
      </w:pPr>
      <w:r>
        <w:t xml:space="preserve">Das Prognoseteam erstellte drei Szenarien. Im Szenario starker Nachfrage übertraf die Konferenzanmeldung die Erwartungen, entzog die Renovierung des konkurrierenden Hotels dem Markt Zimmer, und die späte Firmennachfrage war robust. Im Szenario schwacher Nachfrage verlagerte die Konferenz einige Sitzungen ins Internet, öffnete der Wettbewerber sein volles Inventar wieder, und Reisende verkürzten ihre Aufenthalte. Das mittlere Szenario ging davon aus, dass die Buchungen den jüngsten Mustern folgten, aber Stornierungen blieben das schwierigste Element zur Schätzung.</w:t>
      </w:r>
    </w:p>
    <w:bookmarkStart w:id="19" w:name="X1d90f8b8bad35016996dcf7b6556e98858420c4"/>
    <w:p>
      <w:pPr>
        <w:pStyle w:val="Heading2"/>
      </w:pPr>
      <w:r>
        <w:t xml:space="preserve">Exhibit 5. Szenarioschätzungen für den Konferenzzeitraum</w:t>
      </w:r>
    </w:p>
    <w:tbl>
      <w:tblPr>
        <w:tblStyle w:val="Table"/>
        <w:tblW w:type="pct" w:w="4947"/>
        <w:tblLayout w:type="fixed"/>
        <w:tblLook w:firstRow="1" w:lastRow="0" w:firstColumn="0" w:lastColumn="0" w:noHBand="0" w:noVBand="0" w:val="0020"/>
      </w:tblPr>
      <w:tblGrid>
        <w:gridCol w:w="625"/>
        <w:gridCol w:w="1417"/>
        <w:gridCol w:w="1458"/>
        <w:gridCol w:w="1250"/>
        <w:gridCol w:w="1250"/>
        <w:gridCol w:w="1834"/>
      </w:tblGrid>
      <w:tr>
        <w:trPr>
          <w:tblHeader w:val="on"/>
        </w:trPr>
        <w:tc>
          <w:tcPr/>
          <w:p>
            <w:pPr>
              <w:pStyle w:val="Compact"/>
              <w:jc w:val="left"/>
            </w:pPr>
            <w:r>
              <w:rPr>
                <w:b/>
                <w:bCs/>
              </w:rPr>
              <w:t xml:space="preserve">Szenario</w:t>
            </w:r>
          </w:p>
        </w:tc>
        <w:tc>
          <w:tcPr/>
          <w:p>
            <w:pPr>
              <w:pStyle w:val="Compact"/>
            </w:pPr>
            <w:r>
              <w:t xml:space="preserve">**Intern verwendete Wahrscheinlich</w:t>
            </w:r>
          </w:p>
        </w:tc>
        <w:tc>
          <w:tcPr/>
          <w:p>
            <w:pPr>
              <w:pStyle w:val="Compact"/>
            </w:pPr>
            <w:r>
              <w:t xml:space="preserve">keit** **Potenzielle Zimmeranfrag</w:t>
            </w:r>
          </w:p>
        </w:tc>
        <w:tc>
          <w:tcPr/>
          <w:p>
            <w:pPr>
              <w:pStyle w:val="Compact"/>
            </w:pPr>
            <w:r>
              <w:t xml:space="preserve">en** **Geschätzte Stornierun</w:t>
            </w:r>
          </w:p>
        </w:tc>
        <w:tc>
          <w:tcPr/>
          <w:p>
            <w:pPr>
              <w:pStyle w:val="Compact"/>
            </w:pPr>
            <w:r>
              <w:t xml:space="preserve">gen** **Wahrscheinlicher Mar</w:t>
            </w:r>
          </w:p>
        </w:tc>
        <w:tc>
          <w:tcPr/>
          <w:p>
            <w:pPr>
              <w:pStyle w:val="Compact"/>
              <w:jc w:val="left"/>
            </w:pPr>
            <w:r>
              <w:t xml:space="preserve">ktspitzenpreis**</w:t>
            </w:r>
            <w:r>
              <w:t xml:space="preserve"> </w:t>
            </w:r>
            <w:r>
              <w:rPr>
                <w:b/>
                <w:bCs/>
              </w:rPr>
              <w:t xml:space="preserve">Interpretation</w:t>
            </w:r>
          </w:p>
        </w:tc>
      </w:tr>
      <w:tr>
        <w:tc>
          <w:tcPr/>
          <w:p>
            <w:pPr>
              <w:pStyle w:val="Compact"/>
              <w:jc w:val="left"/>
            </w:pPr>
            <w:r>
              <w:t xml:space="preserve">Schwach</w:t>
            </w:r>
          </w:p>
        </w:tc>
        <w:tc>
          <w:tcPr/>
          <w:p>
            <w:pPr>
              <w:pStyle w:val="Compact"/>
            </w:pPr>
            <w:r>
              <w:t xml:space="preserve">25 %</w:t>
            </w:r>
          </w:p>
        </w:tc>
        <w:tc>
          <w:tcPr/>
          <w:p>
            <w:pPr>
              <w:pStyle w:val="Compact"/>
            </w:pPr>
            <w:r>
              <w:t xml:space="preserve">760</w:t>
            </w:r>
          </w:p>
        </w:tc>
        <w:tc>
          <w:tcPr/>
          <w:p>
            <w:pPr>
              <w:pStyle w:val="Compact"/>
            </w:pPr>
            <w:r>
              <w:t xml:space="preserve">115–145</w:t>
            </w:r>
          </w:p>
        </w:tc>
        <w:tc>
          <w:tcPr/>
          <w:p>
            <w:pPr>
              <w:pStyle w:val="Compact"/>
            </w:pPr>
            <w:r>
              <w:t xml:space="preserve">245–285 $</w:t>
            </w:r>
          </w:p>
        </w:tc>
        <w:tc>
          <w:tcPr/>
          <w:p>
            <w:pPr>
              <w:pStyle w:val="Compact"/>
              <w:jc w:val="left"/>
            </w:pPr>
            <w:r>
              <w:t xml:space="preserve">Erhebliches Risiko leerer Randnächte</w:t>
            </w:r>
          </w:p>
        </w:tc>
      </w:tr>
      <w:tr>
        <w:tc>
          <w:tcPr/>
          <w:p>
            <w:pPr>
              <w:pStyle w:val="Compact"/>
              <w:jc w:val="left"/>
            </w:pPr>
            <w:r>
              <w:t xml:space="preserve">Erwartet</w:t>
            </w:r>
          </w:p>
        </w:tc>
        <w:tc>
          <w:tcPr/>
          <w:p>
            <w:pPr>
              <w:pStyle w:val="Compact"/>
            </w:pPr>
            <w:r>
              <w:t xml:space="preserve">50 %</w:t>
            </w:r>
          </w:p>
        </w:tc>
        <w:tc>
          <w:tcPr/>
          <w:p>
            <w:pPr>
              <w:pStyle w:val="Compact"/>
            </w:pPr>
            <w:r>
              <w:t xml:space="preserve">915</w:t>
            </w:r>
          </w:p>
        </w:tc>
        <w:tc>
          <w:tcPr/>
          <w:p>
            <w:pPr>
              <w:pStyle w:val="Compact"/>
            </w:pPr>
            <w:r>
              <w:t xml:space="preserve">130–170</w:t>
            </w:r>
          </w:p>
        </w:tc>
        <w:tc>
          <w:tcPr/>
          <w:p>
            <w:pPr>
              <w:pStyle w:val="Compact"/>
            </w:pPr>
            <w:r>
              <w:t xml:space="preserve">285–325 $</w:t>
            </w:r>
          </w:p>
        </w:tc>
        <w:tc>
          <w:tcPr/>
          <w:p>
            <w:pPr>
              <w:pStyle w:val="Compact"/>
              <w:jc w:val="left"/>
            </w:pPr>
            <w:r>
              <w:t xml:space="preserve">Nahezu ausverkauft an Dienstag und Mittwoch</w:t>
            </w:r>
          </w:p>
        </w:tc>
      </w:tr>
      <w:tr>
        <w:tc>
          <w:tcPr/>
          <w:p>
            <w:pPr>
              <w:pStyle w:val="Compact"/>
              <w:jc w:val="left"/>
            </w:pPr>
            <w:r>
              <w:t xml:space="preserve">Stark</w:t>
            </w:r>
          </w:p>
        </w:tc>
        <w:tc>
          <w:tcPr/>
          <w:p>
            <w:pPr>
              <w:pStyle w:val="Compact"/>
            </w:pPr>
            <w:r>
              <w:t xml:space="preserve">25 %</w:t>
            </w:r>
          </w:p>
        </w:tc>
        <w:tc>
          <w:tcPr/>
          <w:p>
            <w:pPr>
              <w:pStyle w:val="Compact"/>
            </w:pPr>
            <w:r>
              <w:t xml:space="preserve">1.080</w:t>
            </w:r>
          </w:p>
        </w:tc>
        <w:tc>
          <w:tcPr/>
          <w:p>
            <w:pPr>
              <w:pStyle w:val="Compact"/>
            </w:pPr>
            <w:r>
              <w:t xml:space="preserve">145–195</w:t>
            </w:r>
          </w:p>
        </w:tc>
        <w:tc>
          <w:tcPr/>
          <w:p>
            <w:pPr>
              <w:pStyle w:val="Compact"/>
            </w:pPr>
            <w:r>
              <w:t xml:space="preserve">335–425 $</w:t>
            </w:r>
          </w:p>
        </w:tc>
        <w:tc>
          <w:tcPr/>
          <w:p>
            <w:pPr>
              <w:pStyle w:val="Compact"/>
              <w:jc w:val="left"/>
            </w:pPr>
            <w:r>
              <w:t xml:space="preserve">Späte Nachfrage könnte verbleibende Zimmer übersteigen</w:t>
            </w:r>
          </w:p>
        </w:tc>
      </w:tr>
    </w:tbl>
    <w:p>
      <w:pPr>
        <w:pStyle w:val="BodyText"/>
      </w:pPr>
      <w:r>
        <w:t xml:space="preserve">Niemand glaubte, dass die Szenariowahrscheinlichkeiten präzise waren. Wettbewerberpreise konnten sich innerhalb von Stunden ändern. Die Konferenzanmeldungen könnten sich nach einer Keynote-Ankündigung beschleunigen. Ein Sturm könnte Flüge stören. Ein wichtiger Firmenkunde könnte stornieren, während eine Flugstörung unerwartet Nachfrage schaffen könnte. Die eigenen Maßnahmen des Hotels würden auch die Marktreaktion verändern: Höhere Preise könnten Reservierungen reduzieren, Werbung könnte zusätzliche Kunden anziehen, und ein Paket könnte Nachfrage von einem Datum zum anderen verschieben.</w:t>
      </w:r>
    </w:p>
    <w:p>
      <w:pPr>
        <w:pStyle w:val="BodyText"/>
      </w:pPr>
      <w:r>
        <w:t xml:space="preserve">Marquez musste auch die Umsetzung berücksichtigen. Die Mitarbeiter an der Rezeption hatten Schwierigkeiten, zunehmend komplexe Tarifregeln zu erklären. Das Restaurant konnte zwischen 7:00 und 9:00 Uhr morgens bequem nur 180 Frühstücke servieren. Das Parkhaus hatte 196 Plätze. Die Housekeeping-Abteilung war während Ausverkaufsperioden auf Zeitarbeitskräfte angewiesen, und ein verdichtetes Muster von Ein-Nacht-Aufenthalten erhöhte die Reinigungskosten. Das letzte Zimmer zu verkaufen war nicht notwendigerweise attraktiv, wenn die Servicequalität sich verschlechterte und Online-Bewertungen darunter litten.</w:t>
      </w:r>
    </w:p>
    <w:bookmarkEnd w:id="19"/>
    <w:bookmarkEnd w:id="20"/>
    <w:bookmarkStart w:id="21" w:name="das-mittagstreffen"/>
    <w:p>
      <w:pPr>
        <w:pStyle w:val="Heading1"/>
      </w:pPr>
      <w:r>
        <w:t xml:space="preserve">Das Mittagstreffen</w:t>
      </w:r>
    </w:p>
    <w:p>
      <w:pPr>
        <w:pStyle w:val="FirstParagraph"/>
      </w:pPr>
      <w:r>
        <w:t xml:space="preserve">Um 11:40 Uhr fasste Marquez die Entscheidung für den Vertreter der Eigentümer zusammen. Das Hotel könnte Zimmer jetzt vergeben, Zimmer für später eintreffende Kunden aufbewahren, Preise wiederholt an neue Buchungen anpassen, mehr ausgeben, um zu beeinflussen, welche Kunden das Hotel sehen, oder die kommenden Wochen nutzen, um mehr über das Kundenverhalten zu erfahren. Jede Maßnahme beeinflusste nicht nur den Zimmerumsatz, sondern auch Provisionen, Servicekosten, Nebenumsätze, Stornierungen, Kundenzufriedenheit und die Fähigkeit, künftige Reservierungen anzunehmen.</w:t>
      </w:r>
    </w:p>
    <w:p>
      <w:pPr>
        <w:pStyle w:val="BodyText"/>
      </w:pPr>
      <w:r>
        <w:t xml:space="preserve">Der Eigentümervertreter stellte eine täuschend einfache Frage: „Welche Zimmer sollten wir heute verkaufen, zu welchem Preis, über welchen Kanal und mit welchem Versprechen verbunden?“ Marquez schaute erneut auf den Buchungsbericht. Sie hatte noch zwanzig Minuten, bevor die Preisaktualisierung planmäßig live gehen sollte.</w:t>
      </w:r>
    </w:p>
    <w:bookmarkEnd w:id="21"/>
    <w:bookmarkStart w:id="22" w:name="diskussionsfragen"/>
    <w:p>
      <w:pPr>
        <w:pStyle w:val="Heading1"/>
      </w:pPr>
      <w:r>
        <w:t xml:space="preserve">Diskussionsfragen</w:t>
      </w:r>
    </w:p>
    <w:p>
      <w:pPr>
        <w:numPr>
          <w:ilvl w:val="0"/>
          <w:numId w:val="1001"/>
        </w:numPr>
      </w:pPr>
      <w:r>
        <w:t xml:space="preserve">Wie sollte das Harborview ein erfolgreiches Ergebnis für den achtwöchigen Zeitraum definieren?</w:t>
      </w:r>
    </w:p>
    <w:p>
      <w:pPr>
        <w:numPr>
          <w:ilvl w:val="0"/>
          <w:numId w:val="1001"/>
        </w:numPr>
      </w:pPr>
      <w:r>
        <w:t xml:space="preserve">Welche Aufenthaltstermine erfordern die größte Managementaufmerksamkeit, und warum?</w:t>
      </w:r>
    </w:p>
    <w:p>
      <w:pPr>
        <w:numPr>
          <w:ilvl w:val="0"/>
          <w:numId w:val="1001"/>
        </w:numPr>
      </w:pPr>
      <w:r>
        <w:t xml:space="preserve">Was sind die Vor- und Nachteile der Annahme des vorgeschlagenen Firmenblocks?</w:t>
      </w:r>
    </w:p>
    <w:p>
      <w:pPr>
        <w:numPr>
          <w:ilvl w:val="0"/>
          <w:numId w:val="1001"/>
        </w:numPr>
      </w:pPr>
      <w:r>
        <w:t xml:space="preserve">Wie sollte das Hotel ein Zimmer bewerten, das für einen möglichen zukünftigen Kunden zurückgehalten wird?</w:t>
      </w:r>
    </w:p>
    <w:p>
      <w:pPr>
        <w:numPr>
          <w:ilvl w:val="0"/>
          <w:numId w:val="1001"/>
        </w:numPr>
      </w:pPr>
      <w:r>
        <w:t xml:space="preserve">Wie sollte das Stornierungsverhalten Preise, Beschränkungen und Kanalverfügbarkeit beeinflussen?</w:t>
      </w:r>
    </w:p>
    <w:p>
      <w:pPr>
        <w:numPr>
          <w:ilvl w:val="0"/>
          <w:numId w:val="1001"/>
        </w:numPr>
      </w:pPr>
      <w:r>
        <w:t xml:space="preserve">Welche Leistungen sollten mit Zimmern gebündelt werden, und wann könnte ein Bündel Wert vernichten statt schaffen?</w:t>
      </w:r>
    </w:p>
    <w:p>
      <w:pPr>
        <w:numPr>
          <w:ilvl w:val="0"/>
          <w:numId w:val="1001"/>
        </w:numPr>
      </w:pPr>
      <w:r>
        <w:t xml:space="preserve">Wie sollte das Harborview sein Werbebudget zwischen Suchmaschinenwerbung, sozialen Medien, Direktkanälen, Online-Reisebüros und Firmenverkauf verteilen?</w:t>
      </w:r>
    </w:p>
    <w:p>
      <w:pPr>
        <w:numPr>
          <w:ilvl w:val="0"/>
          <w:numId w:val="1001"/>
        </w:numPr>
      </w:pPr>
      <w:r>
        <w:t xml:space="preserve">Welche Informationen wären vor Mittag am wertvollsten, und welche Informationen könnten vernünftigerweise in den nächsten Wochen gewonnen werden?</w:t>
      </w:r>
    </w:p>
    <w:p>
      <w:pPr>
        <w:numPr>
          <w:ilvl w:val="0"/>
          <w:numId w:val="1001"/>
        </w:numPr>
      </w:pPr>
      <w:r>
        <w:t xml:space="preserve">Würden Sie die Webseiten- und Paketexperimente während des Konferenzbuchungszeitraums durchführen? Erläutern Sie das Design und die Risiken des Experiments.</w:t>
      </w:r>
    </w:p>
    <w:p>
      <w:pPr>
        <w:numPr>
          <w:ilvl w:val="0"/>
          <w:numId w:val="1001"/>
        </w:numPr>
      </w:pPr>
      <w:r>
        <w:t xml:space="preserve">Welchen Plan sollte Marquez genehmigen, und welche künftigen Beobachtungen sollten eine Änderung dieses Plans auslösen?</w:t>
      </w:r>
    </w:p>
    <w:bookmarkEnd w:id="22"/>
    <w:bookmarkStart w:id="28" w:name="fragen-zur-entscheidungsrahmung"/>
    <w:p>
      <w:pPr>
        <w:pStyle w:val="Heading1"/>
      </w:pPr>
      <w:r>
        <w:t xml:space="preserve">Fragen zur Entscheidungsrahmung</w:t>
      </w:r>
    </w:p>
    <w:p>
      <w:pPr>
        <w:numPr>
          <w:ilvl w:val="0"/>
          <w:numId w:val="1002"/>
        </w:numPr>
      </w:pPr>
      <w:r>
        <w:t xml:space="preserve">Identifizieren und beschreiben Sie die Verantwortlichkeiten des Entscheidungsträgers. Dies sollte den Umfang des Problems festlegen.</w:t>
      </w:r>
    </w:p>
    <w:p>
      <w:pPr>
        <w:numPr>
          <w:ilvl w:val="0"/>
          <w:numId w:val="1002"/>
        </w:numPr>
      </w:pPr>
      <w:r>
        <w:t xml:space="preserve">Verwenden Sie das</w:t>
      </w:r>
      <w:r>
        <w:t xml:space="preserve"> </w:t>
      </w:r>
      <w:hyperlink r:id="rId23">
        <w:r>
          <w:rPr>
            <w:rStyle w:val="Hyperlink"/>
          </w:rPr>
          <w:t xml:space="preserve">Metrik-Pyramiden-Werkzeug</w:t>
        </w:r>
      </w:hyperlink>
      <w:r>
        <w:t xml:space="preserve">, um die verschiedenen Leistungskennzahlen zu identifizieren und zu priorisieren. Klicken Sie auf das Oval, das die Kennzahl enthält, um zu bestimmen, ob es sich um eine zu maximierende Kennzahl (grün), eine zu minimierende Kennzahl (rot), ein Ziel handelt, das eine Untergrenze darstellt (hellgrün) oder eine Obergrenze (hellrot), oder schließlich um einen Zielwert (violett).</w:t>
      </w:r>
    </w:p>
    <w:p>
      <w:pPr>
        <w:numPr>
          <w:ilvl w:val="0"/>
          <w:numId w:val="1002"/>
        </w:numPr>
      </w:pPr>
      <w:r>
        <w:t xml:space="preserve">Verwenden Sie das</w:t>
      </w:r>
      <w:r>
        <w:t xml:space="preserve"> </w:t>
      </w:r>
      <w:hyperlink r:id="rId24">
        <w:r>
          <w:rPr>
            <w:rStyle w:val="Hyperlink"/>
          </w:rPr>
          <w:t xml:space="preserve">Entscheidungspriorisierungs-Werkzeug</w:t>
        </w:r>
      </w:hyperlink>
      <w:r>
        <w:t xml:space="preserve">, um zunächst die verschiedenen Arten von Entscheidungen aufzulisten (verwenden Sie die</w:t>
      </w:r>
      <w:r>
        <w:t xml:space="preserve"> </w:t>
      </w:r>
      <w:hyperlink r:id="rId25">
        <w:r>
          <w:rPr>
            <w:rStyle w:val="Hyperlink"/>
          </w:rPr>
          <w:t xml:space="preserve">Arten von Entscheidungen</w:t>
        </w:r>
      </w:hyperlink>
      <w:r>
        <w:t xml:space="preserve"> </w:t>
      </w:r>
      <w:r>
        <w:t xml:space="preserve">als Orientierung). Diese füllen dann die Zeilen der Matrix rechts, wobei die Spalten die Leistungskennzahlen sind, sortiert von links nach rechts nach der Priorität in der obigen Pyramide. Klicken Sie auf jede Zelle, um anzugeben, ob die Auswirkung der Entscheidung auf jede Kennzahl hoch (rot), mittel (orange), niedrig (gelb) oder keine (weiß) ist.</w:t>
      </w:r>
    </w:p>
    <w:p>
      <w:pPr>
        <w:numPr>
          <w:ilvl w:val="0"/>
          <w:numId w:val="1002"/>
        </w:numPr>
      </w:pPr>
      <w:r>
        <w:t xml:space="preserve">Sie können den Griff (drei Balken) ganz links in jeder Zeile nehmen, um sie nach oben oder unten zu verschieben. Sortieren Sie die Zeilen so, dass die Entscheidungen mit den größten Auswirkungen auf die wichtigsten Kennzahlen weiter oben stehen. Die Zellen in der oberen linken Ecke sollten die größte Konzentration roter und oranger Zellen aufweisen. Identifizieren Sie an diesem Punkt die Entscheidungen, die in Ihrer Studie die meiste Aufmerksamkeit erhalten sollten. Wenn Sie keine Entscheidungen mit mittlerer oder hoher Auswirkung auf die wichtigsten Kennzahlen haben, überarbeiten Sie Ihre Liste der Entscheidungen.</w:t>
      </w:r>
    </w:p>
    <w:p>
      <w:pPr>
        <w:numPr>
          <w:ilvl w:val="0"/>
          <w:numId w:val="1002"/>
        </w:numPr>
      </w:pPr>
      <w:r>
        <w:t xml:space="preserve">Wiederholen Sie den Prozess, um die Unsicherheiten mit dem</w:t>
      </w:r>
      <w:r>
        <w:t xml:space="preserve"> </w:t>
      </w:r>
      <w:hyperlink r:id="rId26">
        <w:r>
          <w:rPr>
            <w:rStyle w:val="Hyperlink"/>
          </w:rPr>
          <w:t xml:space="preserve">Unsicherheitspriorisierungs-Werkzeug</w:t>
        </w:r>
      </w:hyperlink>
      <w:r>
        <w:t xml:space="preserve"> </w:t>
      </w:r>
      <w:r>
        <w:t xml:space="preserve">aufzulisten und zu priorisieren. Verwenden Sie die</w:t>
      </w:r>
      <w:r>
        <w:t xml:space="preserve"> </w:t>
      </w:r>
      <w:hyperlink r:id="rId27">
        <w:r>
          <w:rPr>
            <w:rStyle w:val="Hyperlink"/>
          </w:rPr>
          <w:t xml:space="preserve">Kategorien von Unsicherheit</w:t>
        </w:r>
      </w:hyperlink>
      <w:r>
        <w:t xml:space="preserve">, um diese zu identifizieren.</w:t>
      </w:r>
    </w:p>
    <w:p>
      <w:pPr>
        <w:numPr>
          <w:ilvl w:val="0"/>
          <w:numId w:val="1002"/>
        </w:numPr>
      </w:pPr>
      <w:r>
        <w:t xml:space="preserve">Es ist wichtig, Unsicherheiten zu unterscheiden, die im Durchschnitt oder als Risikoereignisse bewertet werden können:</w:t>
      </w:r>
    </w:p>
    <w:p>
      <w:pPr>
        <w:numPr>
          <w:ilvl w:val="1"/>
          <w:numId w:val="1003"/>
        </w:numPr>
      </w:pPr>
      <w:r>
        <w:t xml:space="preserve">Welche Unsicherheitsquellen würden anhand der durchschnittlichen Leistung über die Zeit erfasst?</w:t>
      </w:r>
    </w:p>
    <w:p>
      <w:pPr>
        <w:numPr>
          <w:ilvl w:val="1"/>
          <w:numId w:val="1003"/>
        </w:numPr>
      </w:pPr>
      <w:r>
        <w:t xml:space="preserve">Welche Unsicherheitsquellen stellen Formen von Risiko dar, die durch Durchschnittswerte nicht angemessen erfasst werden?</w:t>
      </w:r>
    </w:p>
    <w:p>
      <w:pPr>
        <w:numPr>
          <w:ilvl w:val="0"/>
          <w:numId w:val="1002"/>
        </w:numPr>
      </w:pPr>
      <w:r>
        <w:t xml:space="preserve">Wählen Sie die einzelne Entscheidung, die die größte Auswirkung auf die wichtigste Kennzahl zu haben scheint.</w:t>
      </w:r>
    </w:p>
    <w:p>
      <w:pPr>
        <w:numPr>
          <w:ilvl w:val="1"/>
          <w:numId w:val="1004"/>
        </w:numPr>
      </w:pPr>
      <w:r>
        <w:t xml:space="preserve">Welchen Ansatz würden Sie vermutlich verwenden, um diese Entscheidung zu treffen?</w:t>
      </w:r>
    </w:p>
    <w:p>
      <w:pPr>
        <w:numPr>
          <w:ilvl w:val="1"/>
          <w:numId w:val="1004"/>
        </w:numPr>
      </w:pPr>
      <w:r>
        <w:t xml:space="preserve">Welche Daten scheinen notwendig zu sein, um diese Entscheidung zu treffen, einschließlich der Berechnung etwaiger Leistungskennzahlen, auf die die Entscheidung hohe oder mittlere Auswirkungen hat.</w:t>
      </w:r>
    </w:p>
    <w:p>
      <w:pPr>
        <w:numPr>
          <w:ilvl w:val="0"/>
          <w:numId w:val="1002"/>
        </w:numPr>
      </w:pPr>
      <w:r>
        <w:t xml:space="preserve">Identifizieren Sie unter Verwendung derselben Entscheidung, die Sie in (7) identifiziert haben, die Personen, Abteilungen, Gruppen oder Organisationen, mit denen Sie zusammenarbeiten müssten, um die Entscheidung umzusetzen.</w:t>
      </w:r>
    </w:p>
    <w:bookmarkEnd w:id="28"/>
    <w:bookmarkStart w:id="29" w:name="hinweis-zu-daten-und-quellen"/>
    <w:p>
      <w:pPr>
        <w:pStyle w:val="Heading1"/>
      </w:pPr>
      <w:r>
        <w:t xml:space="preserve">Hinweis zu Daten und Quellen</w:t>
      </w:r>
    </w:p>
    <w:p>
      <w:pPr>
        <w:pStyle w:val="FirstParagraph"/>
      </w:pPr>
      <w:r>
        <w:t xml:space="preserve">Alle Unternehmen, Personen, Ereignisse, Buchungsdatensätze, Finanzkennzahlen und betrieblichen Alternativen in diesem Fall sind fiktiv. Der Branchenkontext wurde informiert durch Warren B. Powell, Bridging Decision Problems, Volume I, Kapitel 2, „Hotel Revenue Management“; CoStar/STR-Berichterstattung zur US-Hotelauslastung, durchschnittlichen Tagesrate und dem Umsatz pro verfügbarem Zimmer für 2025; den 2025 State of the Industry-Bericht der American Hotel &amp; Lodging Association; und veröffentlichte Schätzungen zu Kanal-Stornierungen für 2025. Der Fall ist für die Diskussion konzipiert und stellt keine bevorzugte Lösung dar.</w:t>
      </w:r>
    </w:p>
    <w:bookmarkEnd w:id="29"/>
    <w:bookmarkStart w:id="32" w:name="chatgpt-notizen"/>
    <w:p>
      <w:pPr>
        <w:pStyle w:val="Heading1"/>
      </w:pPr>
      <w:r>
        <w:t xml:space="preserve">ChatGPT-Notizen</w:t>
      </w:r>
    </w:p>
    <w:bookmarkStart w:id="30" w:name="prompt"/>
    <w:p>
      <w:pPr>
        <w:pStyle w:val="Heading2"/>
      </w:pPr>
      <w:r>
        <w:t xml:space="preserve">Prompt</w:t>
      </w:r>
    </w:p>
    <w:p>
      <w:pPr>
        <w:pStyle w:val="FirstParagraph"/>
      </w:pPr>
      <w:r>
        <w:t xml:space="preserve">Schreiben Sie eine 4-6-seitige Fallstudie basierend auf dem Material im Abschnitt unter https://warrenpowell.org/bridging-vol1/chapter-2/#hotel-revenue-management. Erstellen Sie einen Kontext basierend auf den Kennzahlen, Entscheidungen und Unsicherheiten in diesem Abschnitt, jedoch ohne explizit darauf aufmerksam zu machen. Motivieren Sie Ihr Fallproblem mit Daten.</w:t>
      </w:r>
    </w:p>
    <w:bookmarkEnd w:id="30"/>
    <w:bookmarkStart w:id="31" w:name="zusammenfassung"/>
    <w:p>
      <w:pPr>
        <w:pStyle w:val="Heading2"/>
      </w:pPr>
      <w:r>
        <w:t xml:space="preserve">Zusammenfassung</w:t>
      </w:r>
    </w:p>
    <w:p>
      <w:pPr>
        <w:pStyle w:val="FirstParagraph"/>
      </w:pPr>
      <w:r>
        <w:t xml:space="preserve">Vorausreservierungen über einen achtwöchigen Planungshorizont</w:t>
      </w:r>
    </w:p>
    <w:p>
      <w:pPr>
        <w:pStyle w:val="BodyText"/>
      </w:pPr>
      <w:r>
        <w:t xml:space="preserve">Dynamische Zimmerpreisgestaltung und rabattierte Tarifbeschränkungen</w:t>
      </w:r>
    </w:p>
    <w:p>
      <w:pPr>
        <w:pStyle w:val="BodyText"/>
      </w:pPr>
      <w:r>
        <w:t xml:space="preserve">Geschäfts-, Freizeit-, Konferenz- und Gruppenkunden</w:t>
      </w:r>
    </w:p>
    <w:p>
      <w:pPr>
        <w:pStyle w:val="BodyText"/>
      </w:pPr>
      <w:r>
        <w:t xml:space="preserve">Direktbuchungen, Online-Reisebüros, Firmenverkauf, Suchmaschinenwerbung, soziale Medien und Treuemarketing</w:t>
      </w:r>
    </w:p>
    <w:p>
      <w:pPr>
        <w:pStyle w:val="BodyText"/>
      </w:pPr>
      <w:r>
        <w:t xml:space="preserve">Serviceleistungspakete mit Frühstück, Parken, flexibler Stornierung und Tagungsräumen</w:t>
      </w:r>
    </w:p>
    <w:p>
      <w:pPr>
        <w:pStyle w:val="BodyText"/>
      </w:pPr>
      <w:r>
        <w:t xml:space="preserve">Buchungsstornierungen, Wettbewerberverhalten, unsichere Veranstaltungsteilnahme und spät eintreffende Nachfrage</w:t>
      </w:r>
    </w:p>
    <w:p>
      <w:pPr>
        <w:pStyle w:val="BodyText"/>
      </w:pPr>
      <w:r>
        <w:t xml:space="preserve">Fünf quantitative Exhibits und zehn Diskussionsfragen</w:t>
      </w:r>
    </w:p>
    <w:p>
      <w:pPr>
        <w:pStyle w:val="BodyText"/>
      </w:pPr>
      <w:r>
        <w:t xml:space="preserve">Eine ungelöste Managemententscheidung ohne bevorzugte Lösung</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2026-09-11T16:13:48Z</dcterms:created>
  <dcterms:modified xsi:type="dcterms:W3CDTF">2026-09-11T16:13:48Z</dcterms:modified>
</cp:coreProperties>
</file>

<file path=docProps/custom.xml><?xml version="1.0" encoding="utf-8"?>
<Properties xmlns="http://schemas.openxmlformats.org/officeDocument/2006/custom-properties" xmlns:vt="http://schemas.openxmlformats.org/officeDocument/2006/docPropsVTypes"/>
</file>