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Hearthline Home</w:t>
      </w:r>
    </w:p>
    <w:p>
      <w:pPr>
        <w:pStyle w:val="BodyText"/>
      </w:pPr>
      <w:r>
        <w:t xml:space="preserve">Das Problem der Nachfragebalancierung</w:t>
      </w:r>
    </w:p>
    <w:p>
      <w:pPr>
        <w:pStyle w:val="BodyText"/>
      </w:pPr>
      <w:r>
        <w:t xml:space="preserve">Ein Business Case zu Sortiment, Preisgestaltung, Promotion, digitalem Marketing und Kundenverhalten</w:t>
      </w:r>
    </w:p>
    <w:tbl>
      <w:tblPr>
        <w:tblStyle w:val="Table"/>
        <w:tblW w:type="auto" w:w="0"/>
        <w:tblLook w:firstRow="0" w:lastRow="0" w:firstColumn="0" w:lastColumn="0" w:noHBand="0" w:noVBand="0" w:val="0000"/>
      </w:tblPr>
      <w:tblGrid>
        <w:gridCol w:w="7920"/>
      </w:tblGrid>
      <w:tr>
        <w:tc>
          <w:tcPr/>
          <w:p>
            <w:pPr>
              <w:pStyle w:val="Compact"/>
            </w:pPr>
            <w:r>
              <w:t xml:space="preserve">Im September 2026 muss ein regionaler Möbelhändler entscheiden, wie aggressiv die Nachfrage vor der Weihnachtssaison angeregt werden soll — ohne Fehlbestände bei beliebten Stilen oder starke Preisnachlässe bei Produkten zu verursachen, die Kunden nicht mehr wollen.</w:t>
            </w:r>
          </w:p>
        </w:tc>
      </w:tr>
    </w:tbl>
    <w:p>
      <w:r>
        <w:pict>
          <v:rect style="width:0;height:1.5pt" o:hralign="center" o:hrstd="t" o:hr="t"/>
        </w:pict>
      </w:r>
    </w:p>
    <w:p>
      <w:pPr>
        <w:pStyle w:val="FirstParagraph"/>
      </w:pPr>
      <w:r>
        <w:t xml:space="preserve">Dieser Fall ist fiktiv und für den Lehrgebrauch bestimmt. Namen, Ereignisse, Fonds und interne Kennzahlen sind erfunden, obwohl das Branchenumfeld durch öffentliche Daten motiviert ist.</w:t>
      </w:r>
    </w:p>
    <w:bookmarkStart w:id="9" w:name="die-montagssitzung"/>
    <w:p>
      <w:pPr>
        <w:pStyle w:val="Heading1"/>
      </w:pPr>
      <w:r>
        <w:t xml:space="preserve">Die Montagssitzung</w:t>
      </w:r>
    </w:p>
    <w:p>
      <w:pPr>
        <w:pStyle w:val="FirstParagraph"/>
      </w:pPr>
      <w:r>
        <w:t xml:space="preserve">Um 8:10 Uhr am Montagmorgen beobachtete Elena Marquez, Chief Commercial Officer von Hearthline Home, wie sich das Wochenend-Verkaufsdashboard des Unternehmens zum dritten Mal aktualisierte. Der Website-Traffic war nach einer bezahlten Social-Media-Kampagne um 24 Prozent gestiegen, doch abgeschlossene Käufe hatten nur um 5 Prozent zugenommen. In den Filialen verkaufte sich das neue modulare Sofa Solace schneller als erwartet in zwei Großstadtmärkten, bewegte sich aber anderswo kaum. Gleichzeitig hielt das Unternehmen fast vier Monate Bestand einer klassischen Esszimmerkollektion, die als saisonaler Erfolg prognostiziert worden war.</w:t>
      </w:r>
    </w:p>
    <w:p>
      <w:pPr>
        <w:pStyle w:val="BodyText"/>
      </w:pPr>
      <w:r>
        <w:t xml:space="preserve">Hearthline betrieb 31 Filialen und eine E-Commerce-Website in acht Bundesstaaten des Mittleren Westens und der Mid-Atlantic-Region. Es verkaufte Sofas, Schlafzimmergarnituren, Esszimmermöbel, Home-Office-Möbel und Accessoires. Die meisten gepolsterten Produkte wurden inländisch aus importierten Rahmen und Stoffen montiert; feste Möbelstücke (</w:t>
      </w:r>
      <w:r>
        <w:t xml:space="preserve">“case goods”</w:t>
      </w:r>
      <w:r>
        <w:t xml:space="preserve">) kamen hauptsächlich aus Asien und Europa. Die Standard-Wiederauffüllung dauerte 10 bis 18 Wochen, und Sonderbestellungen konnten länger dauern.</w:t>
      </w:r>
    </w:p>
    <w:p>
      <w:pPr>
        <w:pStyle w:val="BodyText"/>
      </w:pPr>
      <w:r>
        <w:t xml:space="preserve">Das Führungskomitee hatte ein Marketing- und Promotionsbudget von 6,8 Millionen $ für die letzten vier Monate des Jahres genehmigt. Das Geld konnte Fernsehen, bezahlte Suche, Social Media, Direktwerbung, lokale Veranstaltungen, Influencer-Partnerschaften, Website-Redesign-Experimente oder Preissenkungen unterstützen. Jede Wahl konnte nicht nur den Umsatz verändern, sondern auch die Mischung der Kunden und verkauften Produkte. Marquez hatte sechs Tage Zeit, um einen Plan zu empfehlen.</w:t>
      </w:r>
    </w:p>
    <w:bookmarkEnd w:id="9"/>
    <w:bookmarkStart w:id="11" w:name="X8b199eceac0e8f08d2361f820a9a7e7fd6ba6e8"/>
    <w:p>
      <w:pPr>
        <w:pStyle w:val="Heading1"/>
      </w:pPr>
      <w:r>
        <w:t xml:space="preserve">Ein Markt, der sich nicht vorhersagen ließ</w:t>
      </w:r>
    </w:p>
    <w:p>
      <w:pPr>
        <w:pStyle w:val="FirstParagraph"/>
      </w:pPr>
      <w:r>
        <w:t xml:space="preserve">Die Nachfrage nach Möbeln war schon immer schwer vorherzusagen, da Käufe groß, selten und oft mit Lebensereignissen verknüpft waren. Wohnungskäufe und Umzüge schufen Einrichtungsbedarf, aber Kunden verschoben Käufe auch, wenn Zinssätze, Inflation oder Beschäftigungsaussichten sie vorsichtig machten. Stilpräferenzen konnten sich schnell ändern, nachdem ein Produkt in einem Online-Video erschien oder ein Wettbewerber ein ähnliches Design zu einem niedrigeren Preis einführte.</w:t>
      </w:r>
    </w:p>
    <w:p>
      <w:pPr>
        <w:pStyle w:val="BodyText"/>
      </w:pPr>
      <w:r>
        <w:t xml:space="preserve">Das nationale Gesamtbild gab Hearthline wenig Trost. Daten des U.S. Census Bureau zeigten, dass die Umsätze von Möbel- und Einrichtungsgeschäften im Dezember 2025 um 5,5 Prozent unter dem Dezember 2024 lagen. Der Verkauf neuer Einfamilienhäuser belief sich 2025 schätzungsweise auf 679.000 Einheiten, leicht unter 2024. Gleichzeitig machte der E-Commerce weiterhin einen erheblichen und wachsenden Anteil der Einzelhandelsaktivität aus, wobei die geschätzten E-Commerce-Umsätze in den USA im ersten Quartal 2026 326,7 Milliarden $ betrugen. Diese Statistiken deuteten auf einen großen, aber nicht vorhersehbaren Markt hin.</w:t>
      </w:r>
    </w:p>
    <w:bookmarkStart w:id="10" w:name="X4f05312f346f705022f06a6aaa75dc2199b08b9"/>
    <w:p>
      <w:pPr>
        <w:pStyle w:val="Heading2"/>
      </w:pPr>
      <w:r>
        <w:t xml:space="preserve">Exhibit 1. Hearthline-Leistung, Januar–August 2026</w:t>
      </w:r>
    </w:p>
    <w:tbl>
      <w:tblPr>
        <w:tblStyle w:val="Table"/>
        <w:tblW w:type="pct" w:w="4870"/>
        <w:tblLayout w:type="fixed"/>
        <w:tblLook w:firstRow="1" w:lastRow="0" w:firstColumn="0" w:lastColumn="0" w:noHBand="0" w:noVBand="0" w:val="0020"/>
      </w:tblPr>
      <w:tblGrid>
        <w:gridCol w:w="2674"/>
        <w:gridCol w:w="1851"/>
        <w:gridCol w:w="1851"/>
        <w:gridCol w:w="1337"/>
      </w:tblGrid>
      <w:tr>
        <w:trPr>
          <w:tblHeader w:val="on"/>
        </w:trPr>
        <w:tc>
          <w:tcPr/>
          <w:p>
            <w:pPr>
              <w:pStyle w:val="Compact"/>
              <w:jc w:val="left"/>
            </w:pPr>
            <w:r>
              <w:t xml:space="preserve">Kennzahl</w:t>
            </w:r>
          </w:p>
        </w:tc>
        <w:tc>
          <w:tcPr/>
          <w:p>
            <w:pPr>
              <w:pStyle w:val="Compact"/>
            </w:pPr>
            <w:r>
              <w:t xml:space="preserve">2025 Vergleichswer</w:t>
            </w:r>
          </w:p>
        </w:tc>
        <w:tc>
          <w:tcPr/>
          <w:p>
            <w:pPr>
              <w:pStyle w:val="Compact"/>
            </w:pPr>
            <w:r>
              <w:t xml:space="preserve">t 2026 Ist-Wert</w:t>
            </w:r>
          </w:p>
        </w:tc>
        <w:tc>
          <w:tcPr/>
          <w:p>
            <w:pPr>
              <w:pStyle w:val="Compact"/>
              <w:jc w:val="right"/>
            </w:pPr>
            <w:r>
              <w:t xml:space="preserve">Veränderung</w:t>
            </w:r>
          </w:p>
        </w:tc>
      </w:tr>
      <w:tr>
        <w:tc>
          <w:tcPr/>
          <w:p>
            <w:pPr>
              <w:pStyle w:val="Compact"/>
              <w:jc w:val="left"/>
            </w:pPr>
            <w:r>
              <w:t xml:space="preserve">Nettoumsatz</w:t>
            </w:r>
          </w:p>
        </w:tc>
        <w:tc>
          <w:tcPr/>
          <w:p>
            <w:pPr>
              <w:pStyle w:val="Compact"/>
            </w:pPr>
            <w:r>
              <w:t xml:space="preserve">$286,4 Millionen</w:t>
            </w:r>
          </w:p>
        </w:tc>
        <w:tc>
          <w:tcPr/>
          <w:p>
            <w:pPr>
              <w:pStyle w:val="Compact"/>
            </w:pPr>
            <w:r>
              <w:t xml:space="preserve">$279,1 Million</w:t>
            </w:r>
          </w:p>
        </w:tc>
        <w:tc>
          <w:tcPr/>
          <w:p>
            <w:pPr>
              <w:pStyle w:val="Compact"/>
              <w:jc w:val="right"/>
            </w:pPr>
            <w:r>
              <w:t xml:space="preserve">en –2,5%</w:t>
            </w:r>
          </w:p>
        </w:tc>
      </w:tr>
      <w:tr>
        <w:tc>
          <w:tcPr/>
          <w:p>
            <w:pPr>
              <w:pStyle w:val="Compact"/>
              <w:jc w:val="left"/>
            </w:pPr>
            <w:r>
              <w:t xml:space="preserve">Bruttomarge</w:t>
            </w:r>
          </w:p>
        </w:tc>
        <w:tc>
          <w:tcPr/>
          <w:p>
            <w:pPr>
              <w:pStyle w:val="Compact"/>
            </w:pPr>
            <w:r>
              <w:t xml:space="preserve">46,1%</w:t>
            </w:r>
          </w:p>
        </w:tc>
        <w:tc>
          <w:tcPr/>
          <w:p>
            <w:pPr>
              <w:pStyle w:val="Compact"/>
            </w:pPr>
            <w:r>
              <w:t xml:space="preserve">43,8%</w:t>
            </w:r>
          </w:p>
        </w:tc>
        <w:tc>
          <w:tcPr/>
          <w:p>
            <w:pPr>
              <w:pStyle w:val="Compact"/>
              <w:jc w:val="right"/>
            </w:pPr>
            <w:r>
              <w:t xml:space="preserve">–2,3 Pkt.</w:t>
            </w:r>
          </w:p>
        </w:tc>
      </w:tr>
      <w:tr>
        <w:tc>
          <w:tcPr/>
          <w:p>
            <w:pPr>
              <w:pStyle w:val="Compact"/>
              <w:jc w:val="left"/>
            </w:pPr>
            <w:r>
              <w:t xml:space="preserve">Durchschnittlicher Bestell</w:t>
            </w:r>
          </w:p>
        </w:tc>
        <w:tc>
          <w:tcPr/>
          <w:p>
            <w:pPr>
              <w:pStyle w:val="Compact"/>
            </w:pPr>
            <w:r>
              <w:t xml:space="preserve">wert $1.486</w:t>
            </w:r>
          </w:p>
        </w:tc>
        <w:tc>
          <w:tcPr/>
          <w:p>
            <w:pPr>
              <w:pStyle w:val="Compact"/>
            </w:pPr>
            <w:r>
              <w:t xml:space="preserve">$1.552</w:t>
            </w:r>
          </w:p>
        </w:tc>
        <w:tc>
          <w:tcPr/>
          <w:p>
            <w:pPr>
              <w:pStyle w:val="Compact"/>
              <w:jc w:val="right"/>
            </w:pPr>
            <w:r>
              <w:t xml:space="preserve">+4,4%</w:t>
            </w:r>
          </w:p>
        </w:tc>
      </w:tr>
      <w:tr>
        <w:tc>
          <w:tcPr/>
          <w:p>
            <w:pPr>
              <w:pStyle w:val="Compact"/>
              <w:jc w:val="left"/>
            </w:pPr>
            <w:r>
              <w:t xml:space="preserve">Umwandlungsrate Filiale</w:t>
            </w:r>
          </w:p>
        </w:tc>
        <w:tc>
          <w:tcPr/>
          <w:p>
            <w:pPr>
              <w:pStyle w:val="Compact"/>
            </w:pPr>
            <w:r>
              <w:t xml:space="preserve">22,8%</w:t>
            </w:r>
          </w:p>
        </w:tc>
        <w:tc>
          <w:tcPr/>
          <w:p>
            <w:pPr>
              <w:pStyle w:val="Compact"/>
            </w:pPr>
            <w:r>
              <w:t xml:space="preserve">20,6%</w:t>
            </w:r>
          </w:p>
        </w:tc>
        <w:tc>
          <w:tcPr/>
          <w:p>
            <w:pPr>
              <w:pStyle w:val="Compact"/>
              <w:jc w:val="right"/>
            </w:pPr>
            <w:r>
              <w:t xml:space="preserve">–2,2 Pkt.</w:t>
            </w:r>
          </w:p>
        </w:tc>
      </w:tr>
      <w:tr>
        <w:tc>
          <w:tcPr/>
          <w:p>
            <w:pPr>
              <w:pStyle w:val="Compact"/>
              <w:jc w:val="left"/>
            </w:pPr>
            <w:r>
              <w:t xml:space="preserve">Umwandlungsrate Website</w:t>
            </w:r>
          </w:p>
        </w:tc>
        <w:tc>
          <w:tcPr/>
          <w:p>
            <w:pPr>
              <w:pStyle w:val="Compact"/>
            </w:pPr>
            <w:r>
              <w:t xml:space="preserve">1,82%</w:t>
            </w:r>
          </w:p>
        </w:tc>
        <w:tc>
          <w:tcPr/>
          <w:p>
            <w:pPr>
              <w:pStyle w:val="Compact"/>
            </w:pPr>
            <w:r>
              <w:t xml:space="preserve">1,54%</w:t>
            </w:r>
          </w:p>
        </w:tc>
        <w:tc>
          <w:tcPr/>
          <w:p>
            <w:pPr>
              <w:pStyle w:val="Compact"/>
              <w:jc w:val="right"/>
            </w:pPr>
            <w:r>
              <w:t xml:space="preserve">–0,28 Pkt.</w:t>
            </w:r>
          </w:p>
        </w:tc>
      </w:tr>
      <w:tr>
        <w:tc>
          <w:tcPr/>
          <w:p>
            <w:pPr>
              <w:pStyle w:val="Compact"/>
              <w:jc w:val="left"/>
            </w:pPr>
            <w:r>
              <w:t xml:space="preserve">Verspätet ausgelieferte Be</w:t>
            </w:r>
          </w:p>
        </w:tc>
        <w:tc>
          <w:tcPr/>
          <w:p>
            <w:pPr>
              <w:pStyle w:val="Compact"/>
            </w:pPr>
            <w:r>
              <w:t xml:space="preserve">stellungen 8,7%</w:t>
            </w:r>
          </w:p>
        </w:tc>
        <w:tc>
          <w:tcPr/>
          <w:p>
            <w:pPr>
              <w:pStyle w:val="Compact"/>
            </w:pPr>
            <w:r>
              <w:t xml:space="preserve">13,9%</w:t>
            </w:r>
          </w:p>
        </w:tc>
        <w:tc>
          <w:tcPr/>
          <w:p>
            <w:pPr>
              <w:pStyle w:val="Compact"/>
              <w:jc w:val="right"/>
            </w:pPr>
            <w:r>
              <w:t xml:space="preserve">+5,2 Pkt.</w:t>
            </w:r>
          </w:p>
        </w:tc>
      </w:tr>
      <w:tr>
        <w:tc>
          <w:tcPr/>
          <w:p>
            <w:pPr>
              <w:pStyle w:val="Compact"/>
              <w:jc w:val="left"/>
            </w:pPr>
            <w:r>
              <w:t xml:space="preserve">Bestand zu Kosten</w:t>
            </w:r>
          </w:p>
        </w:tc>
        <w:tc>
          <w:tcPr/>
          <w:p>
            <w:pPr>
              <w:pStyle w:val="Compact"/>
            </w:pPr>
            <w:r>
              <w:t xml:space="preserve">$82,6 Millionen</w:t>
            </w:r>
          </w:p>
        </w:tc>
        <w:tc>
          <w:tcPr/>
          <w:p>
            <w:pPr>
              <w:pStyle w:val="Compact"/>
            </w:pPr>
            <w:r>
              <w:t xml:space="preserve">$103,4 Millione</w:t>
            </w:r>
          </w:p>
        </w:tc>
        <w:tc>
          <w:tcPr/>
          <w:p>
            <w:pPr>
              <w:pStyle w:val="Compact"/>
              <w:jc w:val="right"/>
            </w:pPr>
            <w:r>
              <w:t xml:space="preserve">n +25,2%</w:t>
            </w:r>
          </w:p>
        </w:tc>
      </w:tr>
      <w:tr>
        <w:tc>
          <w:tcPr/>
          <w:p>
            <w:pPr>
              <w:pStyle w:val="Compact"/>
              <w:jc w:val="left"/>
            </w:pPr>
            <w:r>
              <w:t xml:space="preserve">Werbeaufwand $12,1</w:t>
            </w:r>
          </w:p>
        </w:tc>
        <w:tc>
          <w:tcPr/>
          <w:p>
            <w:pPr>
              <w:pStyle w:val="Compact"/>
            </w:pPr>
            <w:r>
              <w:t xml:space="preserve">Millionen $14,</w:t>
            </w:r>
          </w:p>
        </w:tc>
        <w:tc>
          <w:tcPr/>
          <w:p>
            <w:pPr>
              <w:pStyle w:val="Compact"/>
            </w:pPr>
            <w:r>
              <w:t xml:space="preserve">8 Millionen +22,</w:t>
            </w:r>
          </w:p>
        </w:tc>
        <w:tc>
          <w:tcPr/>
          <w:p>
            <w:pPr>
              <w:pStyle w:val="Compact"/>
              <w:jc w:val="right"/>
            </w:pPr>
            <w:r>
              <w:t xml:space="preserve">3%</w:t>
            </w:r>
          </w:p>
        </w:tc>
      </w:tr>
    </w:tbl>
    <w:p>
      <w:pPr>
        <w:pStyle w:val="BodyText"/>
      </w:pPr>
      <w:r>
        <w:t xml:space="preserve">Das Finanzteam argumentierte, dass Hearthline Traffic kaufte statt profitabler Nachfrage. Der digitale Werbeaufwand war gestiegen, doch die Konversion war zurückgegangen. Das Merchandising-Team hielt dagegen, dass das Problem nicht der Traffic, sondern die Verfügbarkeit sei: Kunden, die auf beliebte Konfigurationen klickten, stießen oft auf Lieferzeitschätzungen von 10 bis 14 Wochen. Filialleiter bieten eine andere Erklärung an — Kunden wollten größere Käufe sehen und fühlen, aber Personalkürzungen hätten an Wochenenden zu wenige erfahrene Verkaufsmitarbeiter übrig gelassen.</w:t>
      </w:r>
    </w:p>
    <w:bookmarkEnd w:id="10"/>
    <w:bookmarkEnd w:id="11"/>
    <w:bookmarkStart w:id="13" w:name="das-sortimentsproblem"/>
    <w:p>
      <w:pPr>
        <w:pStyle w:val="Heading1"/>
      </w:pPr>
      <w:r>
        <w:t xml:space="preserve">Das Sortimentsproblem</w:t>
      </w:r>
    </w:p>
    <w:p>
      <w:pPr>
        <w:pStyle w:val="FirstParagraph"/>
      </w:pPr>
      <w:r>
        <w:t xml:space="preserve">Hearthline führte etwa 4.800 aktive Lagerartikel (SKUs), obwohl 420 Produkte 61 Prozent des Umsatzes erzeugten. Das Management hatte das Sortiment erweitert, um die Sichtbarkeit in Suchmaschinen zu verbessern und den Kunden mehr Auswahl zu geben. Das Ergebnis war ein langer Schweif langsam drehender Artikel, komplizierte Displays und fragmentierte Bestände. Ein Sofa konnte in sechs Stoffen und drei Konfigurationen angeboten werden, aber die von Kunden bevorzugten Kombinationen unterschieden sich stark je nach Region.</w:t>
      </w:r>
    </w:p>
    <w:bookmarkStart w:id="12" w:name="exhibit-2.-ausgewählte-produktfamilien"/>
    <w:p>
      <w:pPr>
        <w:pStyle w:val="Heading2"/>
      </w:pPr>
      <w:r>
        <w:t xml:space="preserve">Exhibit 2. Ausgewählte Produktfamilien</w:t>
      </w:r>
    </w:p>
    <w:tbl>
      <w:tblPr>
        <w:tblStyle w:val="Table"/>
        <w:tblW w:type="pct" w:w="4924"/>
        <w:tblLayout w:type="fixed"/>
        <w:tblLook w:firstRow="1" w:lastRow="0" w:firstColumn="0" w:lastColumn="0" w:noHBand="0" w:noVBand="0" w:val="0020"/>
      </w:tblPr>
      <w:tblGrid>
        <w:gridCol w:w="1632"/>
        <w:gridCol w:w="906"/>
        <w:gridCol w:w="1088"/>
        <w:gridCol w:w="846"/>
        <w:gridCol w:w="3325"/>
      </w:tblGrid>
      <w:tr>
        <w:trPr>
          <w:tblHeader w:val="on"/>
        </w:trPr>
        <w:tc>
          <w:tcPr/>
          <w:p>
            <w:pPr>
              <w:pStyle w:val="Compact"/>
              <w:jc w:val="left"/>
            </w:pPr>
            <w:r>
              <w:t xml:space="preserve">Produktfamilie</w:t>
            </w:r>
          </w:p>
        </w:tc>
        <w:tc>
          <w:tcPr/>
          <w:p>
            <w:pPr>
              <w:pStyle w:val="Compact"/>
            </w:pPr>
            <w:r>
              <w:t xml:space="preserve">Bruttomarge B</w:t>
            </w:r>
          </w:p>
        </w:tc>
        <w:tc>
          <w:tcPr/>
          <w:p>
            <w:pPr>
              <w:pStyle w:val="Compact"/>
            </w:pPr>
            <w:r>
              <w:t xml:space="preserve">estandsreichweite</w:t>
            </w:r>
          </w:p>
        </w:tc>
        <w:tc>
          <w:tcPr/>
          <w:p>
            <w:pPr>
              <w:pStyle w:val="Compact"/>
            </w:pPr>
            <w:r>
              <w:t xml:space="preserve">(Wochen) Ver</w:t>
            </w:r>
          </w:p>
        </w:tc>
        <w:tc>
          <w:tcPr/>
          <w:p>
            <w:pPr>
              <w:pStyle w:val="Compact"/>
              <w:jc w:val="left"/>
            </w:pPr>
            <w:r>
              <w:t xml:space="preserve">spätete Bestellungen Aktuelles Nachfragesignal</w:t>
            </w:r>
          </w:p>
        </w:tc>
      </w:tr>
      <w:tr>
        <w:tc>
          <w:tcPr/>
          <w:p>
            <w:pPr>
              <w:pStyle w:val="Compact"/>
              <w:jc w:val="left"/>
            </w:pPr>
            <w:r>
              <w:t xml:space="preserve">Solace Modularsitzmöbel</w:t>
            </w:r>
          </w:p>
        </w:tc>
        <w:tc>
          <w:tcPr/>
          <w:p>
            <w:pPr>
              <w:pStyle w:val="Compact"/>
            </w:pPr>
            <w:r>
              <w:t xml:space="preserve">49%</w:t>
            </w:r>
          </w:p>
        </w:tc>
        <w:tc>
          <w:tcPr/>
          <w:p>
            <w:pPr>
              <w:pStyle w:val="Compact"/>
            </w:pPr>
            <w:r>
              <w:t xml:space="preserve">5,2</w:t>
            </w:r>
          </w:p>
        </w:tc>
        <w:tc>
          <w:tcPr/>
          <w:p>
            <w:pPr>
              <w:pStyle w:val="Compact"/>
            </w:pPr>
            <w:r>
              <w:t xml:space="preserve">28%</w:t>
            </w:r>
          </w:p>
        </w:tc>
        <w:tc>
          <w:tcPr/>
          <w:p>
            <w:pPr>
              <w:pStyle w:val="Compact"/>
              <w:jc w:val="left"/>
            </w:pPr>
            <w:r>
              <w:t xml:space="preserve">Starkes Interesse in sozialen Medien; regionale Konzentration</w:t>
            </w:r>
          </w:p>
        </w:tc>
      </w:tr>
      <w:tr>
        <w:tc>
          <w:tcPr/>
          <w:p>
            <w:pPr>
              <w:pStyle w:val="Compact"/>
              <w:jc w:val="left"/>
            </w:pPr>
            <w:r>
              <w:t xml:space="preserve">Harbor Performance-Sofas</w:t>
            </w:r>
          </w:p>
        </w:tc>
        <w:tc>
          <w:tcPr/>
          <w:p>
            <w:pPr>
              <w:pStyle w:val="Compact"/>
            </w:pPr>
            <w:r>
              <w:t xml:space="preserve">44%</w:t>
            </w:r>
          </w:p>
        </w:tc>
        <w:tc>
          <w:tcPr/>
          <w:p>
            <w:pPr>
              <w:pStyle w:val="Compact"/>
            </w:pPr>
            <w:r>
              <w:t xml:space="preserve">9,1</w:t>
            </w:r>
          </w:p>
        </w:tc>
        <w:tc>
          <w:tcPr/>
          <w:p>
            <w:pPr>
              <w:pStyle w:val="Compact"/>
            </w:pPr>
            <w:r>
              <w:t xml:space="preserve">14%</w:t>
            </w:r>
          </w:p>
        </w:tc>
        <w:tc>
          <w:tcPr/>
          <w:p>
            <w:pPr>
              <w:pStyle w:val="Compact"/>
              <w:jc w:val="left"/>
            </w:pPr>
            <w:r>
              <w:t xml:space="preserve">Stabile Wiederholnachfrage; steigende Preisvergleiche</w:t>
            </w:r>
          </w:p>
        </w:tc>
      </w:tr>
      <w:tr>
        <w:tc>
          <w:tcPr/>
          <w:p>
            <w:pPr>
              <w:pStyle w:val="Compact"/>
              <w:jc w:val="left"/>
            </w:pPr>
            <w:r>
              <w:t xml:space="preserve">Alden Esszimmerkollektion</w:t>
            </w:r>
          </w:p>
        </w:tc>
        <w:tc>
          <w:tcPr/>
          <w:p>
            <w:pPr>
              <w:pStyle w:val="Compact"/>
            </w:pPr>
            <w:r>
              <w:t xml:space="preserve">51%</w:t>
            </w:r>
          </w:p>
        </w:tc>
        <w:tc>
          <w:tcPr/>
          <w:p>
            <w:pPr>
              <w:pStyle w:val="Compact"/>
            </w:pPr>
            <w:r>
              <w:t xml:space="preserve">17,8</w:t>
            </w:r>
          </w:p>
        </w:tc>
        <w:tc>
          <w:tcPr/>
          <w:p>
            <w:pPr>
              <w:pStyle w:val="Compact"/>
            </w:pPr>
            <w:r>
              <w:t xml:space="preserve">3%</w:t>
            </w:r>
          </w:p>
        </w:tc>
        <w:tc>
          <w:tcPr/>
          <w:p>
            <w:pPr>
              <w:pStyle w:val="Compact"/>
              <w:jc w:val="left"/>
            </w:pPr>
            <w:r>
              <w:t xml:space="preserve">Schwache Konversion trotz starkem Website-Traffic</w:t>
            </w:r>
          </w:p>
        </w:tc>
      </w:tr>
      <w:tr>
        <w:tc>
          <w:tcPr/>
          <w:p>
            <w:pPr>
              <w:pStyle w:val="Compact"/>
              <w:jc w:val="left"/>
            </w:pPr>
            <w:r>
              <w:t xml:space="preserve">Luma Schlafzimmerkollektion</w:t>
            </w:r>
          </w:p>
        </w:tc>
        <w:tc>
          <w:tcPr/>
          <w:p>
            <w:pPr>
              <w:pStyle w:val="Compact"/>
            </w:pPr>
            <w:r>
              <w:t xml:space="preserve">47%</w:t>
            </w:r>
          </w:p>
        </w:tc>
        <w:tc>
          <w:tcPr/>
          <w:p>
            <w:pPr>
              <w:pStyle w:val="Compact"/>
            </w:pPr>
            <w:r>
              <w:t xml:space="preserve">11,6</w:t>
            </w:r>
          </w:p>
        </w:tc>
        <w:tc>
          <w:tcPr/>
          <w:p>
            <w:pPr>
              <w:pStyle w:val="Compact"/>
            </w:pPr>
            <w:r>
              <w:t xml:space="preserve">9%</w:t>
            </w:r>
          </w:p>
        </w:tc>
        <w:tc>
          <w:tcPr/>
          <w:p>
            <w:pPr>
              <w:pStyle w:val="Compact"/>
              <w:jc w:val="left"/>
            </w:pPr>
            <w:r>
              <w:t xml:space="preserve">Steigende Nachfrage unter Erstkäufern von Wohneigentum</w:t>
            </w:r>
          </w:p>
        </w:tc>
      </w:tr>
      <w:tr>
        <w:tc>
          <w:tcPr/>
          <w:p>
            <w:pPr>
              <w:pStyle w:val="Compact"/>
              <w:jc w:val="left"/>
            </w:pPr>
            <w:r>
              <w:t xml:space="preserve">Studio Home-Office 4</w:t>
            </w:r>
          </w:p>
        </w:tc>
        <w:tc>
          <w:tcPr/>
          <w:p>
            <w:pPr>
              <w:pStyle w:val="Compact"/>
            </w:pPr>
            <w:r>
              <w:t xml:space="preserve">2% 1</w:t>
            </w:r>
          </w:p>
        </w:tc>
        <w:tc>
          <w:tcPr/>
          <w:p>
            <w:pPr>
              <w:pStyle w:val="Compact"/>
            </w:pPr>
            <w:r>
              <w:t xml:space="preserve">5,4 5</w:t>
            </w:r>
          </w:p>
        </w:tc>
        <w:tc>
          <w:tcPr/>
          <w:p>
            <w:pPr>
              <w:pStyle w:val="Compact"/>
            </w:pPr>
            <w:r>
              <w:t xml:space="preserve">% U</w:t>
            </w:r>
          </w:p>
        </w:tc>
        <w:tc>
          <w:tcPr/>
          <w:p>
            <w:pPr>
              <w:pStyle w:val="Compact"/>
              <w:jc w:val="left"/>
            </w:pPr>
            <w:r>
              <w:t xml:space="preserve">msatzrückgang nach zwei starken Jahren</w:t>
            </w:r>
          </w:p>
        </w:tc>
      </w:tr>
      <w:tr>
        <w:tc>
          <w:tcPr/>
          <w:p>
            <w:pPr>
              <w:pStyle w:val="Compact"/>
              <w:jc w:val="left"/>
            </w:pPr>
            <w:r>
              <w:t xml:space="preserve">Accessoires und Dekoration</w:t>
            </w:r>
          </w:p>
        </w:tc>
        <w:tc>
          <w:tcPr/>
          <w:p>
            <w:pPr>
              <w:pStyle w:val="Compact"/>
            </w:pPr>
            <w:r>
              <w:t xml:space="preserve">58%</w:t>
            </w:r>
          </w:p>
        </w:tc>
        <w:tc>
          <w:tcPr/>
          <w:p>
            <w:pPr>
              <w:pStyle w:val="Compact"/>
            </w:pPr>
            <w:r>
              <w:t xml:space="preserve">7,0</w:t>
            </w:r>
          </w:p>
        </w:tc>
        <w:tc>
          <w:tcPr/>
          <w:p>
            <w:pPr>
              <w:pStyle w:val="Compact"/>
            </w:pPr>
            <w:r>
              <w:t xml:space="preserve">2%</w:t>
            </w:r>
          </w:p>
        </w:tc>
        <w:tc>
          <w:tcPr/>
          <w:p>
            <w:pPr>
              <w:pStyle w:val="Compact"/>
              <w:jc w:val="left"/>
            </w:pPr>
            <w:r>
              <w:t xml:space="preserve">Hohe Zusatzmarge; uneinheitliche Präsentation</w:t>
            </w:r>
          </w:p>
        </w:tc>
      </w:tr>
    </w:tbl>
    <w:p>
      <w:pPr>
        <w:pStyle w:val="BodyText"/>
      </w:pPr>
      <w:r>
        <w:t xml:space="preserve">Die Merchandising-Gruppe schlug vor, 900 Produkte mit geringem Volumen von Website und Filialen zu entfernen und das Marketing dann auf 12</w:t>
      </w:r>
      <w:r>
        <w:t xml:space="preserve"> </w:t>
      </w:r>
      <w:r>
        <w:t xml:space="preserve">“Hero”</w:t>
      </w:r>
      <w:r>
        <w:t xml:space="preserve">-Kollektionen zu konzentrieren. Die E-Commerce-Gruppe widersprach der Idee. Ein breites Sortiment zog Suchverkehr an und erlaubte es Hearthline, über aufkommende Geschmäcker zu lernen, selbst wenn ein Besucher nicht sofort kaufte. Die Filialorganisation befürchtete, dass eine Standardisierung der Sortimente lokale Wohnstile, Demografie und Einkommensniveaus ignorieren würde.</w:t>
      </w:r>
    </w:p>
    <w:bookmarkEnd w:id="12"/>
    <w:bookmarkEnd w:id="13"/>
    <w:bookmarkStart w:id="15" w:name="Xc342efc0069b298f2f517a09f9ad1f8c290c9b4"/>
    <w:p>
      <w:pPr>
        <w:pStyle w:val="Heading1"/>
      </w:pPr>
      <w:r>
        <w:t xml:space="preserve">Preis, Promotion und das Risiko, Kunden zu trainieren</w:t>
      </w:r>
    </w:p>
    <w:p>
      <w:pPr>
        <w:pStyle w:val="FirstParagraph"/>
      </w:pPr>
      <w:r>
        <w:t xml:space="preserve">Hearthlines historischer Promotionskalender umfasste Feiertagsrabatte, Finanzierungsangebote, Raumpaket-Bundles und gelegentliche Ausverkaufs-Events. Wettbewerber waren aggressiver geworden und warben mit</w:t>
      </w:r>
      <w:r>
        <w:t xml:space="preserve"> </w:t>
      </w:r>
      <w:r>
        <w:t xml:space="preserve">“40 Prozent Rabatt”</w:t>
      </w:r>
      <w:r>
        <w:t xml:space="preserve">-Aktionen, die schwer zu vergleichen waren, da Listenpreise und Produktspezifikationen variierten. Hearthlines Kundenforschung deutete darauf hin, dass viele Käufer Käufe verzögerten, bis eine Promotion erschien.</w:t>
      </w:r>
    </w:p>
    <w:p>
      <w:pPr>
        <w:pStyle w:val="BodyText"/>
      </w:pPr>
      <w:r>
        <w:t xml:space="preserve">Marquez erwog eine unternehmensweite</w:t>
      </w:r>
      <w:r>
        <w:t xml:space="preserve"> </w:t>
      </w:r>
      <w:r>
        <w:t xml:space="preserve">“Richte den Raum ein”</w:t>
      </w:r>
      <w:r>
        <w:t xml:space="preserve">-Aktion: Kunden, die ein Sofa und zwei ergänzende Möbelstücke kauften, erhielten einen 15-prozentigen Paketrabatt und kostenlose Lieferung. Das Angebot könnte den durchschnittlichen Bestellwert erhöhen und den Verkauf von Accessoires unterstützen. Es könnte aber auch die Marge bei Produkten reduzieren, die ohnehin ohne Rabatt verkauft worden wären, und kurz vor den Feiertagen zu Lieferstaus führen.</w:t>
      </w:r>
    </w:p>
    <w:bookmarkStart w:id="14" w:name="Xe39c0c0faf979aeac673306a539a96d8dd6a277"/>
    <w:p>
      <w:pPr>
        <w:pStyle w:val="Heading2"/>
      </w:pPr>
      <w:r>
        <w:t xml:space="preserve">Exhibit 3. Vorgeschlagene Nachfrage-Initiativen</w:t>
      </w:r>
    </w:p>
    <w:tbl>
      <w:tblPr>
        <w:tblStyle w:val="Table"/>
        <w:tblW w:type="pct" w:w="4918"/>
        <w:tblLayout w:type="fixed"/>
        <w:tblLook w:firstRow="1" w:lastRow="0" w:firstColumn="0" w:lastColumn="0" w:noHBand="0" w:noVBand="0" w:val="0020"/>
      </w:tblPr>
      <w:tblGrid>
        <w:gridCol w:w="1882"/>
        <w:gridCol w:w="1233"/>
        <w:gridCol w:w="2012"/>
        <w:gridCol w:w="2661"/>
      </w:tblGrid>
      <w:tr>
        <w:trPr>
          <w:tblHeader w:val="on"/>
        </w:trPr>
        <w:tc>
          <w:tcPr/>
          <w:p>
            <w:pPr>
              <w:pStyle w:val="Compact"/>
              <w:jc w:val="left"/>
            </w:pPr>
            <w:r>
              <w:t xml:space="preserve">Initiative</w:t>
            </w:r>
          </w:p>
        </w:tc>
        <w:tc>
          <w:tcPr/>
          <w:p>
            <w:pPr>
              <w:pStyle w:val="Compact"/>
            </w:pPr>
            <w:r>
              <w:t xml:space="preserve">Kosten über vier Mo</w:t>
            </w:r>
          </w:p>
        </w:tc>
        <w:tc>
          <w:tcPr/>
          <w:p>
            <w:pPr>
              <w:pStyle w:val="Compact"/>
              <w:jc w:val="left"/>
            </w:pPr>
            <w:r>
              <w:t xml:space="preserve">nate Erwartete Reichweite</w:t>
            </w:r>
          </w:p>
        </w:tc>
        <w:tc>
          <w:tcPr/>
          <w:p>
            <w:pPr>
              <w:pStyle w:val="Compact"/>
              <w:jc w:val="center"/>
            </w:pPr>
            <w:r>
              <w:t xml:space="preserve">Hauptbedenken</w:t>
            </w:r>
          </w:p>
        </w:tc>
      </w:tr>
      <w:tr>
        <w:tc>
          <w:tcPr/>
          <w:p>
            <w:pPr>
              <w:pStyle w:val="Compact"/>
              <w:jc w:val="left"/>
            </w:pPr>
            <w:r>
              <w:t xml:space="preserve">Erweiterung bezahlter Suche</w:t>
            </w:r>
          </w:p>
        </w:tc>
        <w:tc>
          <w:tcPr/>
          <w:p>
            <w:pPr>
              <w:pStyle w:val="Compact"/>
            </w:pPr>
            <w:r>
              <w:t xml:space="preserve">$1,6 Mio.</w:t>
            </w:r>
          </w:p>
        </w:tc>
        <w:tc>
          <w:tcPr/>
          <w:p>
            <w:pPr>
              <w:pStyle w:val="Compact"/>
              <w:jc w:val="left"/>
            </w:pPr>
            <w:r>
              <w:t xml:space="preserve">Kaufbereite Interesse</w:t>
            </w:r>
          </w:p>
        </w:tc>
        <w:tc>
          <w:tcPr/>
          <w:p>
            <w:pPr>
              <w:pStyle w:val="Compact"/>
              <w:jc w:val="center"/>
            </w:pPr>
            <w:r>
              <w:t xml:space="preserve">nten mit hoher Kaufabsicht Auktionskosten und Reaktion der Wettbewerber</w:t>
            </w:r>
          </w:p>
        </w:tc>
      </w:tr>
      <w:tr>
        <w:tc>
          <w:tcPr/>
          <w:p>
            <w:pPr>
              <w:pStyle w:val="Compact"/>
              <w:jc w:val="left"/>
            </w:pPr>
            <w:r>
              <w:t xml:space="preserve">Social-Video + Influencer</w:t>
            </w:r>
            <w:r>
              <w:br/>
            </w:r>
          </w:p>
        </w:tc>
        <w:tc>
          <w:tcPr/>
          <w:p>
            <w:pPr>
              <w:pStyle w:val="Compact"/>
            </w:pPr>
            <w:r>
              <w:t xml:space="preserve">$1,2 Mio.</w:t>
            </w:r>
          </w:p>
        </w:tc>
        <w:tc>
          <w:tcPr/>
          <w:p>
            <w:pPr>
              <w:pStyle w:val="Compact"/>
              <w:jc w:val="left"/>
            </w:pPr>
            <w:r>
              <w:t xml:space="preserve">Stilbewusste Haushalte</w:t>
            </w:r>
          </w:p>
        </w:tc>
        <w:tc>
          <w:tcPr/>
          <w:p>
            <w:pPr>
              <w:pStyle w:val="Compact"/>
              <w:jc w:val="center"/>
            </w:pPr>
            <w:r>
              <w:t xml:space="preserve">Views übersetzen sich möglicherweise nicht in Käufe</w:t>
            </w:r>
          </w:p>
        </w:tc>
      </w:tr>
      <w:tr>
        <w:tc>
          <w:tcPr/>
          <w:p>
            <w:pPr>
              <w:pStyle w:val="Compact"/>
              <w:jc w:val="left"/>
            </w:pPr>
            <w:r>
              <w:t xml:space="preserve">Regionales Fernsehen</w:t>
            </w:r>
            <w:r>
              <w:br/>
            </w:r>
          </w:p>
        </w:tc>
        <w:tc>
          <w:tcPr/>
          <w:p>
            <w:pPr>
              <w:pStyle w:val="Compact"/>
            </w:pPr>
            <w:r>
              <w:t xml:space="preserve">$1,5 Mio.</w:t>
            </w:r>
          </w:p>
        </w:tc>
        <w:tc>
          <w:tcPr/>
          <w:p>
            <w:pPr>
              <w:pStyle w:val="Compact"/>
              <w:jc w:val="left"/>
            </w:pPr>
            <w:r>
              <w:t xml:space="preserve">Breite lokale Bekanntheit</w:t>
            </w:r>
          </w:p>
        </w:tc>
        <w:tc>
          <w:tcPr/>
          <w:p>
            <w:pPr>
              <w:pStyle w:val="Compact"/>
              <w:jc w:val="center"/>
            </w:pPr>
            <w:r>
              <w:t xml:space="preserve">Schwache Zuordnung und Streuverluste</w:t>
            </w:r>
          </w:p>
        </w:tc>
      </w:tr>
      <w:tr>
        <w:tc>
          <w:tcPr/>
          <w:p>
            <w:pPr>
              <w:pStyle w:val="Compact"/>
              <w:jc w:val="left"/>
            </w:pPr>
            <w:r>
              <w:t xml:space="preserve">Direktwerbung Raumpakete</w:t>
            </w:r>
            <w:r>
              <w:br/>
            </w:r>
          </w:p>
        </w:tc>
        <w:tc>
          <w:tcPr/>
          <w:p>
            <w:pPr>
              <w:pStyle w:val="Compact"/>
            </w:pPr>
            <w:r>
              <w:t xml:space="preserve">$0,7 Mio.</w:t>
            </w:r>
          </w:p>
        </w:tc>
        <w:tc>
          <w:tcPr/>
          <w:p>
            <w:pPr>
              <w:pStyle w:val="Compact"/>
              <w:jc w:val="left"/>
            </w:pPr>
            <w:r>
              <w:t xml:space="preserve">Bekannte Haushalte in Filial</w:t>
            </w:r>
          </w:p>
        </w:tc>
        <w:tc>
          <w:tcPr/>
          <w:p>
            <w:pPr>
              <w:pStyle w:val="Compact"/>
              <w:jc w:val="center"/>
            </w:pPr>
            <w:r>
              <w:t xml:space="preserve">nähe Kann sich zu bestehenden Kunden hin verzerren</w:t>
            </w:r>
          </w:p>
        </w:tc>
      </w:tr>
      <w:tr>
        <w:tc>
          <w:tcPr/>
          <w:p>
            <w:pPr>
              <w:pStyle w:val="Compact"/>
              <w:jc w:val="left"/>
            </w:pPr>
            <w:r>
              <w:t xml:space="preserve">15%-Raumpaket-Rabatt $2,0</w:t>
            </w:r>
          </w:p>
        </w:tc>
        <w:tc>
          <w:tcPr/>
          <w:p>
            <w:pPr>
              <w:pStyle w:val="Compact"/>
            </w:pPr>
            <w:r>
              <w:t xml:space="preserve">Mio.–$4,5 Mio.*</w:t>
            </w:r>
          </w:p>
        </w:tc>
        <w:tc>
          <w:tcPr/>
          <w:p>
            <w:pPr>
              <w:pStyle w:val="Compact"/>
              <w:jc w:val="left"/>
            </w:pPr>
            <w:r>
              <w:t xml:space="preserve">Kunden kurz vor dem Kauf</w:t>
            </w:r>
          </w:p>
        </w:tc>
        <w:tc>
          <w:tcPr/>
          <w:p>
            <w:pPr>
              <w:pStyle w:val="Compact"/>
              <w:jc w:val="center"/>
            </w:pPr>
            <w:r>
              <w:t xml:space="preserve">Margenverlust und Nachfrageschub</w:t>
            </w:r>
          </w:p>
        </w:tc>
      </w:tr>
      <w:tr>
        <w:tc>
          <w:tcPr/>
          <w:p>
            <w:pPr>
              <w:pStyle w:val="Compact"/>
              <w:jc w:val="left"/>
            </w:pPr>
            <w:r>
              <w:t xml:space="preserve">Website-A/B-Tests $0,</w:t>
            </w:r>
          </w:p>
        </w:tc>
        <w:tc>
          <w:tcPr/>
          <w:p>
            <w:pPr>
              <w:pStyle w:val="Compact"/>
            </w:pPr>
            <w:r>
              <w:t xml:space="preserve">45 Mio.</w:t>
            </w:r>
          </w:p>
        </w:tc>
        <w:tc>
          <w:tcPr/>
          <w:p>
            <w:pPr>
              <w:pStyle w:val="Compact"/>
              <w:jc w:val="left"/>
            </w:pPr>
            <w:r>
              <w:t xml:space="preserve">Alle digitalen Besucher</w:t>
            </w:r>
          </w:p>
        </w:tc>
        <w:tc>
          <w:tcPr/>
          <w:p>
            <w:pPr>
              <w:pStyle w:val="Compact"/>
              <w:jc w:val="center"/>
            </w:pPr>
            <w:r>
              <w:t xml:space="preserve">Erkenntnisse kommen möglicherweise erst nach der Hochsaison</w:t>
            </w:r>
          </w:p>
        </w:tc>
      </w:tr>
      <w:tr>
        <w:tc>
          <w:tcPr/>
          <w:p>
            <w:pPr>
              <w:pStyle w:val="Compact"/>
              <w:jc w:val="left"/>
            </w:pPr>
            <w:r>
              <w:t xml:space="preserve">Wochenend-Personalaufstockung</w:t>
            </w:r>
          </w:p>
        </w:tc>
        <w:tc>
          <w:tcPr/>
          <w:p>
            <w:pPr>
              <w:pStyle w:val="Compact"/>
            </w:pPr>
            <w:r>
              <w:t xml:space="preserve">in Filialen</w:t>
            </w:r>
          </w:p>
        </w:tc>
        <w:tc>
          <w:tcPr/>
          <w:p>
            <w:pPr>
              <w:pStyle w:val="Compact"/>
              <w:jc w:val="left"/>
            </w:pPr>
            <w:r>
              <w:t xml:space="preserve">$0,85 Mio. Kunden i</w:t>
            </w:r>
          </w:p>
        </w:tc>
        <w:tc>
          <w:tcPr/>
          <w:p>
            <w:pPr>
              <w:pStyle w:val="Compact"/>
              <w:jc w:val="center"/>
            </w:pPr>
            <w:r>
              <w:t xml:space="preserve">n der Filiale Verzögerungen bei Einstellung und Schulung</w:t>
            </w:r>
          </w:p>
        </w:tc>
      </w:tr>
    </w:tbl>
    <w:p>
      <w:pPr>
        <w:pStyle w:val="BodyText"/>
      </w:pPr>
      <w:r>
        <w:t xml:space="preserve">*Der geschätzte Umsatzrückgang hängt von Teilnahme und Substitution ab.</w:t>
      </w:r>
    </w:p>
    <w:bookmarkEnd w:id="14"/>
    <w:bookmarkEnd w:id="15"/>
    <w:bookmarkStart w:id="17" w:name="X26df19a5a3da73ce2cd76408ce0fbc8521f38d4"/>
    <w:p>
      <w:pPr>
        <w:pStyle w:val="Heading1"/>
      </w:pPr>
      <w:r>
        <w:t xml:space="preserve">Digitale Signale und unvollkommenes Lernen</w:t>
      </w:r>
    </w:p>
    <w:p>
      <w:pPr>
        <w:pStyle w:val="FirstParagraph"/>
      </w:pPr>
      <w:r>
        <w:t xml:space="preserve">Hearthline sammelte Millionen digitaler Beobachtungen: Suchanfragen, Klicks, Produktseitenaufrufe, gespeicherte Räume, Warenkorb-Zusätze, Finanzierungsanträge, Chat-Sitzungen und abgebrochene Warenkörbe. Doch die Manager waren sich uneinig darüber, was die Daten bedeuteten. Eine Kollektion mit vielen Seitenaufrufen könnte auf starkes Interesse hinweisen — oder auf Verwirrung über Maße, Farben oder Lieferung. Eine hohe Absprungrate könnte eine unattraktive Seite, einen ungeeigneten Preis oder einen Kunden widerspiegeln, der die benötigte Information sofort gefunden hat.</w:t>
      </w:r>
    </w:p>
    <w:p>
      <w:pPr>
        <w:pStyle w:val="BodyText"/>
      </w:pPr>
      <w:r>
        <w:t xml:space="preserve">Das Analytik-Team schlug eine Reihe kontrollierter Experimente vor. Verschiedene Besucher könnten alternative Seitenlayouts, Liefermitteilungen, Finanzierungsangebote oder Produktempfehlungen sehen. Ausgewählte Filialen könnten unterschiedliche Raumpakete und Preispunkte testen. Die Tests würden jedoch Traffic verbrauchen, das Risiko uneinheitlicher Kundenerfahrungen bergen und Ergebnisse liefern, die sich möglicherweise nicht auf andere Regionen oder Jahreszeiten übertragen lassen.</w:t>
      </w:r>
    </w:p>
    <w:bookmarkStart w:id="16" w:name="exhibit-4.-digitaler-trichter-im-august"/>
    <w:p>
      <w:pPr>
        <w:pStyle w:val="Heading2"/>
      </w:pPr>
      <w:r>
        <w:t xml:space="preserve">Exhibit 4. Digitaler Trichter im August</w:t>
      </w:r>
    </w:p>
    <w:tbl>
      <w:tblPr>
        <w:tblStyle w:val="Table"/>
        <w:tblW w:type="pct" w:w="4917"/>
        <w:tblLayout w:type="fixed"/>
        <w:tblLook w:firstRow="1" w:lastRow="0" w:firstColumn="0" w:lastColumn="0" w:noHBand="0" w:noVBand="0" w:val="0020"/>
      </w:tblPr>
      <w:tblGrid>
        <w:gridCol w:w="2029"/>
        <w:gridCol w:w="1112"/>
        <w:gridCol w:w="1570"/>
        <w:gridCol w:w="3076"/>
      </w:tblGrid>
      <w:tr>
        <w:trPr>
          <w:tblHeader w:val="on"/>
        </w:trPr>
        <w:tc>
          <w:tcPr/>
          <w:p>
            <w:pPr>
              <w:pStyle w:val="Compact"/>
              <w:jc w:val="left"/>
            </w:pPr>
            <w:r>
              <w:t xml:space="preserve">Phase</w:t>
            </w:r>
          </w:p>
        </w:tc>
        <w:tc>
          <w:tcPr/>
          <w:p>
            <w:pPr>
              <w:pStyle w:val="Compact"/>
            </w:pPr>
            <w:r>
              <w:t xml:space="preserve">Monatliches Volum</w:t>
            </w:r>
          </w:p>
        </w:tc>
        <w:tc>
          <w:tcPr/>
          <w:p>
            <w:pPr>
              <w:pStyle w:val="Compact"/>
            </w:pPr>
            <w:r>
              <w:t xml:space="preserve">en Rate aus vorheriger</w:t>
            </w:r>
          </w:p>
        </w:tc>
        <w:tc>
          <w:tcPr/>
          <w:p>
            <w:pPr>
              <w:pStyle w:val="Compact"/>
              <w:jc w:val="center"/>
            </w:pPr>
            <w:r>
              <w:t xml:space="preserve">Phase Beobachtete Schwankung</w:t>
            </w:r>
          </w:p>
        </w:tc>
      </w:tr>
      <w:tr>
        <w:tc>
          <w:tcPr/>
          <w:p>
            <w:pPr>
              <w:pStyle w:val="Compact"/>
              <w:jc w:val="left"/>
            </w:pPr>
            <w:r>
              <w:t xml:space="preserve">Website-Sitzungen</w:t>
            </w:r>
          </w:p>
        </w:tc>
        <w:tc>
          <w:tcPr/>
          <w:p>
            <w:pPr>
              <w:pStyle w:val="Compact"/>
            </w:pPr>
            <w:r>
              <w:t xml:space="preserve">3.840.000</w:t>
            </w:r>
          </w:p>
        </w:tc>
        <w:tc>
          <w:tcPr/>
          <w:p>
            <w:pPr>
              <w:pStyle w:val="Compact"/>
            </w:pPr>
            <w:r>
              <w:t xml:space="preserve">—</w:t>
            </w:r>
          </w:p>
        </w:tc>
        <w:tc>
          <w:tcPr/>
          <w:p>
            <w:pPr>
              <w:pStyle w:val="Compact"/>
              <w:jc w:val="center"/>
            </w:pPr>
            <w:r>
              <w:t xml:space="preserve">±18% je Woche</w:t>
            </w:r>
          </w:p>
        </w:tc>
      </w:tr>
      <w:tr>
        <w:tc>
          <w:tcPr/>
          <w:p>
            <w:pPr>
              <w:pStyle w:val="Compact"/>
              <w:jc w:val="left"/>
            </w:pPr>
            <w:r>
              <w:t xml:space="preserve">Produktdetailansichten</w:t>
            </w:r>
          </w:p>
        </w:tc>
        <w:tc>
          <w:tcPr/>
          <w:p>
            <w:pPr>
              <w:pStyle w:val="Compact"/>
            </w:pPr>
            <w:r>
              <w:t xml:space="preserve">2.110.000</w:t>
            </w:r>
          </w:p>
        </w:tc>
        <w:tc>
          <w:tcPr/>
          <w:p>
            <w:pPr>
              <w:pStyle w:val="Compact"/>
            </w:pPr>
            <w:r>
              <w:t xml:space="preserve">55,0%</w:t>
            </w:r>
          </w:p>
        </w:tc>
        <w:tc>
          <w:tcPr/>
          <w:p>
            <w:pPr>
              <w:pStyle w:val="Compact"/>
              <w:jc w:val="center"/>
            </w:pPr>
            <w:r>
              <w:t xml:space="preserve">Möbelkategorie und Traffic-Quelle</w:t>
            </w:r>
          </w:p>
        </w:tc>
      </w:tr>
      <w:tr>
        <w:tc>
          <w:tcPr/>
          <w:p>
            <w:pPr>
              <w:pStyle w:val="Compact"/>
              <w:jc w:val="left"/>
            </w:pPr>
            <w:r>
              <w:t xml:space="preserve">Raumplaner / gespeicherter Arti</w:t>
            </w:r>
          </w:p>
        </w:tc>
        <w:tc>
          <w:tcPr/>
          <w:p>
            <w:pPr>
              <w:pStyle w:val="Compact"/>
            </w:pPr>
            <w:r>
              <w:t xml:space="preserve">kel 286.000</w:t>
            </w:r>
          </w:p>
        </w:tc>
        <w:tc>
          <w:tcPr/>
          <w:p>
            <w:pPr>
              <w:pStyle w:val="Compact"/>
            </w:pPr>
            <w:r>
              <w:t xml:space="preserve">13,6%</w:t>
            </w:r>
          </w:p>
        </w:tc>
        <w:tc>
          <w:tcPr/>
          <w:p>
            <w:pPr>
              <w:pStyle w:val="Compact"/>
              <w:jc w:val="center"/>
            </w:pPr>
            <w:r>
              <w:t xml:space="preserve">Deutlich höher bei modularen Sitzmöbeln</w:t>
            </w:r>
          </w:p>
        </w:tc>
      </w:tr>
      <w:tr>
        <w:tc>
          <w:tcPr/>
          <w:p>
            <w:pPr>
              <w:pStyle w:val="Compact"/>
              <w:jc w:val="left"/>
            </w:pPr>
            <w:r>
              <w:t xml:space="preserve">Warenkorb oder Angebot begonnen</w:t>
            </w:r>
          </w:p>
        </w:tc>
        <w:tc>
          <w:tcPr/>
          <w:p>
            <w:pPr>
              <w:pStyle w:val="Compact"/>
            </w:pPr>
            <w:r>
              <w:t xml:space="preserve">93.400</w:t>
            </w:r>
          </w:p>
        </w:tc>
        <w:tc>
          <w:tcPr/>
          <w:p>
            <w:pPr>
              <w:pStyle w:val="Compact"/>
            </w:pPr>
            <w:r>
              <w:t xml:space="preserve">32,7%</w:t>
            </w:r>
          </w:p>
        </w:tc>
        <w:tc>
          <w:tcPr/>
          <w:p>
            <w:pPr>
              <w:pStyle w:val="Compact"/>
              <w:jc w:val="center"/>
            </w:pPr>
            <w:r>
              <w:t xml:space="preserve">Fällt stark ab bei Lieferzeit &gt;8 Wochen</w:t>
            </w:r>
          </w:p>
        </w:tc>
      </w:tr>
      <w:tr>
        <w:tc>
          <w:tcPr/>
          <w:p>
            <w:pPr>
              <w:pStyle w:val="Compact"/>
              <w:jc w:val="left"/>
            </w:pPr>
            <w:r>
              <w:t xml:space="preserve">Bestellung abgeschlossen</w:t>
            </w:r>
          </w:p>
        </w:tc>
        <w:tc>
          <w:tcPr/>
          <w:p>
            <w:pPr>
              <w:pStyle w:val="Compact"/>
            </w:pPr>
            <w:r>
              <w:t xml:space="preserve">59.100</w:t>
            </w:r>
          </w:p>
        </w:tc>
        <w:tc>
          <w:tcPr/>
          <w:p>
            <w:pPr>
              <w:pStyle w:val="Compact"/>
            </w:pPr>
            <w:r>
              <w:t xml:space="preserve">63,3%</w:t>
            </w:r>
          </w:p>
        </w:tc>
        <w:tc>
          <w:tcPr/>
          <w:p>
            <w:pPr>
              <w:pStyle w:val="Compact"/>
              <w:jc w:val="center"/>
            </w:pPr>
            <w:r>
              <w:t xml:space="preserve">Empfindlich gegenüber Finanzierungszusage</w:t>
            </w:r>
          </w:p>
        </w:tc>
      </w:tr>
      <w:tr>
        <w:tc>
          <w:tcPr/>
          <w:p>
            <w:pPr>
              <w:pStyle w:val="Compact"/>
              <w:jc w:val="left"/>
            </w:pPr>
            <w:r>
              <w:t xml:space="preserve">Bestellung nach 14 Tagen erhalt</w:t>
            </w:r>
          </w:p>
        </w:tc>
        <w:tc>
          <w:tcPr/>
          <w:p>
            <w:pPr>
              <w:pStyle w:val="Compact"/>
            </w:pPr>
            <w:r>
              <w:t xml:space="preserve">en 54.800</w:t>
            </w:r>
          </w:p>
        </w:tc>
        <w:tc>
          <w:tcPr/>
          <w:p>
            <w:pPr>
              <w:pStyle w:val="Compact"/>
            </w:pPr>
            <w:r>
              <w:t xml:space="preserve">92,7%</w:t>
            </w:r>
          </w:p>
        </w:tc>
        <w:tc>
          <w:tcPr/>
          <w:p>
            <w:pPr>
              <w:pStyle w:val="Compact"/>
              <w:jc w:val="center"/>
            </w:pPr>
            <w:r>
              <w:t xml:space="preserve">Stornierungen konzentriert bei verzögerten Bestellungen</w:t>
            </w:r>
          </w:p>
        </w:tc>
      </w:tr>
    </w:tbl>
    <w:p>
      <w:pPr>
        <w:pStyle w:val="BodyText"/>
      </w:pPr>
      <w:r>
        <w:t xml:space="preserve">Der Chief Information Officer warnte vor Selbstüberschätzung. Kundenidentitäten waren über Filial-, Website- und Finanzierungssysteme fragmentiert. Manche Haushalte recherchierten online, kauften aber im Geschäft unter dem Namen eines Ehepartners. Werbeplattformen meldeten Konversionen mit unterschiedlichen Attributionsfenstern. Filialleiter trugen Bestellungen manchmal unter generischen Kundenprofilen ein, um Zeit zu sparen. Eine Kampagne konnte in einem System erfolgreich, in einem anderen erfolglos erscheinen.</w:t>
      </w:r>
    </w:p>
    <w:bookmarkEnd w:id="16"/>
    <w:bookmarkEnd w:id="17"/>
    <w:bookmarkStart w:id="18" w:name="X0b46715dbd6de09fe558b6dda7a91db0e1ab625"/>
    <w:p>
      <w:pPr>
        <w:pStyle w:val="Heading1"/>
      </w:pPr>
      <w:r>
        <w:t xml:space="preserve">Filialen, Menschen und lokales Urteilsvermögen</w:t>
      </w:r>
    </w:p>
    <w:p>
      <w:pPr>
        <w:pStyle w:val="FirstParagraph"/>
      </w:pPr>
      <w:r>
        <w:t xml:space="preserve">Filialpersonal war sowohl ein Kostenfaktor als auch ein Nachfragehebel. Erfahrene Mitarbeiter halfen Kunden, Stile zu koordinieren, Stoffauswahlen zu erklären, Finanzierungen zu arrangieren und Erwartungen an die Lieferung zu setzen. Neue Mitarbeiter benötigten Monate, um produktiv zu werden. Doch die Besetzung jeder Filiale für Spitzenverkehr war teuer, und der Fußgängerverkehr variierte mit Wetter, lokalen Veranstaltungen und Wettbewerbspromotionen.</w:t>
      </w:r>
    </w:p>
    <w:p>
      <w:pPr>
        <w:pStyle w:val="BodyText"/>
      </w:pPr>
      <w:r>
        <w:t xml:space="preserve">Regionale Vizepräsidenten wollten Ermessensspielraum bei der Anpassung von Personal, Displays, Promotionen und lokalen Medien. Die Zentrale wollte konsistente Experimente und vergleichbare Ergebnisse. Ein Manager wies darauf hin, dass eine in einer Vorort-Filiale mit großen Ausstellungsräumen getestete Promotion nicht mit einem städtischen Showroom verglichen werden könne, in dem Kunden stärker auf Lieferung und digitale Visualisierung angewiesen seien.</w:t>
      </w:r>
    </w:p>
    <w:bookmarkEnd w:id="18"/>
    <w:bookmarkStart w:id="19" w:name="X8723fb0009b3c7e0c007e633070e3d5c453bc44"/>
    <w:p>
      <w:pPr>
        <w:pStyle w:val="Heading1"/>
      </w:pPr>
      <w:r>
        <w:t xml:space="preserve">Der Lieferengpass hinter der Nachfrageentscheidung</w:t>
      </w:r>
    </w:p>
    <w:p>
      <w:pPr>
        <w:pStyle w:val="FirstParagraph"/>
      </w:pPr>
      <w:r>
        <w:t xml:space="preserve">Obwohl sich Marquez’ Aufgabe auf die Nachfrage bezog, konnte sie den Produktfluss nicht ignorieren. Die stärksten Ecksofa-Verkäufer der Solace-Kollektion waren bei einem Polsterlieferanten verzögert. Alden-Esszimmergarnituren belegten Plätze im Verteilzentrum. Zwei importierte Schlafzimmer-Container wurden nach Hafenstaus drei Wochen verspätet erwartet. Eine erfolgreiche Kampagne könnte den Kundenservice verschlechtern, wenn sie Produkte förderte, die das Unternehmen nicht liefern konnte.</w:t>
      </w:r>
    </w:p>
    <w:p>
      <w:pPr>
        <w:pStyle w:val="BodyText"/>
      </w:pPr>
      <w:r>
        <w:t xml:space="preserve">Das Lieferketten-Team empfahl, nur Artikel mit mindestens acht Wochen verfügbarem Bestand zu vermarkten. Das Merchandising wandte ein, dass eine solche Regel langsam drehende Produkte begünstigen und genau jene Kollektionen unterdrücken würde, die die Markenbegeisterung erzeugten. Finance schlug vor, überbestandene Waren aggressiv zu rabattieren. Das Markenmanagement befürchtete, dass wiederholte Rabatte die Positionierung von Hearthline im mittleren Premiumsegment schwächen würden.</w:t>
      </w:r>
    </w:p>
    <w:bookmarkEnd w:id="19"/>
    <w:bookmarkStart w:id="21" w:name="Xa91e6e42a3c2b439787f11b9c93b13cbb85ac8f"/>
    <w:p>
      <w:pPr>
        <w:pStyle w:val="Heading1"/>
      </w:pPr>
      <w:r>
        <w:t xml:space="preserve">Die Entscheidung vor der Weihnachtssaison</w:t>
      </w:r>
    </w:p>
    <w:p>
      <w:pPr>
        <w:pStyle w:val="FirstParagraph"/>
      </w:pPr>
      <w:r>
        <w:t xml:space="preserve">Marquez ordnete das Problem in drei breite Ansätze, von denen keiner kleinere unterstützende Maßnahmen ausschloss.</w:t>
      </w:r>
    </w:p>
    <w:p>
      <w:pPr>
        <w:pStyle w:val="BodyText"/>
      </w:pPr>
      <w:r>
        <w:t xml:space="preserve">Ansatz A: Konzentrieren. Hearthline würde das sichtbare Sortiment reduzieren, das Marketing auf eine kleine Anzahl von Kollektionen konzentrieren, die Wochenendbesetzung in seinen stärksten Märkten erhöhen und regionale Kampagnen einsetzen, die auf verfügbare Bestände abgestimmt sind. Dieser Ansatz versprach klarere Umsetzung, riskierte aber, neue Präferenzen zu verpassen und den Suchverkehr zu schwächen.</w:t>
      </w:r>
    </w:p>
    <w:p>
      <w:pPr>
        <w:pStyle w:val="BodyText"/>
      </w:pPr>
      <w:r>
        <w:t xml:space="preserve">Ansatz B: Breit fördern. Das Unternehmen würde sein vollständiges Sortiment beibehalten, den Raumpaket-Rabatt national einführen und bezahlte Suche und Social Media ausweiten. Der Plan könnte den Umsatz schnell anregen und wesentliche Kundenreaktionsdaten liefern, könnte aber Marge opfern und eingeschränkte Produkte und Lieferkapazität überlasten.</w:t>
      </w:r>
    </w:p>
    <w:p>
      <w:pPr>
        <w:pStyle w:val="BodyText"/>
      </w:pPr>
      <w:r>
        <w:t xml:space="preserve">Ansatz C: Experimentieren und lernen. Hearthline würde größere Rabatte begrenzen, mehr Mittel für Webseitenexperimente, Kundenbefragungen und kontrollierte regionale Tests bereitstellen und eine nationale Kampagne verschieben, bis Ergebnisse vorliegen. Der Ansatz könnte künftige Entscheidungen verbessern, aber die Weihnachtssaison könnte vergehen, bevor das Unternehmen mit Zuversicht handelte.</w:t>
      </w:r>
    </w:p>
    <w:bookmarkStart w:id="20" w:name="X0b7e84772de2bf8529023220aa3bd1340234049"/>
    <w:p>
      <w:pPr>
        <w:pStyle w:val="Heading2"/>
      </w:pPr>
      <w:r>
        <w:t xml:space="preserve">Exhibit 5. Management-Planungsszenarien, September–Dezember</w:t>
      </w:r>
    </w:p>
    <w:tbl>
      <w:tblPr>
        <w:tblStyle w:val="Table"/>
        <w:tblW w:type="pct" w:w="4907"/>
        <w:tblLayout w:type="fixed"/>
        <w:tblLook w:firstRow="1" w:lastRow="0" w:firstColumn="0" w:lastColumn="0" w:noHBand="0" w:noVBand="0" w:val="0020"/>
      </w:tblPr>
      <w:tblGrid>
        <w:gridCol w:w="2420"/>
        <w:gridCol w:w="880"/>
        <w:gridCol w:w="1100"/>
        <w:gridCol w:w="1393"/>
        <w:gridCol w:w="1980"/>
      </w:tblGrid>
      <w:tr>
        <w:trPr>
          <w:tblHeader w:val="on"/>
        </w:trPr>
        <w:tc>
          <w:tcPr/>
          <w:p>
            <w:pPr>
              <w:pStyle w:val="Compact"/>
              <w:jc w:val="left"/>
            </w:pPr>
            <w:r>
              <w:t xml:space="preserve">Szenario</w:t>
            </w:r>
          </w:p>
        </w:tc>
        <w:tc>
          <w:tcPr/>
          <w:p>
            <w:pPr>
              <w:pStyle w:val="Compact"/>
            </w:pPr>
            <w:r>
              <w:t xml:space="preserve">Nettoumsatz</w:t>
            </w:r>
          </w:p>
        </w:tc>
        <w:tc>
          <w:tcPr/>
          <w:p>
            <w:pPr>
              <w:pStyle w:val="Compact"/>
              <w:jc w:val="center"/>
            </w:pPr>
            <w:r>
              <w:t xml:space="preserve">Bruttomarge</w:t>
            </w:r>
          </w:p>
        </w:tc>
        <w:tc>
          <w:tcPr/>
          <w:p>
            <w:pPr>
              <w:pStyle w:val="Compact"/>
              <w:jc w:val="right"/>
            </w:pPr>
            <w:r>
              <w:t xml:space="preserve">Endbestand Rate</w:t>
            </w:r>
          </w:p>
        </w:tc>
        <w:tc>
          <w:tcPr/>
          <w:p>
            <w:pPr>
              <w:pStyle w:val="Compact"/>
              <w:jc w:val="left"/>
            </w:pPr>
            <w:r>
              <w:t xml:space="preserve">verspäteter Bestellungen</w:t>
            </w:r>
          </w:p>
        </w:tc>
      </w:tr>
      <w:tr>
        <w:tc>
          <w:tcPr/>
          <w:p>
            <w:pPr>
              <w:pStyle w:val="Compact"/>
              <w:jc w:val="left"/>
            </w:pPr>
            <w:r>
              <w:t xml:space="preserve">Schwacher Markt</w:t>
            </w:r>
          </w:p>
        </w:tc>
        <w:tc>
          <w:tcPr/>
          <w:p>
            <w:pPr>
              <w:pStyle w:val="Compact"/>
            </w:pPr>
            <w:r>
              <w:t xml:space="preserve">$133 Mio</w:t>
            </w:r>
          </w:p>
        </w:tc>
        <w:tc>
          <w:tcPr/>
          <w:p>
            <w:pPr>
              <w:pStyle w:val="Compact"/>
              <w:jc w:val="center"/>
            </w:pPr>
            <w:r>
              <w:t xml:space="preserve">. 42,0%</w:t>
            </w:r>
          </w:p>
        </w:tc>
        <w:tc>
          <w:tcPr/>
          <w:p>
            <w:pPr>
              <w:pStyle w:val="Compact"/>
              <w:jc w:val="right"/>
            </w:pPr>
            <w:r>
              <w:t xml:space="preserve">$112 Mio.</w:t>
            </w:r>
          </w:p>
        </w:tc>
        <w:tc>
          <w:tcPr/>
          <w:p>
            <w:pPr>
              <w:pStyle w:val="Compact"/>
              <w:jc w:val="left"/>
            </w:pPr>
            <w:r>
              <w:t xml:space="preserve">10%</w:t>
            </w:r>
          </w:p>
        </w:tc>
      </w:tr>
      <w:tr>
        <w:tc>
          <w:tcPr/>
          <w:p>
            <w:pPr>
              <w:pStyle w:val="Compact"/>
              <w:jc w:val="left"/>
            </w:pPr>
            <w:r>
              <w:t xml:space="preserve">Basisprognose</w:t>
            </w:r>
          </w:p>
        </w:tc>
        <w:tc>
          <w:tcPr/>
          <w:p>
            <w:pPr>
              <w:pStyle w:val="Compact"/>
            </w:pPr>
            <w:r>
              <w:t xml:space="preserve">$151 Mio.</w:t>
            </w:r>
          </w:p>
        </w:tc>
        <w:tc>
          <w:tcPr/>
          <w:p>
            <w:pPr>
              <w:pStyle w:val="Compact"/>
              <w:jc w:val="center"/>
            </w:pPr>
            <w:r>
              <w:t xml:space="preserve">43,5%</w:t>
            </w:r>
          </w:p>
        </w:tc>
        <w:tc>
          <w:tcPr/>
          <w:p>
            <w:pPr>
              <w:pStyle w:val="Compact"/>
              <w:jc w:val="right"/>
            </w:pPr>
            <w:r>
              <w:t xml:space="preserve">$94 Mio.</w:t>
            </w:r>
          </w:p>
        </w:tc>
        <w:tc>
          <w:tcPr/>
          <w:p>
            <w:pPr>
              <w:pStyle w:val="Compact"/>
              <w:jc w:val="left"/>
            </w:pPr>
            <w:r>
              <w:t xml:space="preserve">13%</w:t>
            </w:r>
          </w:p>
        </w:tc>
      </w:tr>
      <w:tr>
        <w:tc>
          <w:tcPr/>
          <w:p>
            <w:pPr>
              <w:pStyle w:val="Compact"/>
              <w:jc w:val="left"/>
            </w:pPr>
            <w:r>
              <w:t xml:space="preserve">Promotionsreaktion</w:t>
            </w:r>
          </w:p>
        </w:tc>
        <w:tc>
          <w:tcPr/>
          <w:p>
            <w:pPr>
              <w:pStyle w:val="Compact"/>
            </w:pPr>
            <w:r>
              <w:t xml:space="preserve">$169 Mio.</w:t>
            </w:r>
          </w:p>
        </w:tc>
        <w:tc>
          <w:tcPr/>
          <w:p>
            <w:pPr>
              <w:pStyle w:val="Compact"/>
              <w:jc w:val="center"/>
            </w:pPr>
            <w:r>
              <w:t xml:space="preserve">40,8%</w:t>
            </w:r>
          </w:p>
        </w:tc>
        <w:tc>
          <w:tcPr/>
          <w:p>
            <w:pPr>
              <w:pStyle w:val="Compact"/>
              <w:jc w:val="right"/>
            </w:pPr>
            <w:r>
              <w:t xml:space="preserve">$76 Mio.</w:t>
            </w:r>
          </w:p>
        </w:tc>
        <w:tc>
          <w:tcPr/>
          <w:p>
            <w:pPr>
              <w:pStyle w:val="Compact"/>
              <w:jc w:val="left"/>
            </w:pPr>
            <w:r>
              <w:t xml:space="preserve">21%</w:t>
            </w:r>
          </w:p>
        </w:tc>
      </w:tr>
      <w:tr>
        <w:tc>
          <w:tcPr/>
          <w:p>
            <w:pPr>
              <w:pStyle w:val="Compact"/>
              <w:jc w:val="left"/>
            </w:pPr>
            <w:r>
              <w:t xml:space="preserve">Stilverschiebung zu Solace/Luma</w:t>
            </w:r>
          </w:p>
        </w:tc>
        <w:tc>
          <w:tcPr/>
          <w:p>
            <w:pPr>
              <w:pStyle w:val="Compact"/>
            </w:pPr>
            <w:r>
              <w:t xml:space="preserve">$158 Mio.</w:t>
            </w:r>
          </w:p>
        </w:tc>
        <w:tc>
          <w:tcPr/>
          <w:p>
            <w:pPr>
              <w:pStyle w:val="Compact"/>
              <w:jc w:val="center"/>
            </w:pPr>
            <w:r>
              <w:t xml:space="preserve">44,1%</w:t>
            </w:r>
          </w:p>
        </w:tc>
        <w:tc>
          <w:tcPr/>
          <w:p>
            <w:pPr>
              <w:pStyle w:val="Compact"/>
              <w:jc w:val="right"/>
            </w:pPr>
            <w:r>
              <w:t xml:space="preserve">$101 Mio.</w:t>
            </w:r>
          </w:p>
        </w:tc>
        <w:tc>
          <w:tcPr/>
          <w:p>
            <w:pPr>
              <w:pStyle w:val="Compact"/>
              <w:jc w:val="left"/>
            </w:pPr>
            <w:r>
              <w:t xml:space="preserve">27% bei eingeschränkten Linien</w:t>
            </w:r>
          </w:p>
        </w:tc>
      </w:tr>
      <w:tr>
        <w:tc>
          <w:tcPr/>
          <w:p>
            <w:pPr>
              <w:pStyle w:val="Compact"/>
              <w:jc w:val="left"/>
            </w:pPr>
            <w:r>
              <w:t xml:space="preserve">Preiskampf mit Wettbewerbern</w:t>
            </w:r>
          </w:p>
        </w:tc>
        <w:tc>
          <w:tcPr/>
          <w:p>
            <w:pPr>
              <w:pStyle w:val="Compact"/>
            </w:pPr>
            <w:r>
              <w:t xml:space="preserve">$16</w:t>
            </w:r>
          </w:p>
        </w:tc>
        <w:tc>
          <w:tcPr/>
          <w:p>
            <w:pPr>
              <w:pStyle w:val="Compact"/>
              <w:jc w:val="center"/>
            </w:pPr>
            <w:r>
              <w:t xml:space="preserve">2 Mio. 38,</w:t>
            </w:r>
          </w:p>
        </w:tc>
        <w:tc>
          <w:tcPr/>
          <w:p>
            <w:pPr>
              <w:pStyle w:val="Compact"/>
              <w:jc w:val="right"/>
            </w:pPr>
            <w:r>
              <w:t xml:space="preserve">9% $88 Mi</w:t>
            </w:r>
          </w:p>
        </w:tc>
        <w:tc>
          <w:tcPr/>
          <w:p>
            <w:pPr>
              <w:pStyle w:val="Compact"/>
              <w:jc w:val="left"/>
            </w:pPr>
            <w:r>
              <w:t xml:space="preserve">o. 15%</w:t>
            </w:r>
          </w:p>
        </w:tc>
      </w:tr>
    </w:tbl>
    <w:p>
      <w:pPr>
        <w:pStyle w:val="BodyText"/>
      </w:pPr>
      <w:r>
        <w:t xml:space="preserve">Die Szenarien waren keine Wahrscheinlichkeiten. Es waren intern konsistente Erzählungen, zusammengestellt von Finance, Merchandising, Lieferkette und Marketing. Jede Gruppe stellte die Annahmen der anderen in Frage. Niemand wusste, wie viel zusätzlichen Umsatz ein Rabatt erzeugen würde, wie Kunden substituieren würden, wenn bevorzugte Produkte nicht verfügbar wären, oder wie schnell Wettbewerber reagieren würden.</w:t>
      </w:r>
    </w:p>
    <w:bookmarkEnd w:id="20"/>
    <w:bookmarkEnd w:id="21"/>
    <w:bookmarkStart w:id="22" w:name="die-frist-am-freitag"/>
    <w:p>
      <w:pPr>
        <w:pStyle w:val="Heading1"/>
      </w:pPr>
      <w:r>
        <w:t xml:space="preserve">Die Frist am Freitag</w:t>
      </w:r>
    </w:p>
    <w:p>
      <w:pPr>
        <w:pStyle w:val="FirstParagraph"/>
      </w:pPr>
      <w:r>
        <w:t xml:space="preserve">Bis Freitag musste Marquez empfehlen, wie das Budget von 6,8 Millionen $ zugewiesen werden sollte, welche Produkte und Märkte betont werden sollten, ob der nationale Paketrabatt genehmigt werden sollte, und welche Informationen Hearthline vor und während der Kampagne sammeln sollte. Der Chief Executive wollte außerdem eine Liste von Bedingungen, unter denen das Management während der Saison den Kurs ändern sollte.</w:t>
      </w:r>
    </w:p>
    <w:p>
      <w:pPr>
        <w:pStyle w:val="BodyText"/>
      </w:pPr>
      <w:r>
        <w:t xml:space="preserve">Beim Blick auf die Dashboards fragte sich Marquez, ob Hearthlines eigentliches Problem eine schwache Nachfrage, das falsche Sortiment, schlechte Ausführung, lange Lieferversprechen, unzureichende Kundenberatung oder die Unfähigkeit des Unternehmens war, die Signale zu interpretieren, die es bereits besaß. Jede Erklärung wies auf eine andere Maßnahme hin. Jede Maßnahme konnte die Belege verändern, die zur Bewertung dieser Maßnahme verwendet wurden.</w:t>
      </w:r>
    </w:p>
    <w:bookmarkEnd w:id="22"/>
    <w:bookmarkStart w:id="23" w:name="diskussionsfragen"/>
    <w:p>
      <w:pPr>
        <w:pStyle w:val="Heading1"/>
      </w:pPr>
      <w:r>
        <w:t xml:space="preserve">Diskussionsfragen</w:t>
      </w:r>
    </w:p>
    <w:p>
      <w:pPr>
        <w:numPr>
          <w:ilvl w:val="0"/>
          <w:numId w:val="1001"/>
        </w:numPr>
      </w:pPr>
      <w:r>
        <w:t xml:space="preserve">Was ist das zentrale geschäftliche Problem, mit dem Marquez konfrontiert ist? Welche Symptome könnten Folgen statt Ursachen sein?</w:t>
      </w:r>
    </w:p>
    <w:p>
      <w:pPr>
        <w:numPr>
          <w:ilvl w:val="0"/>
          <w:numId w:val="1001"/>
        </w:numPr>
      </w:pPr>
      <w:r>
        <w:t xml:space="preserve">Wie sollte Hearthline entscheiden, welche Produkte hervorgehoben werden, wenn die beliebtesten Produkte möglicherweise lieferbeschränkt sind?</w:t>
      </w:r>
    </w:p>
    <w:p>
      <w:pPr>
        <w:numPr>
          <w:ilvl w:val="0"/>
          <w:numId w:val="1001"/>
        </w:numPr>
      </w:pPr>
      <w:r>
        <w:t xml:space="preserve">Sollte der Raumpaket-Rabatt national eingeführt, regional getestet, überarbeitet oder abgelehnt werden?</w:t>
      </w:r>
    </w:p>
    <w:p>
      <w:pPr>
        <w:numPr>
          <w:ilvl w:val="0"/>
          <w:numId w:val="1001"/>
        </w:numPr>
      </w:pPr>
      <w:r>
        <w:t xml:space="preserve">Wie sollte das Unternehmen die 6,8 Millionen $ auf Medien, Rabatte, Website-Experimente, Forschung und Filialpersonal verteilen?</w:t>
      </w:r>
    </w:p>
    <w:p>
      <w:pPr>
        <w:numPr>
          <w:ilvl w:val="0"/>
          <w:numId w:val="1001"/>
        </w:numPr>
      </w:pPr>
      <w:r>
        <w:t xml:space="preserve">Welche Belege würden ein Werbeproblem von einem Preis-, Sortiments-, Liefer- oder Personalproblem unterscheiden?</w:t>
      </w:r>
    </w:p>
    <w:p>
      <w:pPr>
        <w:numPr>
          <w:ilvl w:val="0"/>
          <w:numId w:val="1001"/>
        </w:numPr>
      </w:pPr>
      <w:r>
        <w:t xml:space="preserve">Welche Kundenverhaltensweisen sollte Hearthline zu beeinflussen versuchen, und welche könnten zu kostspielig oder unvorhersehbar sein, um sie zu steuern?</w:t>
      </w:r>
    </w:p>
    <w:p>
      <w:pPr>
        <w:numPr>
          <w:ilvl w:val="0"/>
          <w:numId w:val="1001"/>
        </w:numPr>
      </w:pPr>
      <w:r>
        <w:t xml:space="preserve">Wie sollten Online- und Filialaktivitäten bewertet werden, wenn Kunden zwischen Kanälen wechseln?</w:t>
      </w:r>
    </w:p>
    <w:p>
      <w:pPr>
        <w:numPr>
          <w:ilvl w:val="0"/>
          <w:numId w:val="1001"/>
        </w:numPr>
      </w:pPr>
      <w:r>
        <w:t xml:space="preserve">Welche Experimente würden vor dem Ende der Weihnachtssaison die nützlichsten Informationen liefern?</w:t>
      </w:r>
    </w:p>
    <w:p>
      <w:pPr>
        <w:numPr>
          <w:ilvl w:val="0"/>
          <w:numId w:val="1001"/>
        </w:numPr>
      </w:pPr>
      <w:r>
        <w:t xml:space="preserve">Welche betrieblichen Auslöser sollten dazu führen, dass das Management Preisgestaltung, Werbung, Sortiment oder Personal während der Kampagne ändert?</w:t>
      </w:r>
    </w:p>
    <w:p>
      <w:pPr>
        <w:numPr>
          <w:ilvl w:val="0"/>
          <w:numId w:val="1001"/>
        </w:numPr>
      </w:pPr>
      <w:r>
        <w:t xml:space="preserve">Was würde als erfolgreiches Ergebnis gelten, wenn Umsatz, Marge, Bestand, Service und Lernen in unterschiedliche Richtungen weisen?</w:t>
      </w:r>
    </w:p>
    <w:bookmarkEnd w:id="23"/>
    <w:bookmarkStart w:id="29"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4">
        <w:r>
          <w:rPr>
            <w:rStyle w:val="Hyperlink"/>
          </w:rPr>
          <w:t xml:space="preserve">Kennzahlenpyramiden-Tool</w:t>
        </w:r>
      </w:hyperlink>
      <w:r>
        <w:t xml:space="preserve">, um die verschiedenen Leistungskennzahlen zu identifizieren und zu priorisieren. Klicken Sie auf das Oval, das die Kennzahl enthält, um festzulegen, ob es sich um eine zu maximierende Kennzahl (grün), eine zu minimierende Kennzahl (rot), ein Zielwert, der eine Untergrenze ist (hellgrün) oder eine Obergrenze (hellrot), oder schließlich um einen Zielwert (violett) handelt.</w:t>
      </w:r>
    </w:p>
    <w:p>
      <w:pPr>
        <w:numPr>
          <w:ilvl w:val="0"/>
          <w:numId w:val="1002"/>
        </w:numPr>
      </w:pPr>
      <w:r>
        <w:t xml:space="preserve">Verwenden Sie das</w:t>
      </w:r>
      <w:r>
        <w:t xml:space="preserve"> </w:t>
      </w:r>
      <w:hyperlink r:id="rId25">
        <w:r>
          <w:rPr>
            <w:rStyle w:val="Hyperlink"/>
          </w:rPr>
          <w:t xml:space="preserve">Tool zur Entscheidungspriorisierung</w:t>
        </w:r>
      </w:hyperlink>
      <w:r>
        <w:t xml:space="preserve">, um zunächst die verschiedenen Arten von Entscheidungen aufzulisten (verwenden Sie die</w:t>
      </w:r>
      <w:r>
        <w:t xml:space="preserve"> </w:t>
      </w:r>
      <w:hyperlink r:id="rId26">
        <w:r>
          <w:rPr>
            <w:rStyle w:val="Hyperlink"/>
          </w:rPr>
          <w:t xml:space="preserve">Arten von Entscheidungen</w:t>
        </w:r>
      </w:hyperlink>
      <w:r>
        <w:t xml:space="preserve"> </w:t>
      </w:r>
      <w:r>
        <w:t xml:space="preserve">als Leitfaden). Diese füllen dann die Zeilen der Matrix rechts, wobei die Spalten die Leistungskennzahlen sind, sortiert von links nach rechts nach der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den größten Auswirkungen auf die wichtigsten Kennzahlen weiter oben stehen. Die Zellen in der oberen linken Ecke sollten die größte Konzentration an roten und orangen Zellen aufweisen. Identifizieren Sie an dieser Stelle die Entscheidungen, die in Ihrer Studie die meiste Aufmerksamkeit erhalten sollten. Wenn Sie keine Entscheidungen mit mittlerer oder hoher Auswirkung auf die wichtigsten Kennzahlen haben, überarbeiten Sie Ihre Liste der Entscheidungen.</w:t>
      </w:r>
    </w:p>
    <w:p>
      <w:pPr>
        <w:numPr>
          <w:ilvl w:val="0"/>
          <w:numId w:val="1002"/>
        </w:numPr>
      </w:pPr>
      <w:r>
        <w:t xml:space="preserve">Wiederholen Sie den Prozess, um die Unsicherheiten mit dem</w:t>
      </w:r>
      <w:r>
        <w:t xml:space="preserve"> </w:t>
      </w:r>
      <w:hyperlink r:id="rId27">
        <w:r>
          <w:rPr>
            <w:rStyle w:val="Hyperlink"/>
          </w:rPr>
          <w:t xml:space="preserve">Tool zur Unsicherheitspriorisierung</w:t>
        </w:r>
      </w:hyperlink>
      <w:r>
        <w:t xml:space="preserve"> </w:t>
      </w:r>
      <w:r>
        <w:t xml:space="preserve">aufzulisten und zu priorisieren. Nutzen Sie die</w:t>
      </w:r>
      <w:r>
        <w:t xml:space="preserve"> </w:t>
      </w:r>
      <w:hyperlink r:id="rId28">
        <w:r>
          <w:rPr>
            <w:rStyle w:val="Hyperlink"/>
          </w:rPr>
          <w:t xml:space="preserve">Kategorien von Unsicherheit</w:t>
        </w:r>
      </w:hyperlink>
      <w:r>
        <w:t xml:space="preserve">, um dabei zu helfen,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über die Zeit erfasst werden?</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die den größten Einfluss auf die wichtigste Kennzahl zu haben scheint.</w:t>
      </w:r>
    </w:p>
    <w:p>
      <w:pPr>
        <w:numPr>
          <w:ilvl w:val="1"/>
          <w:numId w:val="1004"/>
        </w:numPr>
      </w:pPr>
      <w:r>
        <w:t xml:space="preserve">Welchen Ansatz würden Sie vermutlich verwenden, um diese Entscheidung zu treffen?</w:t>
      </w:r>
    </w:p>
    <w:p>
      <w:pPr>
        <w:numPr>
          <w:ilvl w:val="1"/>
          <w:numId w:val="1004"/>
        </w:numPr>
      </w:pPr>
      <w:r>
        <w:t xml:space="preserve">Welche Daten scheinen notwendig zu sein, um diese Entscheidung zu treffen, einschließlich der Berechnung aller Leistungskennzahlen, auf die die Entscheidung eine hohe oder mittlere Auswirkung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9"/>
    <w:bookmarkStart w:id="30" w:name="quellenangabe"/>
    <w:p>
      <w:pPr>
        <w:pStyle w:val="Heading1"/>
      </w:pPr>
      <w:r>
        <w:t xml:space="preserve">Quellenangabe</w:t>
      </w:r>
    </w:p>
    <w:p>
      <w:pPr>
        <w:pStyle w:val="FirstParagraph"/>
      </w:pPr>
      <w:r>
        <w:t xml:space="preserve">Die konzeptuelle Grundlage für diesen Fall ist der Abschnitt</w:t>
      </w:r>
      <w:r>
        <w:t xml:space="preserve"> </w:t>
      </w:r>
      <w:r>
        <w:t xml:space="preserve">“Demand management – selling furniture”</w:t>
      </w:r>
      <w:r>
        <w:t xml:space="preserve"> </w:t>
      </w:r>
      <w:r>
        <w:t xml:space="preserve">aus Warren B. Powell, Bridging Decision Problems, Volume I: Framing the Problem, Kapitel 2. Der Fall bettet seine Ideen in die Erzählung und die Abbildungen ein, ohne Kategorien von Kennzahlen, Entscheidungen oder Unsicherheiten separat zu kennzeichnen.</w:t>
      </w:r>
    </w:p>
    <w:p>
      <w:pPr>
        <w:pStyle w:val="BodyText"/>
      </w:pPr>
      <w:r>
        <w:t xml:space="preserve">Öffentliche Daten, die zur Motivation des Umfelds verwendet wurden: U.S. Census Bureau, Monthly State Retail Sales, Dezember 2025 (Umsätze von Möbel- und Einrichtungsgeschäften 5,5 Prozent niedriger als im Dezember 2024); U.S. Census Bureau und U.S. Department of Housing and Urban Development, New Residential Sales, Dezember 2025 (etwa 679.000 neue Einfamilienhäuser wurden 2025 verkauft); und U.S. Census Bureau, Quarterly Retail E-Commerce Sales, Erstes Quartal 2026 ($326,7 Milliarden an geschätzten E-Commerce-Umsätzen). Alle finanziellen, betrieblichen, Marketing- und Kundendaten von Hearthline sind fiktiv.</w:t>
      </w:r>
    </w:p>
    <w:bookmarkEnd w:id="30"/>
    <w:bookmarkStart w:id="33" w:name="chatgpt-notizen"/>
    <w:p>
      <w:pPr>
        <w:pStyle w:val="Heading1"/>
      </w:pPr>
      <w:r>
        <w:t xml:space="preserve">ChatGPT-Notizen</w:t>
      </w:r>
    </w:p>
    <w:bookmarkStart w:id="31" w:name="prompt"/>
    <w:p>
      <w:pPr>
        <w:pStyle w:val="Heading2"/>
      </w:pPr>
      <w:r>
        <w:t xml:space="preserve">Prompt</w:t>
      </w:r>
    </w:p>
    <w:p>
      <w:pPr>
        <w:pStyle w:val="FirstParagraph"/>
      </w:pPr>
      <w:r>
        <w:t xml:space="preserve">Schreiben Sie eine 4-6-seitige Fallstudie basierend auf dem Material im Abschnitt unter https://warrenpowell.org/bridging-vol1/chapter-2/#demandmanagementfurniture. Erstellen Sie einen Kontext, der auf den Kennzahlen, Entscheidungen und Unsicherheiten im Abschnitt basiert, jedoch ohne explizit darauf hinzuweisen. Motivieren Sie Ihr Fallproblem mit Daten.</w:t>
      </w:r>
    </w:p>
    <w:bookmarkEnd w:id="31"/>
    <w:bookmarkStart w:id="32" w:name="zusammenfassung"/>
    <w:p>
      <w:pPr>
        <w:pStyle w:val="Heading2"/>
      </w:pPr>
      <w:r>
        <w:t xml:space="preserve">Zusammenfassung</w:t>
      </w:r>
    </w:p>
    <w:p>
      <w:pPr>
        <w:pStyle w:val="FirstParagraph"/>
      </w:pPr>
      <w:r>
        <w:t xml:space="preserve">Der Fall folgt der konzeptuellen Struktur des Abschnitts zum Möbelnachfragemanagement, ohne dessen zugrunde liegende Kategorien explizit zu benennen. Er platziert einen fiktiven regionalen Möbelhändler in den Monaten vor der Weihnachtssaison, konfrontiert mit Entscheidungen, die Folgendes betreffen:</w:t>
      </w:r>
    </w:p>
    <w:p>
      <w:pPr>
        <w:numPr>
          <w:ilvl w:val="0"/>
          <w:numId w:val="1005"/>
        </w:numPr>
      </w:pPr>
      <w:r>
        <w:t xml:space="preserve">Produktsortiment und regionale Bestandshaltung</w:t>
      </w:r>
    </w:p>
    <w:p>
      <w:pPr>
        <w:numPr>
          <w:ilvl w:val="0"/>
          <w:numId w:val="1005"/>
        </w:numPr>
      </w:pPr>
      <w:r>
        <w:t xml:space="preserve">Preisgestaltung, Bundles und Promotionsrabatte</w:t>
      </w:r>
    </w:p>
    <w:p>
      <w:pPr>
        <w:numPr>
          <w:ilvl w:val="0"/>
          <w:numId w:val="1005"/>
        </w:numPr>
      </w:pPr>
      <w:r>
        <w:t xml:space="preserve">Bezahlte Suche, Social Media, Fernsehen, Direktwerbung und Influencer</w:t>
      </w:r>
    </w:p>
    <w:p>
      <w:pPr>
        <w:numPr>
          <w:ilvl w:val="0"/>
          <w:numId w:val="1005"/>
        </w:numPr>
      </w:pPr>
      <w:r>
        <w:t xml:space="preserve">Website-Experimente und Kundenforschung</w:t>
      </w:r>
    </w:p>
    <w:p>
      <w:pPr>
        <w:numPr>
          <w:ilvl w:val="0"/>
          <w:numId w:val="1005"/>
        </w:numPr>
      </w:pPr>
      <w:r>
        <w:t xml:space="preserve">Filialpersonal und lokaler Managemententscheidungsspielraum</w:t>
      </w:r>
    </w:p>
    <w:p>
      <w:pPr>
        <w:numPr>
          <w:ilvl w:val="0"/>
          <w:numId w:val="1005"/>
        </w:numPr>
      </w:pPr>
      <w:r>
        <w:t xml:space="preserve">Koordination zwischen Nachfrageanregung und eingeschränkter Produktverfügbarkeit</w:t>
      </w:r>
    </w:p>
    <w:p>
      <w:pPr>
        <w:pStyle w:val="FirstParagraph"/>
      </w:pPr>
      <w:r>
        <w:t xml:space="preserve">Der Fall enthält fünf quantitative Abbildungen, konkurrierende Managementperspektiven, drei breite strategische Ansätze und zehn Diskussionsfragen. Er lässt absichtlich ungelöst, ob das Hauptproblem des Unternehmens eine schwache Nachfrage, das falsche Sortiment, Preisgestaltung, Werbewirksamkeit, Lieferverzögerungen, Personal oder seine Interpretation von Kundendaten ist.</w:t>
      </w:r>
    </w:p>
    <w:p>
      <w:pPr>
        <w:pStyle w:val="BodyText"/>
      </w:pPr>
      <w:r>
        <w:t xml:space="preserve">Das Marktumfeld ist durch Census-Daten motiviert, die zeigen, dass die Umsätze von Möbel- und Einrichtungsgeschäften im Dezember 2025 5,5% unter dem Vorjahr lagen, etwa 679.000 neue Einfamilienhäuser im Laufe des Jahres 2025 verkauft wurden und die US-Einzelhandels-E-Commerce-Umsätze im ersten Quartal 2026 geschätzte 326,7 Milliarden $ erreichten. Der Rahmen des Falls stützt sich auf den angegebenen Abschnitt zum Nachfragemanagement aus</w:t>
      </w:r>
      <w:r>
        <w:t xml:space="preserve"> </w:t>
      </w:r>
      <w:r>
        <w:rPr>
          <w:i/>
          <w:iCs/>
        </w:rPr>
        <w:t xml:space="preserve">Bridging Decision Problems, Volume I</w:t>
      </w:r>
      <w:r>
        <w:t xml:space="preser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2026-09-11T16:15:32Z</dcterms:created>
  <dcterms:modified xsi:type="dcterms:W3CDTF">2026-09-11T16:15:32Z</dcterms:modified>
</cp:coreProperties>
</file>

<file path=docProps/custom.xml><?xml version="1.0" encoding="utf-8"?>
<Properties xmlns="http://schemas.openxmlformats.org/officeDocument/2006/custom-properties" xmlns:vt="http://schemas.openxmlformats.org/officeDocument/2006/docPropsVTypes"/>
</file>