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Lakeside Medical Group</w:t>
      </w:r>
    </w:p>
    <w:p>
      <w:pPr>
        <w:pStyle w:val="BodyText"/>
      </w:pPr>
      <w:r>
        <w:t xml:space="preserve">Die nächsten neunzig Tage</w:t>
      </w:r>
    </w:p>
    <w:p>
      <w:pPr>
        <w:pStyle w:val="BodyText"/>
      </w:pPr>
      <w:r>
        <w:rPr>
          <w:i/>
          <w:iCs/>
        </w:rPr>
        <w:t xml:space="preserve">Ein Wirtschaftsfall über das Management von Typ-2-Diabetes, bei dem sich klinisches Ansprechen, tägliches Verhalten, Technologie und Bezahlbarkeit schwer voneinander trennen lassen</w:t>
      </w:r>
    </w:p>
    <w:p>
      <w:pPr>
        <w:pStyle w:val="BodyText"/>
      </w:pPr>
      <w:r>
        <w:t xml:space="preserve">Dieser Fall ist fiktiv und für die Diskussion im Unterricht gedacht. Namen, Ereignisse, Organisationen und Betriebsdaten sind erfunden, obwohl der Branchenkontext durch öffentliche Quellen informiert ist.</w:t>
      </w:r>
    </w:p>
    <w:tbl>
      <w:tblPr>
        <w:tblStyle w:val="Table"/>
        <w:tblW w:type="auto" w:w="0"/>
        <w:tblLook w:firstRow="0" w:lastRow="0" w:firstColumn="0" w:lastColumn="0" w:noHBand="0" w:noVBand="0" w:val="0000"/>
      </w:tblPr>
      <w:tblGrid>
        <w:gridCol w:w="7920"/>
      </w:tblGrid>
      <w:tr>
        <w:tc>
          <w:tcPr/>
          <w:p>
            <w:pPr>
              <w:pStyle w:val="Compact"/>
            </w:pPr>
            <w:r>
              <w:t xml:space="preserve">Im Oktober 2026 muss ein hausärztliches Team entscheiden, wie die Behandlung eines Patienten neu gestaltet werden soll, dessen Blutzucker trotz wiederholter Besuche, Medikamentenwechsel und umfangreicher Beratung schlecht eingestellt bleibt. Der nächste Schritt könnte seine langfristige Gesundheit verbessern – oder Kosten und Komplexität hinzufügen, die er möglicherweise nicht tragen kann.</w:t>
            </w:r>
          </w:p>
        </w:tc>
      </w:tr>
    </w:tbl>
    <w:p>
      <w:r>
        <w:pict>
          <v:rect style="width:0;height:1.5pt" o:hralign="center" o:hrstd="t" o:hr="t"/>
        </w:pict>
      </w:r>
    </w:p>
    <w:p>
      <w:pPr>
        <w:pStyle w:val="FirstParagraph"/>
      </w:pPr>
      <w:r>
        <w:t xml:space="preserve">Dieser Fall ist fiktiv und für die Diskussion im Unterricht gedacht, nicht für medizinische Beratung. Namen, Ereignisse und interne Daten wurden für diesen Fall erstellt. Öffentliche Statistiken werden in der Quellenangabe zitiert.</w:t>
      </w:r>
    </w:p>
    <w:bookmarkStart w:id="9" w:name="der-dienstagstermin"/>
    <w:p>
      <w:pPr>
        <w:pStyle w:val="Heading1"/>
      </w:pPr>
      <w:r>
        <w:t xml:space="preserve">Der Dienstagstermin</w:t>
      </w:r>
    </w:p>
    <w:p>
      <w:pPr>
        <w:pStyle w:val="FirstParagraph"/>
      </w:pPr>
      <w:r>
        <w:t xml:space="preserve">Um 7:35 Uhr am Dienstagmorgen öffnete Dr. Elena Park die Krankenakte von Marcus Reed vor dem ersten Termin in der Northgate-Klinik von Lakeside Medical Group. Reed war 58 Jahre alt, arbeitete im Wechselschichtdienst als Wartungsleiter und lebte seit neun Jahren mit Typ-2-Diabetes. Sein letzter Hämoglobin-A1c-Wert lag bei 9,2 Prozent – höher als sechs Monate zuvor und deutlich über dem individuellen Zielwert, den sein Behandlungsteam mit ihm besprochen hatte.</w:t>
      </w:r>
    </w:p>
    <w:p>
      <w:pPr>
        <w:pStyle w:val="BodyText"/>
      </w:pPr>
      <w:r>
        <w:t xml:space="preserve">Die Zahl offenbarte nicht, was schiefgelaufen war. Reed hatte Metformin nach wiederkehrenden gastrointestinalen Symptomen abgesetzt. Er nahm meistens ein zweites orales Medikament ein, jedoch nicht konsequent, wenn sich seine Schichten änderten. Im Frühjahr hatte er acht Pfund verloren, im Sommer während einer Phase mit Überstunden fünf Pfund wieder zugenommen und zwei Termine verpasst, während er seine Mutter pflegte. Ein kurzer Testlauf mit einem kontinuierlichen Glukosemonitor hatte scharfe Anstiege nach späten Mahlzeiten gezeigt, aber auch zwei nächtliche Messwerte, die niedrig genug waren, um den Klinikapotheker zu beunruhigen.</w:t>
      </w:r>
    </w:p>
    <w:p>
      <w:pPr>
        <w:pStyle w:val="BodyText"/>
      </w:pPr>
      <w:r>
        <w:t xml:space="preserve">Park hatte eine 30-minütige Fallkonferenz mit einem klinischen Apotheker, einer Diabetesberaterin, einer Pflegemanagerin und einem Finanzberater angesetzt. Die Gruppe musste einen Plan für die nächsten neunzig Tage empfehlen. Zu den Optionen gehörten die Anpassung der Medikation, die Zugabe einer injizierbaren Therapie, die Verordnung einer längerfristigen Glukoseüberwachung, die Intensivierung der Ernährungs- und Bewegungsunterstützung, die Vereinbarung häufigerer Kontakte oder die Vereinfachung des Plans. Jede Option brachte unterschiedliche Kosten und Belastungen für Reed und die Klinik mit sich. Keine garantierte, dass der resultierende Plan befolgt würde – oder dass sein Körper wie erwartet reagieren würde.</w:t>
      </w:r>
    </w:p>
    <w:bookmarkEnd w:id="9"/>
    <w:bookmarkStart w:id="11" w:name="ein-umfangreiches-und-teures-leiden"/>
    <w:p>
      <w:pPr>
        <w:pStyle w:val="Heading1"/>
      </w:pPr>
      <w:r>
        <w:t xml:space="preserve">Ein umfangreiches und teures Leiden</w:t>
      </w:r>
    </w:p>
    <w:p>
      <w:pPr>
        <w:pStyle w:val="FirstParagraph"/>
      </w:pPr>
      <w:r>
        <w:t xml:space="preserve">Reeds Situation war verbreitet genug, um ein nationales Problem zu sein, aber persönlich genug, um sich einer Standardlösung zu widersetzen. Die CDC schätzte, dass 40,1 Millionen Menschen in den Vereinigten Staaten im Jahr 2023 diagnostizierten oder undiagnostizierten Diabetes hatten, was etwa 12 Prozent der Bevölkerung entspricht. Typ-2-Diabetes macht ungefähr 90 bis 95 Prozent der diagnostizierten Fälle aus. Mehr als ein Viertel der Erwachsenen mit Diabetes wussten schätzungsweise nicht, dass sie daran erkrankt waren.</w:t>
      </w:r>
    </w:p>
    <w:p>
      <w:pPr>
        <w:pStyle w:val="BodyText"/>
      </w:pPr>
      <w:r>
        <w:t xml:space="preserve">Die finanzielle Belastung war ebenfalls erheblich. Bundesschätzungen setzten die Gesamtkosten von Diabetes durch direkte medizinische Ausgaben und verminderte Produktivität auf Hunderte von Milliarden Dollar jährlich. Menschen mit Diabetes verursachen medizinische Kosten, die mehr als doppelt so hoch sind wie die von Menschen ohne diese Erkrankung. Doch viele der folgenreichsten Ergebnisse – Nierenversagen, Herz-Kreislauf-Erkrankungen, Sehverlust, Neuropathie und Amputationen der unteren Extremitäten – entwickeln sich über Jahre, während Patienten und Kliniker jeden Tag Entscheidungen treffen.</w:t>
      </w:r>
    </w:p>
    <w:bookmarkStart w:id="10" w:name="X1bfba0aadf45e12576203f76b6d021bb6993296"/>
    <w:p>
      <w:pPr>
        <w:pStyle w:val="Heading2"/>
      </w:pPr>
      <w:r>
        <w:t xml:space="preserve">Exhibit 1. Marcus Reed: Aktuelles klinisches und persönliches Profil</w:t>
      </w:r>
    </w:p>
    <w:tbl>
      <w:tblPr>
        <w:tblStyle w:val="Table"/>
        <w:tblW w:type="pct" w:w="4900"/>
        <w:tblLayout w:type="fixed"/>
        <w:tblLook w:firstRow="1" w:lastRow="0" w:firstColumn="0" w:lastColumn="0" w:noHBand="0" w:noVBand="0" w:val="0020"/>
      </w:tblPr>
      <w:tblGrid>
        <w:gridCol w:w="2296"/>
        <w:gridCol w:w="3009"/>
        <w:gridCol w:w="2455"/>
      </w:tblGrid>
      <w:tr>
        <w:trPr>
          <w:tblHeader w:val="on"/>
        </w:trPr>
        <w:tc>
          <w:tcPr/>
          <w:p>
            <w:pPr>
              <w:pStyle w:val="Compact"/>
              <w:jc w:val="left"/>
            </w:pPr>
            <w:r>
              <w:t xml:space="preserve">Indikator</w:t>
            </w:r>
          </w:p>
        </w:tc>
        <w:tc>
          <w:tcPr/>
          <w:p>
            <w:pPr>
              <w:pStyle w:val="Compact"/>
              <w:jc w:val="left"/>
            </w:pPr>
            <w:r>
              <w:t xml:space="preserve">Aktuelle Information</w:t>
            </w:r>
          </w:p>
        </w:tc>
        <w:tc>
          <w:tcPr/>
          <w:p>
            <w:pPr>
              <w:pStyle w:val="Compact"/>
              <w:jc w:val="left"/>
            </w:pPr>
            <w:r>
              <w:t xml:space="preserve">Vorheriger / Referenzwert</w:t>
            </w:r>
          </w:p>
        </w:tc>
      </w:tr>
      <w:tr>
        <w:tc>
          <w:tcPr/>
          <w:p>
            <w:pPr>
              <w:pStyle w:val="Compact"/>
              <w:jc w:val="left"/>
            </w:pPr>
            <w:r>
              <w:t xml:space="preserve">Hämoglobin A1c</w:t>
            </w:r>
          </w:p>
        </w:tc>
        <w:tc>
          <w:tcPr/>
          <w:p>
            <w:pPr>
              <w:pStyle w:val="Compact"/>
              <w:jc w:val="left"/>
            </w:pPr>
            <w:r>
              <w:t xml:space="preserve">9,2%</w:t>
            </w:r>
          </w:p>
        </w:tc>
        <w:tc>
          <w:tcPr/>
          <w:p>
            <w:pPr>
              <w:pStyle w:val="Compact"/>
              <w:jc w:val="left"/>
            </w:pPr>
            <w:r>
              <w:t xml:space="preserve">8,4% sechs Monate zuvor</w:t>
            </w:r>
          </w:p>
        </w:tc>
      </w:tr>
      <w:tr>
        <w:tc>
          <w:tcPr/>
          <w:p>
            <w:pPr>
              <w:pStyle w:val="Compact"/>
              <w:jc w:val="left"/>
            </w:pPr>
            <w:r>
              <w:t xml:space="preserve">Nüchtern-Laborglukose</w:t>
            </w:r>
          </w:p>
        </w:tc>
        <w:tc>
          <w:tcPr/>
          <w:p>
            <w:pPr>
              <w:pStyle w:val="Compact"/>
              <w:jc w:val="left"/>
            </w:pPr>
            <w:r>
              <w:t xml:space="preserve">186 mg/dL</w:t>
            </w:r>
          </w:p>
        </w:tc>
        <w:tc>
          <w:tcPr/>
          <w:p>
            <w:pPr>
              <w:pStyle w:val="Compact"/>
              <w:jc w:val="left"/>
            </w:pPr>
            <w:r>
              <w:t xml:space="preserve">154 mg/dL sechs Monate zuvor</w:t>
            </w:r>
          </w:p>
        </w:tc>
      </w:tr>
      <w:tr>
        <w:tc>
          <w:tcPr/>
          <w:p>
            <w:pPr>
              <w:pStyle w:val="Compact"/>
              <w:jc w:val="left"/>
            </w:pPr>
            <w:r>
              <w:t xml:space="preserve">Blutdruck</w:t>
            </w:r>
          </w:p>
        </w:tc>
        <w:tc>
          <w:tcPr/>
          <w:p>
            <w:pPr>
              <w:pStyle w:val="Compact"/>
              <w:jc w:val="left"/>
            </w:pPr>
            <w:r>
              <w:t xml:space="preserve">142/86 mm Hg</w:t>
            </w:r>
          </w:p>
        </w:tc>
        <w:tc>
          <w:tcPr/>
          <w:p>
            <w:pPr>
              <w:pStyle w:val="Compact"/>
              <w:jc w:val="left"/>
            </w:pPr>
            <w:r>
              <w:t xml:space="preserve">Üblicherweise 134–140 / 80–86</w:t>
            </w:r>
          </w:p>
        </w:tc>
      </w:tr>
      <w:tr>
        <w:tc>
          <w:tcPr/>
          <w:p>
            <w:pPr>
              <w:pStyle w:val="Compact"/>
              <w:jc w:val="left"/>
            </w:pPr>
            <w:r>
              <w:t xml:space="preserve">Gewicht</w:t>
            </w:r>
          </w:p>
        </w:tc>
        <w:tc>
          <w:tcPr/>
          <w:p>
            <w:pPr>
              <w:pStyle w:val="Compact"/>
              <w:jc w:val="left"/>
            </w:pPr>
            <w:r>
              <w:t xml:space="preserve">226 lb</w:t>
            </w:r>
          </w:p>
        </w:tc>
        <w:tc>
          <w:tcPr/>
          <w:p>
            <w:pPr>
              <w:pStyle w:val="Compact"/>
              <w:jc w:val="left"/>
            </w:pPr>
            <w:r>
              <w:t xml:space="preserve">221 lb drei Monate zuvor</w:t>
            </w:r>
          </w:p>
        </w:tc>
      </w:tr>
      <w:tr>
        <w:tc>
          <w:tcPr/>
          <w:p>
            <w:pPr>
              <w:pStyle w:val="Compact"/>
              <w:jc w:val="left"/>
            </w:pPr>
            <w:r>
              <w:t xml:space="preserve">Nierenfunktion</w:t>
            </w:r>
          </w:p>
        </w:tc>
        <w:tc>
          <w:tcPr/>
          <w:p>
            <w:pPr>
              <w:pStyle w:val="Compact"/>
              <w:jc w:val="left"/>
            </w:pPr>
            <w:r>
              <w:t xml:space="preserve">Leichter Rückgang; stabil bei</w:t>
            </w:r>
            <w:r>
              <w:t xml:space="preserve"> </w:t>
            </w:r>
            <w:r>
              <w:t xml:space="preserve">Wiederholungstest</w:t>
            </w:r>
          </w:p>
        </w:tc>
        <w:tc>
          <w:tcPr/>
          <w:p>
            <w:pPr>
              <w:pStyle w:val="Compact"/>
              <w:jc w:val="left"/>
            </w:pPr>
            <w:r>
              <w:t xml:space="preserve">Normal vor zwei Jahren</w:t>
            </w:r>
          </w:p>
        </w:tc>
      </w:tr>
      <w:tr>
        <w:tc>
          <w:tcPr/>
          <w:p>
            <w:pPr>
              <w:pStyle w:val="Compact"/>
              <w:jc w:val="left"/>
            </w:pPr>
            <w:r>
              <w:t xml:space="preserve">Augenuntersuchung</w:t>
            </w:r>
          </w:p>
        </w:tc>
        <w:tc>
          <w:tcPr/>
          <w:p>
            <w:pPr>
              <w:pStyle w:val="Compact"/>
              <w:jc w:val="left"/>
            </w:pPr>
            <w:r>
              <w:t xml:space="preserve">Überfällig um 14 Monate</w:t>
            </w:r>
          </w:p>
        </w:tc>
        <w:tc>
          <w:tcPr/>
          <w:p>
            <w:pPr>
              <w:pStyle w:val="Compact"/>
              <w:jc w:val="left"/>
            </w:pPr>
            <w:r>
              <w:t xml:space="preserve">Keine Retinopathie bei letzter</w:t>
            </w:r>
            <w:r>
              <w:t xml:space="preserve"> </w:t>
            </w:r>
            <w:r>
              <w:t xml:space="preserve">Untersuchung</w:t>
            </w:r>
          </w:p>
        </w:tc>
      </w:tr>
      <w:tr>
        <w:tc>
          <w:tcPr/>
          <w:p>
            <w:pPr>
              <w:pStyle w:val="Compact"/>
              <w:jc w:val="left"/>
            </w:pPr>
            <w:r>
              <w:t xml:space="preserve">Fußsymptome</w:t>
            </w:r>
          </w:p>
        </w:tc>
        <w:tc>
          <w:tcPr/>
          <w:p>
            <w:pPr>
              <w:pStyle w:val="Compact"/>
              <w:jc w:val="left"/>
            </w:pPr>
            <w:r>
              <w:t xml:space="preserve">Intermittierendes Kribbeln</w:t>
            </w:r>
          </w:p>
        </w:tc>
        <w:tc>
          <w:tcPr/>
          <w:p>
            <w:pPr>
              <w:pStyle w:val="Compact"/>
              <w:jc w:val="left"/>
            </w:pPr>
            <w:r>
              <w:t xml:space="preserve">Zweimal im letzten Jahr</w:t>
            </w:r>
            <w:r>
              <w:t xml:space="preserve"> </w:t>
            </w:r>
            <w:r>
              <w:t xml:space="preserve">berichtet</w:t>
            </w:r>
          </w:p>
        </w:tc>
      </w:tr>
      <w:tr>
        <w:tc>
          <w:tcPr/>
          <w:p>
            <w:pPr>
              <w:pStyle w:val="Compact"/>
              <w:jc w:val="left"/>
            </w:pPr>
            <w:r>
              <w:t xml:space="preserve">Arbeitsmuster</w:t>
            </w:r>
          </w:p>
        </w:tc>
        <w:tc>
          <w:tcPr/>
          <w:p>
            <w:pPr>
              <w:pStyle w:val="Compact"/>
              <w:jc w:val="left"/>
            </w:pPr>
            <w:r>
              <w:t xml:space="preserve">Wechselnde Tag-/Nachtschichten</w:t>
            </w:r>
          </w:p>
        </w:tc>
        <w:tc>
          <w:tcPr/>
          <w:p>
            <w:pPr>
              <w:pStyle w:val="Compact"/>
              <w:jc w:val="left"/>
            </w:pPr>
            <w:r>
              <w:t xml:space="preserve">Wöchentlich wechselnder</w:t>
            </w:r>
            <w:r>
              <w:t xml:space="preserve"> </w:t>
            </w:r>
            <w:r>
              <w:t xml:space="preserve">Zeitplan</w:t>
            </w:r>
          </w:p>
        </w:tc>
      </w:tr>
      <w:tr>
        <w:tc>
          <w:tcPr/>
          <w:p>
            <w:pPr>
              <w:pStyle w:val="Compact"/>
              <w:jc w:val="left"/>
            </w:pPr>
            <w:r>
              <w:t xml:space="preserve">Medikamentenabdeckung</w:t>
            </w:r>
          </w:p>
        </w:tc>
        <w:tc>
          <w:tcPr/>
          <w:p>
            <w:pPr>
              <w:pStyle w:val="Compact"/>
              <w:jc w:val="left"/>
            </w:pPr>
            <w:r>
              <w:t xml:space="preserve">2.000 $ jährlicher Selbstbehalt</w:t>
            </w:r>
          </w:p>
        </w:tc>
        <w:tc>
          <w:tcPr/>
          <w:p>
            <w:pPr>
              <w:pStyle w:val="Compact"/>
              <w:jc w:val="left"/>
            </w:pPr>
            <w:r>
              <w:t xml:space="preserve">Selbstbehalt setzt sich am</w:t>
            </w:r>
            <w:r>
              <w:t xml:space="preserve"> </w:t>
            </w:r>
            <w:r>
              <w:t xml:space="preserve">1. Januar zurück</w:t>
            </w:r>
          </w:p>
        </w:tc>
      </w:tr>
    </w:tbl>
    <w:p>
      <w:pPr>
        <w:pStyle w:val="BodyText"/>
      </w:pPr>
      <w:r>
        <w:t xml:space="preserve">Park war zurückhaltend, den steigenden A1c-Wert als schlichtes Versagen der Anstrengung zu deuten. Er fasste ungefähr zwei bis drei Monate an Glukoseexposition zusammen, zeigte aber nicht, wann Reeds Werte hoch oder niedrig waren. Fingerstich-Messwerte waren spärlich und häuften sich vor Terminen. Der Testlauf mit dem Monitor umfasste nur vierzehn Tage, einschließlich einer Woche, in der Reed Nachtschichten arbeitete, und einer Woche, in der er im Urlaub war.</w:t>
      </w:r>
    </w:p>
    <w:bookmarkEnd w:id="10"/>
    <w:bookmarkEnd w:id="11"/>
    <w:bookmarkStart w:id="13" w:name="was-der-monitor-aufdeckte-und-verbarg"/>
    <w:p>
      <w:pPr>
        <w:pStyle w:val="Heading1"/>
      </w:pPr>
      <w:r>
        <w:t xml:space="preserve">Was der Monitor aufdeckte – und verbarg</w:t>
      </w:r>
    </w:p>
    <w:p>
      <w:pPr>
        <w:pStyle w:val="FirstParagraph"/>
      </w:pPr>
      <w:r>
        <w:t xml:space="preserve">Der kontinuierliche Monitor hatte mehr als 1.300 Messwerte erzeugt. Reeds durchschnittlicher Glukosewert war hoch, aber die täglichen Muster variierten stark. Bei Tagschichten waren Frühstück und Mittagessen relativ vorhersehbar. Bei Nachtschichten aß er manchmal eine große Mahlzeit gegen Mitternacht, ließ das Frühstück aus und schlief bis zum frühen Nachmittag. Die Bewegung hing davon ab, ob er den Tag mit Aufsicht oder mit eigenhändiger Reparatur von Anlagen verbrachte.</w:t>
      </w:r>
    </w:p>
    <w:bookmarkStart w:id="12" w:name="X9a0c3a1331a89f36b7a5aa0f52c662095cb64af"/>
    <w:p>
      <w:pPr>
        <w:pStyle w:val="Heading2"/>
      </w:pPr>
      <w:r>
        <w:t xml:space="preserve">Exhibit 2. Zusammenfassung des vierzehntägigen Glukosemonitorings</w:t>
      </w:r>
    </w:p>
    <w:tbl>
      <w:tblPr>
        <w:tblStyle w:val="Table"/>
        <w:tblW w:type="pct" w:w="4896"/>
        <w:tblLayout w:type="fixed"/>
        <w:tblLook w:firstRow="1" w:lastRow="0" w:firstColumn="0" w:lastColumn="0" w:noHBand="0" w:noVBand="0" w:val="0020"/>
      </w:tblPr>
      <w:tblGrid>
        <w:gridCol w:w="2227"/>
        <w:gridCol w:w="1485"/>
        <w:gridCol w:w="4042"/>
      </w:tblGrid>
      <w:tr>
        <w:trPr>
          <w:tblHeader w:val="on"/>
        </w:trPr>
        <w:tc>
          <w:tcPr/>
          <w:p>
            <w:pPr>
              <w:pStyle w:val="Compact"/>
              <w:jc w:val="left"/>
            </w:pPr>
            <w:r>
              <w:t xml:space="preserve">Messgröße</w:t>
            </w:r>
          </w:p>
        </w:tc>
        <w:tc>
          <w:tcPr/>
          <w:p>
            <w:pPr>
              <w:pStyle w:val="Compact"/>
              <w:jc w:val="right"/>
            </w:pPr>
            <w:r>
              <w:t xml:space="preserve">Beobachtetes Erge</w:t>
            </w:r>
          </w:p>
        </w:tc>
        <w:tc>
          <w:tcPr/>
          <w:p>
            <w:pPr>
              <w:pStyle w:val="Compact"/>
              <w:jc w:val="left"/>
            </w:pPr>
            <w:r>
              <w:t xml:space="preserve">bnis Vom Team festgestelltes Muster</w:t>
            </w:r>
          </w:p>
        </w:tc>
      </w:tr>
      <w:tr>
        <w:tc>
          <w:tcPr/>
          <w:p>
            <w:pPr>
              <w:pStyle w:val="Compact"/>
              <w:jc w:val="left"/>
            </w:pPr>
            <w:r>
              <w:t xml:space="preserve">Durchschnittliche Glukose</w:t>
            </w:r>
          </w:p>
        </w:tc>
        <w:tc>
          <w:tcPr/>
          <w:p>
            <w:pPr>
              <w:pStyle w:val="Compact"/>
              <w:jc w:val="right"/>
            </w:pPr>
            <w:r>
              <w:t xml:space="preserve">204 mg/dL</w:t>
            </w:r>
          </w:p>
        </w:tc>
        <w:tc>
          <w:tcPr/>
          <w:p>
            <w:pPr>
              <w:pStyle w:val="Compact"/>
              <w:jc w:val="left"/>
            </w:pPr>
            <w:r>
              <w:t xml:space="preserve">Höher an Nachtschichttagen</w:t>
            </w:r>
          </w:p>
        </w:tc>
      </w:tr>
      <w:tr>
        <w:tc>
          <w:tcPr/>
          <w:p>
            <w:pPr>
              <w:pStyle w:val="Compact"/>
              <w:jc w:val="left"/>
            </w:pPr>
            <w:r>
              <w:t xml:space="preserve">Zeit 70–180 mg/dL</w:t>
            </w:r>
          </w:p>
        </w:tc>
        <w:tc>
          <w:tcPr/>
          <w:p>
            <w:pPr>
              <w:pStyle w:val="Compact"/>
              <w:jc w:val="right"/>
            </w:pPr>
            <w:r>
              <w:t xml:space="preserve">38%</w:t>
            </w:r>
          </w:p>
        </w:tc>
        <w:tc>
          <w:tcPr/>
          <w:p>
            <w:pPr>
              <w:pStyle w:val="Compact"/>
              <w:jc w:val="left"/>
            </w:pPr>
            <w:r>
              <w:t xml:space="preserve">Am besten an Wochenenden mit regelmäßigen</w:t>
            </w:r>
            <w:r>
              <w:t xml:space="preserve"> </w:t>
            </w:r>
            <w:r>
              <w:t xml:space="preserve">Mahlzeiten</w:t>
            </w:r>
          </w:p>
        </w:tc>
      </w:tr>
      <w:tr>
        <w:tc>
          <w:tcPr/>
          <w:p>
            <w:pPr>
              <w:pStyle w:val="Compact"/>
              <w:jc w:val="left"/>
            </w:pPr>
            <w:r>
              <w:t xml:space="preserve">Zeit über 180 mg/dL</w:t>
            </w:r>
          </w:p>
        </w:tc>
        <w:tc>
          <w:tcPr/>
          <w:p>
            <w:pPr>
              <w:pStyle w:val="Compact"/>
              <w:jc w:val="right"/>
            </w:pPr>
            <w:r>
              <w:t xml:space="preserve">59%</w:t>
            </w:r>
          </w:p>
        </w:tc>
        <w:tc>
          <w:tcPr/>
          <w:p>
            <w:pPr>
              <w:pStyle w:val="Compact"/>
              <w:jc w:val="left"/>
            </w:pPr>
            <w:r>
              <w:t xml:space="preserve">Konzentriert nach Abend-/Nachtmahlzeiten</w:t>
            </w:r>
          </w:p>
        </w:tc>
      </w:tr>
      <w:tr>
        <w:tc>
          <w:tcPr/>
          <w:p>
            <w:pPr>
              <w:pStyle w:val="Compact"/>
              <w:jc w:val="left"/>
            </w:pPr>
            <w:r>
              <w:t xml:space="preserve">Zeit unter 70 mg/dL</w:t>
            </w:r>
          </w:p>
        </w:tc>
        <w:tc>
          <w:tcPr/>
          <w:p>
            <w:pPr>
              <w:pStyle w:val="Compact"/>
              <w:jc w:val="right"/>
            </w:pPr>
            <w:r>
              <w:t xml:space="preserve">3%</w:t>
            </w:r>
          </w:p>
        </w:tc>
        <w:tc>
          <w:tcPr/>
          <w:p>
            <w:pPr>
              <w:pStyle w:val="Compact"/>
              <w:jc w:val="left"/>
            </w:pPr>
            <w:r>
              <w:t xml:space="preserve">Zwei nächtliche Episoden</w:t>
            </w:r>
          </w:p>
        </w:tc>
      </w:tr>
      <w:tr>
        <w:tc>
          <w:tcPr/>
          <w:p>
            <w:pPr>
              <w:pStyle w:val="Compact"/>
              <w:jc w:val="left"/>
            </w:pPr>
            <w:r>
              <w:t xml:space="preserve">Geschätztes A1c-Äquivalent</w:t>
            </w:r>
          </w:p>
        </w:tc>
        <w:tc>
          <w:tcPr/>
          <w:p>
            <w:pPr>
              <w:pStyle w:val="Compact"/>
              <w:jc w:val="right"/>
            </w:pPr>
            <w:r>
              <w:t xml:space="preserve">8,7%</w:t>
            </w:r>
          </w:p>
        </w:tc>
        <w:tc>
          <w:tcPr/>
          <w:p>
            <w:pPr>
              <w:pStyle w:val="Compact"/>
              <w:jc w:val="left"/>
            </w:pPr>
            <w:r>
              <w:t xml:space="preserve">Niedriger als der Labor-A1c-Wert</w:t>
            </w:r>
          </w:p>
        </w:tc>
      </w:tr>
      <w:tr>
        <w:tc>
          <w:tcPr/>
          <w:p>
            <w:pPr>
              <w:pStyle w:val="Compact"/>
              <w:jc w:val="left"/>
            </w:pPr>
            <w:r>
              <w:t xml:space="preserve">Tägliche Variabilität</w:t>
            </w:r>
          </w:p>
        </w:tc>
        <w:tc>
          <w:tcPr/>
          <w:p>
            <w:pPr>
              <w:pStyle w:val="Compact"/>
              <w:jc w:val="right"/>
            </w:pPr>
            <w:r>
              <w:t xml:space="preserve">Hoch</w:t>
            </w:r>
          </w:p>
        </w:tc>
        <w:tc>
          <w:tcPr/>
          <w:p>
            <w:pPr>
              <w:pStyle w:val="Compact"/>
              <w:jc w:val="left"/>
            </w:pPr>
            <w:r>
              <w:t xml:space="preserve">Sowohl Mahlzeiten- als auch</w:t>
            </w:r>
            <w:r>
              <w:t xml:space="preserve"> </w:t>
            </w:r>
            <w:r>
              <w:t xml:space="preserve">Medikamentenzeitpunkt änderten sich</w:t>
            </w:r>
          </w:p>
        </w:tc>
      </w:tr>
    </w:tbl>
    <w:p>
      <w:pPr>
        <w:pStyle w:val="BodyText"/>
      </w:pPr>
      <w:r>
        <w:t xml:space="preserve">Der Apotheker sah Hinweise darauf, dass das aktuelle Medikament zu nächtlichen Unterzuckerungen beitragen könnte, wenn Reed Mahlzeiten ausließ. Die Beraterin sah ein Problem der Mahlzeitenplanung. Park sah Hinweise darauf, dass ein wirksameres Medikament nötig sein könnte. Reed sah ein Gerät, das während Besprechungen piepte, sich beim Schwitzen löste und ihn jedes Mal ängstigte, wenn sich die Kurve scharf bewegte.</w:t>
      </w:r>
    </w:p>
    <w:p>
      <w:pPr>
        <w:pStyle w:val="BodyText"/>
      </w:pPr>
      <w:r>
        <w:t xml:space="preserve">Der Monitor warf auch Fragen zur Beobachtung selbst auf. Reed berichtete, dass er seine Ernährung änderte, weil er wusste, dass das Gerät aufzeichnete. Wenn die Überwachung sein Verhalten verbesserte, könnte sie Teil der Behandlung sein. Wenn sie lediglich zwei ungewöhnlich disziplinierte Wochen hervorbrachte, könnten ihre Vorhersagen zur künftigen Einstellung irreführend sein.</w:t>
      </w:r>
    </w:p>
    <w:bookmarkEnd w:id="12"/>
    <w:bookmarkEnd w:id="13"/>
    <w:bookmarkStart w:id="15" w:name="der-bisherige-behandlungsweg"/>
    <w:p>
      <w:pPr>
        <w:pStyle w:val="Heading1"/>
      </w:pPr>
      <w:r>
        <w:t xml:space="preserve">Der bisherige Behandlungsweg</w:t>
      </w:r>
    </w:p>
    <w:p>
      <w:pPr>
        <w:pStyle w:val="FirstParagraph"/>
      </w:pPr>
      <w:r>
        <w:t xml:space="preserve">Als bei Reed die Diagnose gestellt wurde, sank sein A1c-Wert, nachdem er seine Ernährung umgestellt hatte, regelmäßig spazieren ging und mit Metformin begann. Mit der Zeit schwächten sich die Vorteile ab. Eine Dosiserhöhung verursachte Magenprobleme. Eine niedrigere Dosis war verträglich, erschien aber unzureichend. Ein zweites orales Medikament verbesserte die Messwerte, führte jedoch zu größerer Sorge über niedrige Glukosewerte, wenn Mahlzeiten verzögert wurden. Reed widersetzte sich Injektionen, teilweise weil er sie mit dem schweren Diabetes seines Vaters assoziierte.</w:t>
      </w:r>
    </w:p>
    <w:p>
      <w:pPr>
        <w:pStyle w:val="BodyText"/>
      </w:pPr>
      <w:r>
        <w:t xml:space="preserve">Lakesides Klinikern standen mehrere breite Behandlungspfade zur Verfügung. Neuere Medikamente könnten die Glukosewerte verbessern und manchmal beim Gewicht oder kardiovaskulären Risiko helfen, aber die Versicherungsgenehmigung und die Selbstkosten variierten. Insulin könnte den Glukosewert bei korrekter Einnahme und Anpassung zuverlässig senken, erforderte jedoch Schulung, Überwachung und Aufmerksamkeit hinsichtlich des Unterzuckerungsrisikos. Technologie könnte Muster aufdecken, aber nur, wenn Reed sie trug und das Behandlungsteam Zeit hatte, die Daten zu interpretieren.</w:t>
      </w:r>
    </w:p>
    <w:bookmarkStart w:id="14" w:name="X4b59c0ab0e22a3a0beea95eab2011067fa7f783"/>
    <w:p>
      <w:pPr>
        <w:pStyle w:val="Heading2"/>
      </w:pPr>
      <w:r>
        <w:t xml:space="preserve">Exhibit 3. Planungsschätzungen für ausgewählte Ansätze</w:t>
      </w:r>
    </w:p>
    <w:tbl>
      <w:tblPr>
        <w:tblStyle w:val="Table"/>
        <w:tblW w:type="pct" w:w="4928"/>
        <w:tblLayout w:type="fixed"/>
        <w:tblLook w:firstRow="1" w:lastRow="0" w:firstColumn="0" w:lastColumn="0" w:noHBand="0" w:noVBand="0" w:val="0020"/>
      </w:tblPr>
      <w:tblGrid>
        <w:gridCol w:w="2180"/>
        <w:gridCol w:w="1549"/>
        <w:gridCol w:w="2008"/>
        <w:gridCol w:w="2066"/>
      </w:tblGrid>
      <w:tr>
        <w:trPr>
          <w:tblHeader w:val="on"/>
        </w:trPr>
        <w:tc>
          <w:tcPr/>
          <w:p>
            <w:pPr>
              <w:pStyle w:val="Compact"/>
              <w:jc w:val="left"/>
            </w:pPr>
            <w:r>
              <w:t xml:space="preserve">Ansatz</w:t>
            </w:r>
          </w:p>
        </w:tc>
        <w:tc>
          <w:tcPr/>
          <w:p>
            <w:pPr>
              <w:pStyle w:val="Compact"/>
              <w:jc w:val="right"/>
            </w:pPr>
            <w:r>
              <w:t xml:space="preserve">Geschätzte Patientenkosten</w:t>
            </w:r>
          </w:p>
        </w:tc>
        <w:tc>
          <w:tcPr/>
          <w:p>
            <w:pPr>
              <w:pStyle w:val="Compact"/>
            </w:pPr>
            <w:r>
              <w:t xml:space="preserve">* Klinischer Aufwand in den erst</w:t>
            </w:r>
          </w:p>
        </w:tc>
        <w:tc>
          <w:tcPr/>
          <w:p>
            <w:pPr>
              <w:pStyle w:val="Compact"/>
              <w:jc w:val="left"/>
            </w:pPr>
            <w:r>
              <w:t xml:space="preserve">en 90 Tagen Hauptbedenken</w:t>
            </w:r>
          </w:p>
        </w:tc>
      </w:tr>
      <w:tr>
        <w:tc>
          <w:tcPr/>
          <w:p>
            <w:pPr>
              <w:pStyle w:val="Compact"/>
              <w:jc w:val="left"/>
            </w:pPr>
            <w:r>
              <w:t xml:space="preserve">Orales Regime vereinfachen</w:t>
            </w:r>
          </w:p>
        </w:tc>
        <w:tc>
          <w:tcPr/>
          <w:p>
            <w:pPr>
              <w:pStyle w:val="Compact"/>
              <w:jc w:val="right"/>
            </w:pPr>
            <w:r>
              <w:t xml:space="preserve">15–55 $/Monat</w:t>
            </w:r>
          </w:p>
        </w:tc>
        <w:tc>
          <w:tcPr/>
          <w:p>
            <w:pPr>
              <w:pStyle w:val="Compact"/>
            </w:pPr>
            <w:r>
              <w:t xml:space="preserve">2 Besuche + telefonische Nachverfo</w:t>
            </w:r>
          </w:p>
        </w:tc>
        <w:tc>
          <w:tcPr/>
          <w:p>
            <w:pPr>
              <w:pStyle w:val="Compact"/>
              <w:jc w:val="left"/>
            </w:pPr>
            <w:r>
              <w:t xml:space="preserve">lgung Könnte Glukose nicht ausreichend senken</w:t>
            </w:r>
          </w:p>
        </w:tc>
      </w:tr>
      <w:tr>
        <w:tc>
          <w:tcPr/>
          <w:p>
            <w:pPr>
              <w:pStyle w:val="Compact"/>
              <w:jc w:val="left"/>
            </w:pPr>
            <w:r>
              <w:t xml:space="preserve">Neueres wöchentliches Injektionspräpar</w:t>
            </w:r>
          </w:p>
        </w:tc>
        <w:tc>
          <w:tcPr/>
          <w:p>
            <w:pPr>
              <w:pStyle w:val="Compact"/>
              <w:jc w:val="right"/>
            </w:pPr>
            <w:r>
              <w:t xml:space="preserve">at hinzufügen 90–550 $/</w:t>
            </w:r>
          </w:p>
        </w:tc>
        <w:tc>
          <w:tcPr/>
          <w:p>
            <w:pPr>
              <w:pStyle w:val="Compact"/>
            </w:pPr>
            <w:r>
              <w:t xml:space="preserve">Monat Vorabgenehmigung +</w:t>
            </w:r>
          </w:p>
        </w:tc>
        <w:tc>
          <w:tcPr/>
          <w:p>
            <w:pPr>
              <w:pStyle w:val="Compact"/>
              <w:jc w:val="left"/>
            </w:pPr>
            <w:r>
              <w:t xml:space="preserve">3 Kontakte Kosten, Verträglichkeit, Verfügbarkeit</w:t>
            </w:r>
          </w:p>
        </w:tc>
      </w:tr>
      <w:tr>
        <w:tc>
          <w:tcPr/>
          <w:p>
            <w:pPr>
              <w:pStyle w:val="Compact"/>
              <w:jc w:val="left"/>
            </w:pPr>
            <w:r>
              <w:t xml:space="preserve">Basalinsulin beginnen</w:t>
            </w:r>
          </w:p>
        </w:tc>
        <w:tc>
          <w:tcPr/>
          <w:p>
            <w:pPr>
              <w:pStyle w:val="Compact"/>
              <w:jc w:val="right"/>
            </w:pPr>
            <w:r>
              <w:t xml:space="preserve">35–140 $/Monat</w:t>
            </w:r>
          </w:p>
        </w:tc>
        <w:tc>
          <w:tcPr/>
          <w:p>
            <w:pPr>
              <w:pStyle w:val="Compact"/>
            </w:pPr>
            <w:r>
              <w:t xml:space="preserve">Schulung + häufige Dosisüberprüfun</w:t>
            </w:r>
          </w:p>
        </w:tc>
        <w:tc>
          <w:tcPr/>
          <w:p>
            <w:pPr>
              <w:pStyle w:val="Compact"/>
              <w:jc w:val="left"/>
            </w:pPr>
            <w:r>
              <w:t xml:space="preserve">g Unterzuckerung; Widerstand gegen Injektionen</w:t>
            </w:r>
          </w:p>
        </w:tc>
      </w:tr>
      <w:tr>
        <w:tc>
          <w:tcPr/>
          <w:p>
            <w:pPr>
              <w:pStyle w:val="Compact"/>
              <w:jc w:val="left"/>
            </w:pPr>
            <w:r>
              <w:t xml:space="preserve">CGM für 90 Tage fortsetzen</w:t>
            </w:r>
          </w:p>
        </w:tc>
        <w:tc>
          <w:tcPr/>
          <w:p>
            <w:pPr>
              <w:pStyle w:val="Compact"/>
              <w:jc w:val="right"/>
            </w:pPr>
            <w:r>
              <w:t xml:space="preserve">0–180 $/Monat</w:t>
            </w:r>
          </w:p>
        </w:tc>
        <w:tc>
          <w:tcPr/>
          <w:p>
            <w:pPr>
              <w:pStyle w:val="Compact"/>
            </w:pPr>
            <w:r>
              <w:t xml:space="preserve">Datenüberprüfung alle 2–4 Wochen</w:t>
            </w:r>
          </w:p>
        </w:tc>
        <w:tc>
          <w:tcPr/>
          <w:p>
            <w:pPr>
              <w:pStyle w:val="Compact"/>
              <w:jc w:val="left"/>
            </w:pPr>
            <w:r>
              <w:t xml:space="preserve">Abdeckung und dauerhafte Nutzung</w:t>
            </w:r>
          </w:p>
        </w:tc>
      </w:tr>
      <w:tr>
        <w:tc>
          <w:tcPr/>
          <w:p>
            <w:pPr>
              <w:pStyle w:val="Compact"/>
              <w:jc w:val="left"/>
            </w:pPr>
            <w:r>
              <w:t xml:space="preserve">Intensive Lebensstilunterstützung</w:t>
            </w:r>
          </w:p>
        </w:tc>
        <w:tc>
          <w:tcPr/>
          <w:p>
            <w:pPr>
              <w:pStyle w:val="Compact"/>
              <w:jc w:val="right"/>
            </w:pPr>
            <w:r>
              <w:t xml:space="preserve">0–350 $ insgesamt</w:t>
            </w:r>
          </w:p>
        </w:tc>
        <w:tc>
          <w:tcPr/>
          <w:p>
            <w:pPr>
              <w:pStyle w:val="Compact"/>
            </w:pPr>
            <w:r>
              <w:t xml:space="preserve">Ernährungsberater + Beraterin + Co</w:t>
            </w:r>
          </w:p>
        </w:tc>
        <w:tc>
          <w:tcPr/>
          <w:p>
            <w:pPr>
              <w:pStyle w:val="Compact"/>
              <w:jc w:val="left"/>
            </w:pPr>
            <w:r>
              <w:t xml:space="preserve">aching Teilnahme und Arbeitszeitplan</w:t>
            </w:r>
          </w:p>
        </w:tc>
      </w:tr>
      <w:tr>
        <w:tc>
          <w:tcPr/>
          <w:p>
            <w:pPr>
              <w:pStyle w:val="Compact"/>
              <w:jc w:val="left"/>
            </w:pPr>
            <w:r>
              <w:t xml:space="preserve">Kombinierter Medikations-/Technologiep</w:t>
            </w:r>
          </w:p>
        </w:tc>
        <w:tc>
          <w:tcPr/>
          <w:p>
            <w:pPr>
              <w:pStyle w:val="Compact"/>
              <w:jc w:val="right"/>
            </w:pPr>
            <w:r>
              <w:t xml:space="preserve">lan 125–700 $/Monat</w:t>
            </w:r>
          </w:p>
        </w:tc>
        <w:tc>
          <w:tcPr/>
          <w:p>
            <w:pPr>
              <w:pStyle w:val="Compact"/>
            </w:pPr>
            <w:r>
              <w:t xml:space="preserve">Höchste anfängliche Koordinati</w:t>
            </w:r>
          </w:p>
        </w:tc>
        <w:tc>
          <w:tcPr/>
          <w:p>
            <w:pPr>
              <w:pStyle w:val="Compact"/>
              <w:jc w:val="left"/>
            </w:pPr>
            <w:r>
              <w:t xml:space="preserve">on Komplexität und Abbruch</w:t>
            </w:r>
          </w:p>
        </w:tc>
      </w:tr>
    </w:tbl>
    <w:p>
      <w:pPr>
        <w:pStyle w:val="BodyText"/>
      </w:pPr>
      <w:r>
        <w:t xml:space="preserve">*Illustrative fiktive Schätzungen nach Versicherung; tatsächliche Kosten variieren stark je nach Plan, Berechtigung, Apotheke und Produkt.</w:t>
      </w:r>
    </w:p>
    <w:bookmarkEnd w:id="14"/>
    <w:bookmarkEnd w:id="15"/>
    <w:bookmarkStart w:id="16" w:name="Xe0381617626973b0bb782acb7134b3550b3d2c1"/>
    <w:p>
      <w:pPr>
        <w:pStyle w:val="Heading1"/>
      </w:pPr>
      <w:r>
        <w:t xml:space="preserve">Die Version des Problems aus Sicht des Patienten</w:t>
      </w:r>
    </w:p>
    <w:p>
      <w:pPr>
        <w:pStyle w:val="FirstParagraph"/>
      </w:pPr>
      <w:r>
        <w:t xml:space="preserve">Als Park Reed fragte, was den Plan am schwierigsten mache, begann er nicht mit der Glukose. Er beschrieb Erschöpfung, Schichtwechsel, die Termine seiner Mutter und die Angst, dass ein neues Medikament Nebenwirkungen verursachen würde, mit denen er bei der Arbeit nicht zurechtkäme. Er wollte Dialyse und Amputation vermeiden, die er bei Verwandten gesehen hatte, aber diese Risiken fühlten sich weit entfernt an im Vergleich zu einer verpassten Schicht oder einer Apothekenrechnung von 400 $.</w:t>
      </w:r>
    </w:p>
    <w:p>
      <w:pPr>
        <w:pStyle w:val="BodyText"/>
      </w:pPr>
      <w:r>
        <w:t xml:space="preserve">Reed sagte, er könne nach dem Abendessen an Tagschichten spazieren gehen, aber nicht sicher in der Nähe der Anlage um 2:00 Uhr morgens. Die Betriebskantine zeigte Nährwertinformationen inkonsistent an. Manchmal hielt er Essen in der Nähe bereit, um Unterzuckerung zu verhindern, aß es dann aber auch, wenn der Messwert nicht niedrig war, weil er hungrig war. Er war bereit, einen weiteren Monitor auszuprobieren, wollte aber nicht, dass Kollegen Warnmeldungen auf seinem Telefon sähen.</w:t>
      </w:r>
    </w:p>
    <w:p>
      <w:pPr>
        <w:pStyle w:val="BodyText"/>
      </w:pPr>
      <w:r>
        <w:t xml:space="preserve">Die Finanzberaterin stellte fest, dass ein Medikament einen hohen Selbstbehalt erfordern würde, bis Reed seinen Selbstbehalt erreicht hatte. Ein Herstellerunterstützungsprogramm könnte die Kosten senken, aber die Anspruchsberechtigung müsste erneuert werden und könnte sich ändern. Der Monitor könnte abgedeckt sein, weil Reed niedrige Messwerte dokumentiert hatte, obwohl der Versicherer einen Nachweis häufiger Medikamentenanpassung verlangen könnte. Im Januar würde sich der Selbstbehalt zurücksetzen, was möglicherweise ändern würde, welchen Plan Reed sich leisten könnte, genau dann, wenn das Team erfahren würde, ob er wirkte.</w:t>
      </w:r>
    </w:p>
    <w:bookmarkEnd w:id="16"/>
    <w:bookmarkStart w:id="18" w:name="kapazität-bei-lakeside"/>
    <w:p>
      <w:pPr>
        <w:pStyle w:val="Heading1"/>
      </w:pPr>
      <w:r>
        <w:t xml:space="preserve">Kapazität bei Lakeside</w:t>
      </w:r>
    </w:p>
    <w:p>
      <w:pPr>
        <w:pStyle w:val="FirstParagraph"/>
      </w:pPr>
      <w:r>
        <w:t xml:space="preserve">Lakeside betreute 11.800 Erwachsene mit diagnostiziertem Diabetes in sieben Kliniken. Das Versorgungsmanagementprogramm priorisierte Patienten mit hohen A1c-Werten, jüngerer Krankenhausnutzung, Schwangerschaft, Nierenerkrankung oder Schwierigkeiten beim Erhalt von Medikamenten. Die Northgate-Klinik hatte eine Beraterin, die sich mit zwei Standorten teilte, und einen Apotheker, der drei halbe Tage pro Woche verfügbar war. Die Nachfrage nach Terminen überstieg die Kapazität.</w:t>
      </w:r>
    </w:p>
    <w:p>
      <w:pPr>
        <w:pStyle w:val="BodyText"/>
      </w:pPr>
      <w:r>
        <w:t xml:space="preserve">Die Pflegemanagerin schlug wöchentliche Text-Check-ins und eine schnelle Medikamentenüberprüfung vor. Der medizinische Direktor stellte in Frage, ob das Personal dieses Maß an Aufmerksamkeit einem relativ stabilen Patienten widmen sollte, während andere kürzlich Notaufnahmen aufgesucht hatten. Der Finanzvorstand wies darauf hin, dass viele Koordinationsaktivitäten schlecht erstattet würden, selbst wenn sie kostspielige Komplikationen Jahre später verhindern könnten.</w:t>
      </w:r>
    </w:p>
    <w:bookmarkStart w:id="17" w:name="X9e98e2031c329afa15d8e50abedcad03f26b290"/>
    <w:p>
      <w:pPr>
        <w:pStyle w:val="Heading2"/>
      </w:pPr>
      <w:r>
        <w:t xml:space="preserve">Exhibit 4. Lakeside-Diabetesprogramm, letzte 12 Monate</w:t>
      </w:r>
    </w:p>
    <w:tbl>
      <w:tblPr>
        <w:tblStyle w:val="Table"/>
        <w:tblW w:type="pct" w:w="4792"/>
        <w:tblLayout w:type="fixed"/>
        <w:tblLook w:firstRow="1" w:lastRow="0" w:firstColumn="0" w:lastColumn="0" w:noHBand="0" w:noVBand="0" w:val="0020"/>
      </w:tblPr>
      <w:tblGrid>
        <w:gridCol w:w="5170"/>
        <w:gridCol w:w="2420"/>
      </w:tblGrid>
      <w:tr>
        <w:trPr>
          <w:tblHeader w:val="on"/>
        </w:trPr>
        <w:tc>
          <w:tcPr/>
          <w:p>
            <w:pPr>
              <w:pStyle w:val="Compact"/>
              <w:jc w:val="left"/>
            </w:pPr>
            <w:r>
              <w:t xml:space="preserve">Programmindikator</w:t>
            </w:r>
          </w:p>
        </w:tc>
        <w:tc>
          <w:tcPr/>
          <w:p>
            <w:pPr>
              <w:pStyle w:val="Compact"/>
              <w:jc w:val="center"/>
            </w:pPr>
            <w:r>
              <w:t xml:space="preserve">Ergebnis</w:t>
            </w:r>
          </w:p>
        </w:tc>
      </w:tr>
      <w:tr>
        <w:tc>
          <w:tcPr/>
          <w:p>
            <w:pPr>
              <w:pStyle w:val="Compact"/>
              <w:jc w:val="left"/>
            </w:pPr>
            <w:r>
              <w:t xml:space="preserve">Erwachsene mit diagnostiziertem Diabetes</w:t>
            </w:r>
          </w:p>
        </w:tc>
        <w:tc>
          <w:tcPr/>
          <w:p>
            <w:pPr>
              <w:pStyle w:val="Compact"/>
              <w:jc w:val="center"/>
            </w:pPr>
            <w:r>
              <w:t xml:space="preserve">11.800</w:t>
            </w:r>
          </w:p>
        </w:tc>
      </w:tr>
      <w:tr>
        <w:tc>
          <w:tcPr/>
          <w:p>
            <w:pPr>
              <w:pStyle w:val="Compact"/>
              <w:jc w:val="left"/>
            </w:pPr>
            <w:r>
              <w:t xml:space="preserve">Patienten mit jüngstem A1c ≥9%</w:t>
            </w:r>
          </w:p>
        </w:tc>
        <w:tc>
          <w:tcPr/>
          <w:p>
            <w:pPr>
              <w:pStyle w:val="Compact"/>
              <w:jc w:val="center"/>
            </w:pPr>
            <w:r>
              <w:t xml:space="preserve">2.140</w:t>
            </w:r>
          </w:p>
        </w:tc>
      </w:tr>
      <w:tr>
        <w:tc>
          <w:tcPr/>
          <w:p>
            <w:pPr>
              <w:pStyle w:val="Compact"/>
              <w:jc w:val="left"/>
            </w:pPr>
            <w:r>
              <w:t xml:space="preserve">Patienten ohne A1c-Test in 12 Monaten</w:t>
            </w:r>
          </w:p>
        </w:tc>
        <w:tc>
          <w:tcPr/>
          <w:p>
            <w:pPr>
              <w:pStyle w:val="Compact"/>
              <w:jc w:val="center"/>
            </w:pPr>
            <w:r>
              <w:t xml:space="preserve">1.330</w:t>
            </w:r>
          </w:p>
        </w:tc>
      </w:tr>
      <w:tr>
        <w:tc>
          <w:tcPr/>
          <w:p>
            <w:pPr>
              <w:pStyle w:val="Compact"/>
              <w:jc w:val="left"/>
            </w:pPr>
            <w:r>
              <w:t xml:space="preserve">Patienten überfällig für Netzhautuntersuchung</w:t>
            </w:r>
          </w:p>
        </w:tc>
        <w:tc>
          <w:tcPr/>
          <w:p>
            <w:pPr>
              <w:pStyle w:val="Compact"/>
              <w:jc w:val="center"/>
            </w:pPr>
            <w:r>
              <w:t xml:space="preserve">3.420</w:t>
            </w:r>
          </w:p>
        </w:tc>
      </w:tr>
      <w:tr>
        <w:tc>
          <w:tcPr/>
          <w:p>
            <w:pPr>
              <w:pStyle w:val="Compact"/>
              <w:jc w:val="left"/>
            </w:pPr>
            <w:r>
              <w:t xml:space="preserve">Diabetesbezogene Notfallbesuche</w:t>
            </w:r>
          </w:p>
        </w:tc>
        <w:tc>
          <w:tcPr/>
          <w:p>
            <w:pPr>
              <w:pStyle w:val="Compact"/>
              <w:jc w:val="center"/>
            </w:pPr>
            <w:r>
              <w:t xml:space="preserve">684</w:t>
            </w:r>
          </w:p>
        </w:tc>
      </w:tr>
      <w:tr>
        <w:tc>
          <w:tcPr/>
          <w:p>
            <w:pPr>
              <w:pStyle w:val="Compact"/>
              <w:jc w:val="left"/>
            </w:pPr>
            <w:r>
              <w:t xml:space="preserve">Abgeschlossene Beratungstermine</w:t>
            </w:r>
          </w:p>
        </w:tc>
        <w:tc>
          <w:tcPr/>
          <w:p>
            <w:pPr>
              <w:pStyle w:val="Compact"/>
              <w:jc w:val="center"/>
            </w:pPr>
            <w:r>
              <w:t xml:space="preserve">3.760</w:t>
            </w:r>
          </w:p>
        </w:tc>
      </w:tr>
      <w:tr>
        <w:tc>
          <w:tcPr/>
          <w:p>
            <w:pPr>
              <w:pStyle w:val="Compact"/>
              <w:jc w:val="left"/>
            </w:pPr>
            <w:r>
              <w:t xml:space="preserve">Fehlquote / Absagequote bei Beratungsterminen</w:t>
            </w:r>
          </w:p>
        </w:tc>
        <w:tc>
          <w:tcPr/>
          <w:p>
            <w:pPr>
              <w:pStyle w:val="Compact"/>
              <w:jc w:val="center"/>
            </w:pPr>
            <w:r>
              <w:t xml:space="preserve">24%</w:t>
            </w:r>
          </w:p>
        </w:tc>
      </w:tr>
      <w:tr>
        <w:tc>
          <w:tcPr/>
          <w:p>
            <w:pPr>
              <w:pStyle w:val="Compact"/>
              <w:jc w:val="left"/>
            </w:pPr>
            <w:r>
              <w:t xml:space="preserve">Durchschnittliche Fallzahl des Apothekers</w:t>
            </w:r>
          </w:p>
        </w:tc>
        <w:tc>
          <w:tcPr/>
          <w:p>
            <w:pPr>
              <w:pStyle w:val="Compact"/>
              <w:jc w:val="center"/>
            </w:pPr>
            <w:r>
              <w:t xml:space="preserve">286 aktive Patienten</w:t>
            </w:r>
          </w:p>
        </w:tc>
      </w:tr>
      <w:tr>
        <w:tc>
          <w:tcPr/>
          <w:p>
            <w:pPr>
              <w:pStyle w:val="Compact"/>
              <w:jc w:val="left"/>
            </w:pPr>
            <w:r>
              <w:t xml:space="preserve">Nicht erstattete Kosten für Versorgungsmanageme</w:t>
            </w:r>
          </w:p>
        </w:tc>
        <w:tc>
          <w:tcPr/>
          <w:p>
            <w:pPr>
              <w:pStyle w:val="Compact"/>
              <w:jc w:val="center"/>
            </w:pPr>
            <w:r>
              <w:t xml:space="preserve">nt 1,18 Millionen $</w:t>
            </w:r>
          </w:p>
        </w:tc>
      </w:tr>
    </w:tbl>
    <w:p>
      <w:pPr>
        <w:pStyle w:val="BodyText"/>
      </w:pPr>
      <w:r>
        <w:t xml:space="preserve">Das Qualitätsdashboard der Klinik honorierte eine verbesserte A1c-Kontrolle und die Durchführung ausgewählter Untersuchungen, erfasste jedoch nicht vollständig vermiedene schwere Unterzuckerungsepisoden, Behandlungsbelastung, finanziellen Stress oder ob eine Verbesserung Bestand haben würde. Ein Medikationsplan, der einen niedrigeren A1c-Wert erzielte, aber wiederholte niedrige Messwerte oder finanzielle Härten verursachte, könnte in einem Bericht erfolgreich, in einem anderen jedoch schädlich aussehen.</w:t>
      </w:r>
    </w:p>
    <w:bookmarkEnd w:id="17"/>
    <w:bookmarkEnd w:id="18"/>
    <w:bookmarkStart w:id="19" w:name="unterschiedliche-auffassungen"/>
    <w:p>
      <w:pPr>
        <w:pStyle w:val="Heading1"/>
      </w:pPr>
      <w:r>
        <w:t xml:space="preserve">Unterschiedliche Auffassungen</w:t>
      </w:r>
    </w:p>
    <w:p>
      <w:pPr>
        <w:pStyle w:val="FirstParagraph"/>
      </w:pPr>
      <w:r>
        <w:t xml:space="preserve">Jedes Mitglied des Behandlungsteams fasste Reeds Fall unterschiedlich auf. Der Apotheker befürwortete, das mit niedrigen Messwerten assoziierte Medikament abzusetzen und ein Medikament mit geringerem Hypoglykämierisiko einzusetzen, unter der Annahme, dass die Kostenübernahme geregelt werden könnte. Die Beraterin wollte mit einem Plan beginnen, den Reed über beide Schichtpläne hinweg umsetzen könnte. Die Pflegemanagerin argumentierte, dass das Team mehr häufige Beobachtungen benötige, bevor eine weitere größere Änderung vorgenommen werde. Park war besorgt, dass das Warten auf bessere Informationen die Exposition gegenüber hoher Glukose verlängern würde.</w:t>
      </w:r>
    </w:p>
    <w:p>
      <w:pPr>
        <w:pStyle w:val="BodyText"/>
      </w:pPr>
      <w:r>
        <w:t xml:space="preserve">Reeds Prioritäten passten in keinen der Vorschläge sauber hinein. Er wollte mehr Energie, weniger Unterbrechungen bei der Arbeit, Schutz vor langfristigen Komplikationen und monatliche Kosten, die er vorhersehen konnte. Er war bereit, Änderungen vorzunehmen, aber nicht alle auf einmal. Das Team könnte den Plan vereinfachen, intensivieren oder stufenweise gestalten – aber jede Abfolge würde beeinflussen, was sie über die Ursachen von Verbesserung oder Versagen lernen würden.</w:t>
      </w:r>
    </w:p>
    <w:bookmarkEnd w:id="19"/>
    <w:bookmarkStart w:id="21" w:name="die-neunzig-tage-entscheidung"/>
    <w:p>
      <w:pPr>
        <w:pStyle w:val="Heading1"/>
      </w:pPr>
      <w:r>
        <w:t xml:space="preserve">Die Neunzig-Tage-Entscheidung</w:t>
      </w:r>
    </w:p>
    <w:p>
      <w:pPr>
        <w:pStyle w:val="FirstParagraph"/>
      </w:pPr>
      <w:r>
        <w:t xml:space="preserve">Die Fallkonferenz grenzte die Diskussion auf drei breite Ansätze ein.</w:t>
      </w:r>
    </w:p>
    <w:p>
      <w:pPr>
        <w:pStyle w:val="BodyText"/>
      </w:pPr>
      <w:r>
        <w:t xml:space="preserve">Ansatz A: Jetzt intensivieren. Das Team würde das aktuelle zweite Medikament ersetzen, eine Genehmigung für ein neueres wöchentliches Injektionspräparat beantragen, die kontinuierliche Überwachung fortsetzen und häufige Nachuntersuchungen ansetzen. Der Plan bot die größte Chance auf eine rasche Verbesserung, aber auch die höchsten Kosten, den größten Koordinationsaufwand und das Risiko, dass Nebenwirkungen oder Genehmigungsverzögerungen Reed veranlassen würden, ihn abzubrechen.</w:t>
      </w:r>
    </w:p>
    <w:p>
      <w:pPr>
        <w:pStyle w:val="BodyText"/>
      </w:pPr>
      <w:r>
        <w:t xml:space="preserve">Ansatz B: Vereinfachen und stabilisieren. Das Team würde ein kostengünstigeres Regime um Reeds Wechselschichten herum entwerfen, das Risiko von Unterzuckerung verringern, sich auf Mahlzeitenplanung und machbare Aktivität konzentrieren und nach drei Monaten neu bewerten. Der Plan könnte leichter aufrechtzuerhalten sein, könnte aber die Glukose erhöht lassen, während sich die Krankheit fortentwickelt.</w:t>
      </w:r>
    </w:p>
    <w:p>
      <w:pPr>
        <w:pStyle w:val="BodyText"/>
      </w:pPr>
      <w:r>
        <w:t xml:space="preserve">Ansatz C: Lernen vor dem Festlegen. Das Team würde eine weitere Monitoringperiode, strukturierte Mahlzeiten- und Medikamentenprotokolle sowie kurze Fernkontakte nutzen, um Muster zu identifizieren, bevor eine größere Therapieänderung ausgewählt wird. Der Ansatz könnte aufdecken, was die Variabilität antreibt, aber die zusätzlichen Informationen könnten unvollständig, durch die Beobachtung verändert oder zu spät sein, um die Verzögerung zu rechtfertigen.</w:t>
      </w:r>
    </w:p>
    <w:bookmarkStart w:id="20" w:name="Xc106ebc82ca8596fffa98e67b2c33cdafdacce9"/>
    <w:p>
      <w:pPr>
        <w:pStyle w:val="Heading2"/>
      </w:pPr>
      <w:r>
        <w:t xml:space="preserve">Exhibit 5. Planungsszenarien für neunzig Tage</w:t>
      </w:r>
    </w:p>
    <w:tbl>
      <w:tblPr>
        <w:tblStyle w:val="Table"/>
        <w:tblW w:type="pct" w:w="4926"/>
        <w:tblLayout w:type="fixed"/>
        <w:tblLook w:firstRow="1" w:lastRow="0" w:firstColumn="0" w:lastColumn="0" w:noHBand="0" w:noVBand="0" w:val="0020"/>
      </w:tblPr>
      <w:tblGrid>
        <w:gridCol w:w="2445"/>
        <w:gridCol w:w="1106"/>
        <w:gridCol w:w="1281"/>
        <w:gridCol w:w="1106"/>
        <w:gridCol w:w="1863"/>
      </w:tblGrid>
      <w:tr>
        <w:trPr>
          <w:tblHeader w:val="on"/>
        </w:trPr>
        <w:tc>
          <w:tcPr/>
          <w:p>
            <w:pPr>
              <w:pStyle w:val="Compact"/>
              <w:jc w:val="left"/>
            </w:pPr>
            <w:r>
              <w:t xml:space="preserve">Szenario</w:t>
            </w:r>
          </w:p>
        </w:tc>
        <w:tc>
          <w:tcPr/>
          <w:p>
            <w:pPr>
              <w:pStyle w:val="Compact"/>
            </w:pPr>
            <w:r>
              <w:t xml:space="preserve">A1c bei Nachuntersu</w:t>
            </w:r>
          </w:p>
        </w:tc>
        <w:tc>
          <w:tcPr/>
          <w:p>
            <w:pPr>
              <w:pStyle w:val="Compact"/>
            </w:pPr>
            <w:r>
              <w:t xml:space="preserve">chung Unterzuckerung</w:t>
            </w:r>
          </w:p>
        </w:tc>
        <w:tc>
          <w:tcPr/>
          <w:p>
            <w:pPr>
              <w:pStyle w:val="Compact"/>
            </w:pPr>
            <w:r>
              <w:t xml:space="preserve">srisiko Patien</w:t>
            </w:r>
          </w:p>
        </w:tc>
        <w:tc>
          <w:tcPr/>
          <w:p>
            <w:pPr>
              <w:pStyle w:val="Compact"/>
            </w:pPr>
            <w:r>
              <w:t xml:space="preserve">tenbelastung Geschätzte Patientenkosten über 90 Tage</w:t>
            </w:r>
          </w:p>
        </w:tc>
      </w:tr>
      <w:tr>
        <w:tc>
          <w:tcPr/>
          <w:p>
            <w:pPr>
              <w:pStyle w:val="Compact"/>
              <w:jc w:val="left"/>
            </w:pPr>
            <w:r>
              <w:t xml:space="preserve">Starkes Ansprechen / anhaltende Nutzung</w:t>
            </w:r>
          </w:p>
        </w:tc>
        <w:tc>
          <w:tcPr/>
          <w:p>
            <w:pPr>
              <w:pStyle w:val="Compact"/>
            </w:pPr>
            <w:r>
              <w:t xml:space="preserve">7,4–8,0%</w:t>
            </w:r>
          </w:p>
        </w:tc>
        <w:tc>
          <w:tcPr/>
          <w:p>
            <w:pPr>
              <w:pStyle w:val="Compact"/>
            </w:pPr>
            <w:r>
              <w:t xml:space="preserve">Niedrig bis mäßig</w:t>
            </w:r>
          </w:p>
        </w:tc>
        <w:tc>
          <w:tcPr/>
          <w:p>
            <w:pPr>
              <w:pStyle w:val="Compact"/>
            </w:pPr>
            <w:r>
              <w:t xml:space="preserve">Mäßig</w:t>
            </w:r>
          </w:p>
        </w:tc>
        <w:tc>
          <w:tcPr/>
          <w:p>
            <w:pPr>
              <w:pStyle w:val="Compact"/>
            </w:pPr>
            <w:r>
              <w:t xml:space="preserve">180–1.600 $</w:t>
            </w:r>
          </w:p>
        </w:tc>
      </w:tr>
      <w:tr>
        <w:tc>
          <w:tcPr/>
          <w:p>
            <w:pPr>
              <w:pStyle w:val="Compact"/>
              <w:jc w:val="left"/>
            </w:pPr>
            <w:r>
              <w:t xml:space="preserve">Teilweises Ansprechen</w:t>
            </w:r>
          </w:p>
        </w:tc>
        <w:tc>
          <w:tcPr/>
          <w:p>
            <w:pPr>
              <w:pStyle w:val="Compact"/>
            </w:pPr>
            <w:r>
              <w:t xml:space="preserve">8,1–8,7%</w:t>
            </w:r>
          </w:p>
        </w:tc>
        <w:tc>
          <w:tcPr/>
          <w:p>
            <w:pPr>
              <w:pStyle w:val="Compact"/>
            </w:pPr>
            <w:r>
              <w:t xml:space="preserve">Variiert je nach Regi</w:t>
            </w:r>
          </w:p>
        </w:tc>
        <w:tc>
          <w:tcPr/>
          <w:p>
            <w:pPr>
              <w:pStyle w:val="Compact"/>
            </w:pPr>
            <w:r>
              <w:t xml:space="preserve">me Mäßig bis h</w:t>
            </w:r>
          </w:p>
        </w:tc>
        <w:tc>
          <w:tcPr/>
          <w:p>
            <w:pPr>
              <w:pStyle w:val="Compact"/>
            </w:pPr>
            <w:r>
              <w:t xml:space="preserve">och 120–1.500 $</w:t>
            </w:r>
          </w:p>
        </w:tc>
      </w:tr>
      <w:tr>
        <w:tc>
          <w:tcPr/>
          <w:p>
            <w:pPr>
              <w:pStyle w:val="Compact"/>
              <w:jc w:val="left"/>
            </w:pPr>
            <w:r>
              <w:t xml:space="preserve">Nebenwirkungen oder Nichtadhärenz</w:t>
            </w:r>
          </w:p>
        </w:tc>
        <w:tc>
          <w:tcPr/>
          <w:p>
            <w:pPr>
              <w:pStyle w:val="Compact"/>
            </w:pPr>
            <w:r>
              <w:t xml:space="preserve">8,8–9,5%</w:t>
            </w:r>
          </w:p>
        </w:tc>
        <w:tc>
          <w:tcPr/>
          <w:p>
            <w:pPr>
              <w:pStyle w:val="Compact"/>
            </w:pPr>
            <w:r>
              <w:t xml:space="preserve">Ungewiss</w:t>
            </w:r>
          </w:p>
        </w:tc>
        <w:tc>
          <w:tcPr/>
          <w:p>
            <w:pPr>
              <w:pStyle w:val="Compact"/>
            </w:pPr>
            <w:r>
              <w:t xml:space="preserve">Hoch</w:t>
            </w:r>
          </w:p>
        </w:tc>
        <w:tc>
          <w:tcPr/>
          <w:p>
            <w:pPr>
              <w:pStyle w:val="Compact"/>
            </w:pPr>
            <w:r>
              <w:t xml:space="preserve">75–900 $</w:t>
            </w:r>
          </w:p>
        </w:tc>
      </w:tr>
      <w:tr>
        <w:tc>
          <w:tcPr/>
          <w:p>
            <w:pPr>
              <w:pStyle w:val="Compact"/>
              <w:jc w:val="left"/>
            </w:pPr>
            <w:r>
              <w:t xml:space="preserve">Unterbrechung der Kostenübernahme</w:t>
            </w:r>
          </w:p>
        </w:tc>
        <w:tc>
          <w:tcPr/>
          <w:p>
            <w:pPr>
              <w:pStyle w:val="Compact"/>
            </w:pPr>
            <w:r>
              <w:t xml:space="preserve">8,6–9,4%</w:t>
            </w:r>
          </w:p>
        </w:tc>
        <w:tc>
          <w:tcPr/>
          <w:p>
            <w:pPr>
              <w:pStyle w:val="Compact"/>
            </w:pPr>
            <w:r>
              <w:t xml:space="preserve">Abhängig von Ausweich</w:t>
            </w:r>
          </w:p>
        </w:tc>
        <w:tc>
          <w:tcPr/>
          <w:p>
            <w:pPr>
              <w:pStyle w:val="Compact"/>
            </w:pPr>
            <w:r>
              <w:t xml:space="preserve">lösung Hoch</w:t>
            </w:r>
          </w:p>
        </w:tc>
        <w:tc>
          <w:tcPr/>
          <w:p>
            <w:pPr>
              <w:pStyle w:val="Compact"/>
            </w:pPr>
            <w:r>
              <w:t xml:space="preserve">100–1.200 $</w:t>
            </w:r>
          </w:p>
        </w:tc>
      </w:tr>
      <w:tr>
        <w:tc>
          <w:tcPr/>
          <w:p>
            <w:pPr>
              <w:pStyle w:val="Compact"/>
              <w:jc w:val="left"/>
            </w:pPr>
            <w:r>
              <w:t xml:space="preserve">Verbesserte Routine ohne kostspielige Ther</w:t>
            </w:r>
          </w:p>
        </w:tc>
        <w:tc>
          <w:tcPr/>
          <w:p>
            <w:pPr>
              <w:pStyle w:val="Compact"/>
            </w:pPr>
            <w:r>
              <w:t xml:space="preserve">apie 7,9–8,5%</w:t>
            </w:r>
          </w:p>
        </w:tc>
        <w:tc>
          <w:tcPr/>
          <w:p>
            <w:pPr>
              <w:pStyle w:val="Compact"/>
            </w:pPr>
            <w:r>
              <w:t xml:space="preserve">Niedrig</w:t>
            </w:r>
          </w:p>
        </w:tc>
        <w:tc>
          <w:tcPr/>
          <w:p>
            <w:pPr>
              <w:pStyle w:val="Compact"/>
            </w:pPr>
            <w:r>
              <w:t xml:space="preserve">Mäßig</w:t>
            </w:r>
          </w:p>
        </w:tc>
        <w:tc>
          <w:tcPr/>
          <w:p>
            <w:pPr>
              <w:pStyle w:val="Compact"/>
            </w:pPr>
            <w:r>
              <w:t xml:space="preserve">45–400 $</w:t>
            </w:r>
          </w:p>
        </w:tc>
      </w:tr>
    </w:tbl>
    <w:p>
      <w:pPr>
        <w:pStyle w:val="BodyText"/>
      </w:pPr>
      <w:r>
        <w:t xml:space="preserve">Die Spannbreiten waren Planungsschätzungen, keine klinischen Prognosen. Sie kombinierten Annahmen über biologisches Ansprechen, Medikamentenzugang, Mahlzeitenmuster, Aktivität, Adhärenz und die Qualität der Messungen. Dasselbe beobachtete Ergebnis konnte mehrere Erklärungen haben. Ein niedrigerer A1c-Wert könnte das Medikament widerspiegeln, eine vorübergehende Verhaltensänderung, weniger Nachtschichten oder alle drei. Ein enttäuschendes Ergebnis könnte bedeuten, dass die Behandlung unwirksam war – oder dass sie nie konsequent umgesetzt wurde.</w:t>
      </w:r>
    </w:p>
    <w:bookmarkEnd w:id="20"/>
    <w:bookmarkEnd w:id="21"/>
    <w:bookmarkStart w:id="22" w:name="bevor-der-patient-zurückkehrte"/>
    <w:p>
      <w:pPr>
        <w:pStyle w:val="Heading1"/>
      </w:pPr>
      <w:r>
        <w:t xml:space="preserve">Bevor der Patient zurückkehrte</w:t>
      </w:r>
    </w:p>
    <w:p>
      <w:pPr>
        <w:pStyle w:val="FirstParagraph"/>
      </w:pPr>
      <w:r>
        <w:t xml:space="preserve">Dem Team blieben zwanzig Minuten, bevor Reed in den Konferenzraum zurückkehrte. Park musste einen Plan vorschlagen, entscheiden, welche Informationen gesammelt werden sollten, festlegen, wie oft die Klinik eingreifen würde, und die Kompromisse so erklären, dass Reed sie nutzen konnte. Sie musste auch entscheiden, was vor dem Neunzig-Tage-Termin eine Änderung auslösen würde: wiederholte niedrige Messwerte, anhaltend hohe Werte, Nebenwirkungen, verpasste Dosen, Zahlungsunfähigkeit oder einfach Reeds Urteil, dass der Plan nicht zu seinem Leben passte.</w:t>
      </w:r>
    </w:p>
    <w:p>
      <w:pPr>
        <w:pStyle w:val="BodyText"/>
      </w:pPr>
      <w:r>
        <w:t xml:space="preserve">Beim Betrachten der Monitorgrafik fragte sich Park, ob die wichtigste Entscheidung die Medikation, die Überwachungstechnologie, Reeds tägliche Routine, die Intensität der Nachverfolgung oder die Reihenfolge betraf, in der diese eingeführt würden. Dem Fall fehlte es nicht an möglichen Maßnahmen. Es fehlte an Zuversicht darüber, wie jede Maßnahme mit einem Patienten interagieren würde, dessen Physiologie, Zeitplan, Ressourcen und Bereitschaft sich alle vor dem nächsten Laborergebnis ändern könnten.</w:t>
      </w:r>
    </w:p>
    <w:bookmarkEnd w:id="22"/>
    <w:bookmarkStart w:id="23" w:name="diskussionsfragen"/>
    <w:p>
      <w:pPr>
        <w:pStyle w:val="Heading1"/>
      </w:pPr>
      <w:r>
        <w:t xml:space="preserve">Diskussionsfragen</w:t>
      </w:r>
    </w:p>
    <w:p>
      <w:pPr>
        <w:numPr>
          <w:ilvl w:val="0"/>
          <w:numId w:val="1001"/>
        </w:numPr>
      </w:pPr>
      <w:r>
        <w:t xml:space="preserve">Was ist das zentrale Problem, dem sich Park und das Lakeside-Team gegenübersehen? Welche berichteten Zahlen sind am aufschlussreichsten, und welche könnten wichtige Variation verbergen?</w:t>
      </w:r>
    </w:p>
    <w:p>
      <w:pPr>
        <w:numPr>
          <w:ilvl w:val="0"/>
          <w:numId w:val="1001"/>
        </w:numPr>
      </w:pPr>
      <w:r>
        <w:t xml:space="preserve">Wie sollte Reeds unmittelbares Risiko für hohe oder niedrige Glukose gegen die Möglichkeit von Komplikationen abgewogen werden, die sich über viele Jahre entwickeln könnten?</w:t>
      </w:r>
    </w:p>
    <w:p>
      <w:pPr>
        <w:numPr>
          <w:ilvl w:val="0"/>
          <w:numId w:val="1001"/>
        </w:numPr>
      </w:pPr>
      <w:r>
        <w:t xml:space="preserve">Welche zusätzlichen Informationen wären vor der Wahl eines Behandlungsplans am wertvollsten? Wie sollte das Team diese beschaffen?</w:t>
      </w:r>
    </w:p>
    <w:p>
      <w:pPr>
        <w:numPr>
          <w:ilvl w:val="0"/>
          <w:numId w:val="1001"/>
        </w:numPr>
      </w:pPr>
      <w:r>
        <w:t xml:space="preserve">Sollte das Team die Behandlung sofort intensivieren, das Regime vereinfachen oder zunächst mehr Beobachtungen sammeln?</w:t>
      </w:r>
    </w:p>
    <w:p>
      <w:pPr>
        <w:numPr>
          <w:ilvl w:val="0"/>
          <w:numId w:val="1001"/>
        </w:numPr>
      </w:pPr>
      <w:r>
        <w:t xml:space="preserve">Wie sollten Bezahlbarkeit und Versicherungsunsicherheit einen Plan beeinflussen, der klinisch attraktiv sein könnte?</w:t>
      </w:r>
    </w:p>
    <w:p>
      <w:pPr>
        <w:numPr>
          <w:ilvl w:val="0"/>
          <w:numId w:val="1001"/>
        </w:numPr>
      </w:pPr>
      <w:r>
        <w:t xml:space="preserve">Welche Teile des Plans sollten vom Kliniker festgelegt werden, und welche Entscheidungen sollten hauptsächlich Reed überlassen bleiben?</w:t>
      </w:r>
    </w:p>
    <w:p>
      <w:pPr>
        <w:numPr>
          <w:ilvl w:val="0"/>
          <w:numId w:val="1001"/>
        </w:numPr>
      </w:pPr>
      <w:r>
        <w:t xml:space="preserve">Wie sollte Lakeside reagieren, wenn Reed nur einige Elemente des Plans befolgt?</w:t>
      </w:r>
    </w:p>
    <w:p>
      <w:pPr>
        <w:numPr>
          <w:ilvl w:val="0"/>
          <w:numId w:val="1001"/>
        </w:numPr>
      </w:pPr>
      <w:r>
        <w:t xml:space="preserve">Welche Bedingungen sollten vor der Neunzig-Tage-Überprüfung eine Behandlungsänderung auslösen?</w:t>
      </w:r>
    </w:p>
    <w:p>
      <w:pPr>
        <w:numPr>
          <w:ilvl w:val="0"/>
          <w:numId w:val="1001"/>
        </w:numPr>
      </w:pPr>
      <w:r>
        <w:t xml:space="preserve">Wie sollte die Klinik die begrenzten Kapazitäten von Apotheker, Beraterin und Pflegemanagerin zwischen Reed und anderen Patienten verteilen?</w:t>
      </w:r>
    </w:p>
    <w:p>
      <w:pPr>
        <w:numPr>
          <w:ilvl w:val="0"/>
          <w:numId w:val="1001"/>
        </w:numPr>
      </w:pPr>
      <w:r>
        <w:t xml:space="preserve">Was würde nach neunzig Tagen Erfolg bedeuten, wenn Glukosekontrolle, Unterzuckerungsrisiko, Kosten, Behandlungsbelastung und Nachhaltigkeit in unterschiedliche Richtungen weisen?</w:t>
      </w:r>
    </w:p>
    <w:bookmarkEnd w:id="23"/>
    <w:bookmarkStart w:id="29"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4">
        <w:r>
          <w:rPr>
            <w:rStyle w:val="Hyperlink"/>
          </w:rPr>
          <w:t xml:space="preserve">Metriken-Pyramide-Werkzeug</w:t>
        </w:r>
      </w:hyperlink>
      <w:r>
        <w:t xml:space="preserve">, um die verschiedenen Leistungsmetriken zu identifizieren und zu priorisieren. Klicken Sie auf das Oval, das die Metrik enthält, um zu kennzeichnen, ob es sich um eine zu maximierende Metrik (grün), eine zu minimierende (rot), einen Zielwert, der eine Untergrenze ist (hellgrün), oder eine Obergrenze (hellrot), oder schließlich einen Zielwert (violett) handelt.</w:t>
      </w:r>
    </w:p>
    <w:p>
      <w:pPr>
        <w:numPr>
          <w:ilvl w:val="0"/>
          <w:numId w:val="1002"/>
        </w:numPr>
      </w:pPr>
      <w:r>
        <w:t xml:space="preserve">Verwenden Sie das</w:t>
      </w:r>
      <w:r>
        <w:t xml:space="preserve"> </w:t>
      </w:r>
      <w:hyperlink r:id="rId25">
        <w:r>
          <w:rPr>
            <w:rStyle w:val="Hyperlink"/>
          </w:rPr>
          <w:t xml:space="preserve">Entscheidungspriorisierungswerkzeug</w:t>
        </w:r>
      </w:hyperlink>
      <w:r>
        <w:t xml:space="preserve">, um zunächst die verschiedenen Arten von Entscheidungen aufzulisten (nutzen Sie die</w:t>
      </w:r>
      <w:r>
        <w:t xml:space="preserve"> </w:t>
      </w:r>
      <w:hyperlink r:id="rId26">
        <w:r>
          <w:rPr>
            <w:rStyle w:val="Hyperlink"/>
          </w:rPr>
          <w:t xml:space="preserve">Arten von Entscheidungen</w:t>
        </w:r>
      </w:hyperlink>
      <w:r>
        <w:t xml:space="preserve"> </w:t>
      </w:r>
      <w:r>
        <w:t xml:space="preserve">als Leitfaden). Diese füllen dann die Zeilen der Matrix rechts, wobei die Spalten die Leistungsmetriken sind, sortiert von links nach rechts entsprechend der Priorität in der Pyramide oben. Klicken Sie auf jede Zelle, um anzugeben, ob die Auswirkung der Entscheidung auf jede Metrik hoch (rot), mittel (orange), niedrig (gelb) oder nicht vorhanden (weiß) ist.</w:t>
      </w:r>
    </w:p>
    <w:p>
      <w:pPr>
        <w:numPr>
          <w:ilvl w:val="0"/>
          <w:numId w:val="1002"/>
        </w:numPr>
      </w:pPr>
      <w:r>
        <w:t xml:space="preserve">Sie können den Griff (drei Balken) am weitesten links in jeder Zeile fassen, um sie nach oben oder unten zu verschieben. Sortieren Sie die Zeilen so, dass die Entscheidungen mit der größten Auswirkung auf die wichtigsten Metriken nach oben rücken. Die Zellen in der oberen linken Ecke sollten die größte Konzentration roter und oranger Zellen aufweisen. An diesem Punkt identifizieren Sie die Entscheidungen, die in Ihrer Untersuchung die meiste Aufmerksamkeit erhalten sollten. Wenn Sie keine Entscheidungen mit mittlerer oder hoher Auswirkung auf die wichtigsten Metriken haben, überarbeiten Sie Ihre Liste der Entscheidungen.</w:t>
      </w:r>
    </w:p>
    <w:p>
      <w:pPr>
        <w:numPr>
          <w:ilvl w:val="0"/>
          <w:numId w:val="1002"/>
        </w:numPr>
      </w:pPr>
      <w:r>
        <w:t xml:space="preserve">Wiederholen Sie den Prozess, um die Unsicherheiten mit dem</w:t>
      </w:r>
      <w:r>
        <w:t xml:space="preserve"> </w:t>
      </w:r>
      <w:hyperlink r:id="rId27">
        <w:r>
          <w:rPr>
            <w:rStyle w:val="Hyperlink"/>
          </w:rPr>
          <w:t xml:space="preserve">Unsicherheitspriorisierungswerkzeug</w:t>
        </w:r>
      </w:hyperlink>
      <w:r>
        <w:t xml:space="preserve"> </w:t>
      </w:r>
      <w:r>
        <w:t xml:space="preserve">aufzulisten und zu priorisieren. Nutzen Sie die</w:t>
      </w:r>
      <w:r>
        <w:t xml:space="preserve"> </w:t>
      </w:r>
      <w:hyperlink r:id="rId28">
        <w:r>
          <w:rPr>
            <w:rStyle w:val="Hyperlink"/>
          </w:rPr>
          <w:t xml:space="preserve">Kategorien von Unsicherheit</w:t>
        </w:r>
      </w:hyperlink>
      <w:r>
        <w:t xml:space="preserve">, um dies zu unterstützen.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durch die durchschnittliche Leistung über die Zeit erfasst?</w:t>
      </w:r>
    </w:p>
    <w:p>
      <w:pPr>
        <w:numPr>
          <w:ilvl w:val="1"/>
          <w:numId w:val="1003"/>
        </w:numPr>
      </w:pPr>
      <w:r>
        <w:t xml:space="preserve">Welche Unsicherheitsquellen stellen Formen von Risiko dar, die durch Durchschnittswerte nicht angemessen erfasst werden?</w:t>
      </w:r>
    </w:p>
    <w:p>
      <w:pPr>
        <w:numPr>
          <w:ilvl w:val="0"/>
          <w:numId w:val="1002"/>
        </w:numPr>
      </w:pPr>
      <w:r>
        <w:t xml:space="preserve">Wählen Sie die einzelne Entscheidung, die die größte Auswirkung auf die wichtigste Metrik zu haben scheint.</w:t>
      </w:r>
    </w:p>
    <w:p>
      <w:pPr>
        <w:numPr>
          <w:ilvl w:val="1"/>
          <w:numId w:val="1004"/>
        </w:numPr>
      </w:pPr>
      <w:r>
        <w:t xml:space="preserve">Welchen Ansatz würden Sie vermutlich verwenden, um diese Entscheidung zu treffen?</w:t>
      </w:r>
    </w:p>
    <w:p>
      <w:pPr>
        <w:numPr>
          <w:ilvl w:val="1"/>
          <w:numId w:val="1004"/>
        </w:numPr>
      </w:pPr>
      <w:r>
        <w:t xml:space="preserve">Welche Daten scheinen notwendig zu sein, um diese Entscheidung zu treffen, einschließlich der Berechnung aller Leistungsmetriken, bei denen die Entscheidung eine hohe oder mittlere Auswirkung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9"/>
    <w:bookmarkStart w:id="30" w:name="quellenangabe"/>
    <w:p>
      <w:pPr>
        <w:pStyle w:val="Heading1"/>
      </w:pPr>
      <w:r>
        <w:t xml:space="preserve">Quellenangabe</w:t>
      </w:r>
    </w:p>
    <w:p>
      <w:pPr>
        <w:pStyle w:val="FirstParagraph"/>
      </w:pPr>
      <w:r>
        <w:t xml:space="preserve">Die konzeptionelle Grundlage für diesen Fall ist der Abschnitt „Managing Type 2 diabetes” in Warren B. Powell, Bridging Decision Problems, Volume I: Framing the Problem, Kapitel 2. Der Fall bettet die klinischen Messgrößen, Behandlungsentscheidungen, Patientenmaßnahmen und unbekannten Reaktionen des Abschnitts in die Erzählung und die Exhibits ein, ohne sie als separate analytische Kategorien zu kennzeichnen.</w:t>
      </w:r>
    </w:p>
    <w:p>
      <w:pPr>
        <w:pStyle w:val="BodyText"/>
      </w:pPr>
      <w:r>
        <w:t xml:space="preserve">Zu den öffentlichen Daten, die den Rahmen motivieren, gehören die Centers for Disease Control and Prevention, National Diabetes Statistics Report (aktualisiert im Januar 2026), der 40,1 Millionen Menschen mit Diabetes in den Vereinigten Staaten im Jahr 2023 und 115,2 Millionen Erwachsene mit Prädiabetes schätzt; die Diabetes Basics der CDC, die berichten, dass Typ-2-Diabetes ungefähr 90–95 Prozent der diagnostizierten Fälle darstellt; sowie Schätzungen des National Institute of Diabetes and Digestive and Kidney Diseases, die die Kosten des diagnostizierten Diabetes im Jahr 2022 auf 412,9 Milliarden $ setzen. Die CDC berichtet zudem, dass diabetesbezogene medizinische Kosten für Menschen mit Diabetes mehr als doppelt so hoch sind wie für Menschen ohne diese Erkrankung. Alle Patienten-, Klinik-, Behandlungs-, Versicherungs- und Finanzdaten in diesem Fall sind fiktiv und nicht dazu gedacht, medizinische Versorgung anzuleiten.</w:t>
      </w:r>
    </w:p>
    <w:bookmarkEnd w:id="30"/>
    <w:bookmarkStart w:id="33" w:name="chatgpt-notizen"/>
    <w:p>
      <w:pPr>
        <w:pStyle w:val="Heading1"/>
      </w:pPr>
      <w:r>
        <w:t xml:space="preserve">ChatGPT-Notizen</w:t>
      </w:r>
    </w:p>
    <w:bookmarkStart w:id="31" w:name="prompt"/>
    <w:p>
      <w:pPr>
        <w:pStyle w:val="Heading2"/>
      </w:pPr>
      <w:r>
        <w:t xml:space="preserve">Prompt</w:t>
      </w:r>
    </w:p>
    <w:p>
      <w:pPr>
        <w:pStyle w:val="FirstParagraph"/>
      </w:pPr>
      <w:r>
        <w:t xml:space="preserve">Schreiben Sie eine 4–6-seitige Fallstudie basierend auf dem Material im Abschnitt unter https://warrenpowell.org/bridging-vol1/chapter-2/#managing-type-2-diabetes. Erstellen Sie einen Kontext, der auf den Metriken, Entscheidungen und Unsicherheiten im Abschnitt basiert, jedoch ohne explizit darauf hinzuweisen. Motivieren Sie Ihr Fallproblem mit Daten.</w:t>
      </w:r>
    </w:p>
    <w:bookmarkEnd w:id="31"/>
    <w:bookmarkStart w:id="32" w:name="zusammenfassung"/>
    <w:p>
      <w:pPr>
        <w:pStyle w:val="Heading2"/>
      </w:pPr>
      <w:r>
        <w:t xml:space="preserve">Zusammenfassung</w:t>
      </w:r>
    </w:p>
    <w:p>
      <w:pPr>
        <w:pStyle w:val="FirstParagraph"/>
      </w:pPr>
      <w:r>
        <w:t xml:space="preserve">Der Fall folgt einem Arzt, einem Behandlungsteam und einem Patienten, die mit einem ungelösten Behandlungsproblem bei Typ-2-Diabetes konfrontiert sind, das das Ansprechen auf Medikamente, die Glukoseüberwachung, Ernährung und Bewegung, Adhärenz, Behandlungskosten, Versicherungsabdeckung, Personalkapazität und die Spannung zwischen kurzfristiger Glukoseschwankung und langfristigen Komplikationen betrifft.</w:t>
      </w:r>
    </w:p>
    <w:p>
      <w:pPr>
        <w:pStyle w:val="BodyText"/>
      </w:pPr>
      <w:r>
        <w:t xml:space="preserve">Der Rahmen wird durch aktuelle Bundesschätzungen motiviert, dass 40,1 Millionen Amerikaner im Jahr 2023 Diabetes hatten, Typ-2-Diabetes ungefähr 90–95% der diagnostizierten Fälle darstellt und die geschätzten Kosten für diagnostizierten Diabetes in den USA im Jahr 2022 bei 412,9 Milliarden $ lagen.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2026-09-11T16:17:20Z</dcterms:created>
  <dcterms:modified xsi:type="dcterms:W3CDTF">2026-09-11T16:17:20Z</dcterms:modified>
</cp:coreProperties>
</file>

<file path=docProps/custom.xml><?xml version="1.0" encoding="utf-8"?>
<Properties xmlns="http://schemas.openxmlformats.org/officeDocument/2006/custom-properties" xmlns:vt="http://schemas.openxmlformats.org/officeDocument/2006/docPropsVTypes"/>
</file>