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DIE MERIDIAN-KAMPAGNE</w:t>
      </w:r>
    </w:p>
    <w:p>
      <w:pPr>
        <w:pStyle w:val="BodyText"/>
      </w:pPr>
      <w:r>
        <w:t xml:space="preserve">Die Karte der Dreiundneunzig Stimmen</w:t>
      </w:r>
    </w:p>
    <w:p>
      <w:pPr>
        <w:pStyle w:val="BodyText"/>
      </w:pPr>
      <w:r>
        <w:t xml:space="preserve">Ein Fallstudie zur Präsidentschaftswahl über die Zuteilung von Geld, Kandidatenzeit, Information und Feldkapazität über eine sich verändernde Wahllandschaft</w:t>
      </w:r>
    </w:p>
    <w:p>
      <w:pPr>
        <w:pStyle w:val="BodyText"/>
      </w:pPr>
      <w:r>
        <w:t xml:space="preserve">Diese Fallstudie ist fiktiv und für den Unterrichtsgebrauch bestimmt. Kandidaten, Parteien, Mitarbeiter, Veranstaltungen, Umfrageergebnisse und interne Finanzzahlen wurden für diese Fallstudie erstellt. Öffentliche Wahl- und Kampagnenfinanzierungsstatistiken werden im Quellenhinweis zusammengefasst.</w:t>
      </w:r>
    </w:p>
    <w:bookmarkStart w:id="10" w:name="elf-wochen-bis-zum-wahltag"/>
    <w:p>
      <w:pPr>
        <w:pStyle w:val="Heading1"/>
      </w:pPr>
      <w:r>
        <w:t xml:space="preserve">Elf Wochen bis zum Wahltag</w:t>
      </w:r>
    </w:p>
    <w:p>
      <w:pPr>
        <w:pStyle w:val="FirstParagraph"/>
      </w:pPr>
      <w:r>
        <w:t xml:space="preserve">Um 6:15 Uhr an einem Montagmorgen im August stand Kampagnenleiterin Maya Chen vor einer wandgroßen Wahlkarte im Hauptquartier der Meridian-Kampagne. Elf Wochen verblieben, bevor die Wähler den nächsten Präsidenten wählen würden. Die Karte zeigte 226 Wahlmännerstimmen, die als sicher oder wahrscheinlich für Gouverneur Jordan Meridian eingestuft wurden, 219 für Senator Cameron Reed und 93 verteilt auf sieben Staaten, die keine der beiden Kampagnen sicher für sich beanspruchen konnte. Der Sieg erforderte 270.</w:t>
      </w:r>
    </w:p>
    <w:p>
      <w:pPr>
        <w:pStyle w:val="BodyText"/>
      </w:pPr>
      <w:r>
        <w:t xml:space="preserve">Die Kampagne verfügte über genug Geld, um wettbewerbsfähig zu bleiben, aber nicht genug, um jede Gelegenheit zu verfolgen. Das Meridian-Komitee hielt $138 Millionen in bar. Die Finanzabteilung erwartete weitere $52 Millionen bis zum Wahltag, doch die Prognose hing von der Spenderreaktion auf Botschaften, Debatten, Nachrichtenereignisse und dem Stand der Kampagne in nationalen Umfragen ab. Bestehende Gehaltszahlungen, Reisekosten, Konventionsverpflichtungen, Rechtskosten und Werbereservierungen banden bereits $96 Millionen. Die Staatsdirektoren forderten weitere $84 Millionen für Wahlbüros, Organisatoren, Datendienste, Umfragen, Wählerkontakt und Wahltagsoperationen.</w:t>
      </w:r>
    </w:p>
    <w:p>
      <w:pPr>
        <w:pStyle w:val="BodyText"/>
      </w:pPr>
      <w:r>
        <w:t xml:space="preserve">Chen war angewiesen worden, innerhalb von achtundvierzig Stunden einen endgültigen Ressourcenplan vorzulegen. Der Kandidat wollte in allen sieben umkämpften Staaten Wahlkampf führen. Das Werbeteam wollte Fernseh- und Streaming-Werbeflächen reservieren, bevor die Preise stiegen. Der Feldleiter argumentierte, dass eine späte Einstellung den Vorteil bereits angemeldeter Freiwilliger verschwenden würde. Der Umfragedirektor wollte größere Stichproben und häufigere Erhebungen, nachdem sich die internen Schätzungen der Kampagne innerhalb von drei Wochen zweimal stark verschoben hatten. Der Finanzdirektor warnte, dass die Kampagne kein Geld ausgeben könne, das sie lediglich zu sammeln hoffte.</w:t>
      </w:r>
    </w:p>
    <w:bookmarkStart w:id="9" w:name="exhibit-1.-die-umkämpfte-wahlkarte"/>
    <w:p>
      <w:pPr>
        <w:pStyle w:val="Heading2"/>
      </w:pPr>
      <w:r>
        <w:t xml:space="preserve">Exhibit 1. Die umkämpfte Wahlkarte</w:t>
      </w:r>
    </w:p>
    <w:tbl>
      <w:tblPr>
        <w:tblStyle w:val="Table"/>
        <w:tblW w:type="pct" w:w="4903"/>
        <w:tblLayout w:type="fixed"/>
        <w:tblLook w:firstRow="1" w:lastRow="0" w:firstColumn="0" w:lastColumn="0" w:noHBand="0" w:noVBand="0" w:val="0020"/>
      </w:tblPr>
      <w:tblGrid>
        <w:gridCol w:w="1153"/>
        <w:gridCol w:w="1384"/>
        <w:gridCol w:w="1230"/>
        <w:gridCol w:w="922"/>
        <w:gridCol w:w="1537"/>
        <w:gridCol w:w="1537"/>
      </w:tblGrid>
      <w:tr>
        <w:trPr>
          <w:tblHeader w:val="on"/>
        </w:trPr>
        <w:tc>
          <w:tcPr/>
          <w:p>
            <w:pPr>
              <w:pStyle w:val="Compact"/>
              <w:jc w:val="left"/>
            </w:pPr>
            <w:r>
              <w:t xml:space="preserve">Staat</w:t>
            </w:r>
          </w:p>
        </w:tc>
        <w:tc>
          <w:tcPr/>
          <w:p>
            <w:pPr>
              <w:pStyle w:val="Compact"/>
            </w:pPr>
            <w:r>
              <w:t xml:space="preserve">Wahlmännerstimmen</w:t>
            </w:r>
          </w:p>
        </w:tc>
        <w:tc>
          <w:tcPr/>
          <w:p>
            <w:pPr>
              <w:pStyle w:val="Compact"/>
            </w:pPr>
            <w:r>
              <w:t xml:space="preserve">Meridian-Umfrage</w:t>
            </w:r>
          </w:p>
        </w:tc>
        <w:tc>
          <w:tcPr/>
          <w:p>
            <w:pPr>
              <w:pStyle w:val="Compact"/>
              <w:jc w:val="right"/>
            </w:pPr>
            <w:r>
              <w:t xml:space="preserve">Reed-Umfrag</w:t>
            </w:r>
          </w:p>
        </w:tc>
        <w:tc>
          <w:tcPr/>
          <w:p>
            <w:pPr>
              <w:pStyle w:val="Compact"/>
            </w:pPr>
            <w:r>
              <w:t xml:space="preserve">e Unentschieden / So</w:t>
            </w:r>
          </w:p>
        </w:tc>
        <w:tc>
          <w:tcPr/>
          <w:p>
            <w:pPr>
              <w:pStyle w:val="Compact"/>
            </w:pPr>
            <w:r>
              <w:t xml:space="preserve">nstige Geschätzte Wahlbeteiligung</w:t>
            </w:r>
          </w:p>
        </w:tc>
      </w:tr>
      <w:tr>
        <w:tc>
          <w:tcPr/>
          <w:p>
            <w:pPr>
              <w:pStyle w:val="Compact"/>
              <w:jc w:val="left"/>
            </w:pPr>
            <w:r>
              <w:t xml:space="preserve">Northlake</w:t>
            </w:r>
          </w:p>
        </w:tc>
        <w:tc>
          <w:tcPr/>
          <w:p>
            <w:pPr>
              <w:pStyle w:val="Compact"/>
            </w:pPr>
            <w:r>
              <w:t xml:space="preserve">19</w:t>
            </w:r>
          </w:p>
        </w:tc>
        <w:tc>
          <w:tcPr/>
          <w:p>
            <w:pPr>
              <w:pStyle w:val="Compact"/>
            </w:pPr>
            <w:r>
              <w:t xml:space="preserve">47,8%</w:t>
            </w:r>
          </w:p>
        </w:tc>
        <w:tc>
          <w:tcPr/>
          <w:p>
            <w:pPr>
              <w:pStyle w:val="Compact"/>
              <w:jc w:val="right"/>
            </w:pPr>
            <w:r>
              <w:t xml:space="preserve">48,6%</w:t>
            </w:r>
          </w:p>
        </w:tc>
        <w:tc>
          <w:tcPr/>
          <w:p>
            <w:pPr>
              <w:pStyle w:val="Compact"/>
            </w:pPr>
            <w:r>
              <w:t xml:space="preserve">3,6%</w:t>
            </w:r>
          </w:p>
        </w:tc>
        <w:tc>
          <w:tcPr/>
          <w:p>
            <w:pPr>
              <w:pStyle w:val="Compact"/>
            </w:pPr>
            <w:r>
              <w:t xml:space="preserve">6,9 Millionen</w:t>
            </w:r>
          </w:p>
        </w:tc>
      </w:tr>
      <w:tr>
        <w:tc>
          <w:tcPr/>
          <w:p>
            <w:pPr>
              <w:pStyle w:val="Compact"/>
              <w:jc w:val="left"/>
            </w:pPr>
            <w:r>
              <w:t xml:space="preserve">Great Plains</w:t>
            </w:r>
          </w:p>
        </w:tc>
        <w:tc>
          <w:tcPr/>
          <w:p>
            <w:pPr>
              <w:pStyle w:val="Compact"/>
            </w:pPr>
            <w:r>
              <w:t xml:space="preserve">16</w:t>
            </w:r>
          </w:p>
        </w:tc>
        <w:tc>
          <w:tcPr/>
          <w:p>
            <w:pPr>
              <w:pStyle w:val="Compact"/>
            </w:pPr>
            <w:r>
              <w:t xml:space="preserve">48,7%</w:t>
            </w:r>
          </w:p>
        </w:tc>
        <w:tc>
          <w:tcPr/>
          <w:p>
            <w:pPr>
              <w:pStyle w:val="Compact"/>
              <w:jc w:val="right"/>
            </w:pPr>
            <w:r>
              <w:t xml:space="preserve">47,9%</w:t>
            </w:r>
          </w:p>
        </w:tc>
        <w:tc>
          <w:tcPr/>
          <w:p>
            <w:pPr>
              <w:pStyle w:val="Compact"/>
            </w:pPr>
            <w:r>
              <w:t xml:space="preserve">3,4%</w:t>
            </w:r>
          </w:p>
        </w:tc>
        <w:tc>
          <w:tcPr/>
          <w:p>
            <w:pPr>
              <w:pStyle w:val="Compact"/>
            </w:pPr>
            <w:r>
              <w:t xml:space="preserve">5,5 Millionen</w:t>
            </w:r>
          </w:p>
        </w:tc>
      </w:tr>
      <w:tr>
        <w:tc>
          <w:tcPr/>
          <w:p>
            <w:pPr>
              <w:pStyle w:val="Compact"/>
              <w:jc w:val="left"/>
            </w:pPr>
            <w:r>
              <w:t xml:space="preserve">Piedmont</w:t>
            </w:r>
          </w:p>
        </w:tc>
        <w:tc>
          <w:tcPr/>
          <w:p>
            <w:pPr>
              <w:pStyle w:val="Compact"/>
            </w:pPr>
            <w:r>
              <w:t xml:space="preserve">16</w:t>
            </w:r>
          </w:p>
        </w:tc>
        <w:tc>
          <w:tcPr/>
          <w:p>
            <w:pPr>
              <w:pStyle w:val="Compact"/>
            </w:pPr>
            <w:r>
              <w:t xml:space="preserve">47,2%</w:t>
            </w:r>
          </w:p>
        </w:tc>
        <w:tc>
          <w:tcPr/>
          <w:p>
            <w:pPr>
              <w:pStyle w:val="Compact"/>
              <w:jc w:val="right"/>
            </w:pPr>
            <w:r>
              <w:t xml:space="preserve">49,1%</w:t>
            </w:r>
          </w:p>
        </w:tc>
        <w:tc>
          <w:tcPr/>
          <w:p>
            <w:pPr>
              <w:pStyle w:val="Compact"/>
            </w:pPr>
            <w:r>
              <w:t xml:space="preserve">3,7%</w:t>
            </w:r>
          </w:p>
        </w:tc>
        <w:tc>
          <w:tcPr/>
          <w:p>
            <w:pPr>
              <w:pStyle w:val="Compact"/>
            </w:pPr>
            <w:r>
              <w:t xml:space="preserve">5,8 Millionen</w:t>
            </w:r>
          </w:p>
        </w:tc>
      </w:tr>
      <w:tr>
        <w:tc>
          <w:tcPr/>
          <w:p>
            <w:pPr>
              <w:pStyle w:val="Compact"/>
              <w:jc w:val="left"/>
            </w:pPr>
            <w:r>
              <w:t xml:space="preserve">Midland</w:t>
            </w:r>
          </w:p>
        </w:tc>
        <w:tc>
          <w:tcPr/>
          <w:p>
            <w:pPr>
              <w:pStyle w:val="Compact"/>
            </w:pPr>
            <w:r>
              <w:t xml:space="preserve">15</w:t>
            </w:r>
          </w:p>
        </w:tc>
        <w:tc>
          <w:tcPr/>
          <w:p>
            <w:pPr>
              <w:pStyle w:val="Compact"/>
            </w:pPr>
            <w:r>
              <w:t xml:space="preserve">48,9%</w:t>
            </w:r>
          </w:p>
        </w:tc>
        <w:tc>
          <w:tcPr/>
          <w:p>
            <w:pPr>
              <w:pStyle w:val="Compact"/>
              <w:jc w:val="right"/>
            </w:pPr>
            <w:r>
              <w:t xml:space="preserve">48,5%</w:t>
            </w:r>
          </w:p>
        </w:tc>
        <w:tc>
          <w:tcPr/>
          <w:p>
            <w:pPr>
              <w:pStyle w:val="Compact"/>
            </w:pPr>
            <w:r>
              <w:t xml:space="preserve">2,6%</w:t>
            </w:r>
          </w:p>
        </w:tc>
        <w:tc>
          <w:tcPr/>
          <w:p>
            <w:pPr>
              <w:pStyle w:val="Compact"/>
            </w:pPr>
            <w:r>
              <w:t xml:space="preserve">5,7 Millionen</w:t>
            </w:r>
          </w:p>
        </w:tc>
      </w:tr>
      <w:tr>
        <w:tc>
          <w:tcPr/>
          <w:p>
            <w:pPr>
              <w:pStyle w:val="Compact"/>
              <w:jc w:val="left"/>
            </w:pPr>
            <w:r>
              <w:t xml:space="preserve">Sonora</w:t>
            </w:r>
          </w:p>
        </w:tc>
        <w:tc>
          <w:tcPr/>
          <w:p>
            <w:pPr>
              <w:pStyle w:val="Compact"/>
            </w:pPr>
            <w:r>
              <w:t xml:space="preserve">11</w:t>
            </w:r>
          </w:p>
        </w:tc>
        <w:tc>
          <w:tcPr/>
          <w:p>
            <w:pPr>
              <w:pStyle w:val="Compact"/>
            </w:pPr>
            <w:r>
              <w:t xml:space="preserve">46,8%</w:t>
            </w:r>
          </w:p>
        </w:tc>
        <w:tc>
          <w:tcPr/>
          <w:p>
            <w:pPr>
              <w:pStyle w:val="Compact"/>
              <w:jc w:val="right"/>
            </w:pPr>
            <w:r>
              <w:t xml:space="preserve">49,6%</w:t>
            </w:r>
          </w:p>
        </w:tc>
        <w:tc>
          <w:tcPr/>
          <w:p>
            <w:pPr>
              <w:pStyle w:val="Compact"/>
            </w:pPr>
            <w:r>
              <w:t xml:space="preserve">3,6%</w:t>
            </w:r>
          </w:p>
        </w:tc>
        <w:tc>
          <w:tcPr/>
          <w:p>
            <w:pPr>
              <w:pStyle w:val="Compact"/>
            </w:pPr>
            <w:r>
              <w:t xml:space="preserve">3,5 Millionen</w:t>
            </w:r>
          </w:p>
        </w:tc>
      </w:tr>
      <w:tr>
        <w:tc>
          <w:tcPr/>
          <w:p>
            <w:pPr>
              <w:pStyle w:val="Compact"/>
              <w:jc w:val="left"/>
            </w:pPr>
            <w:r>
              <w:t xml:space="preserve">Lakeland</w:t>
            </w:r>
          </w:p>
        </w:tc>
        <w:tc>
          <w:tcPr/>
          <w:p>
            <w:pPr>
              <w:pStyle w:val="Compact"/>
            </w:pPr>
            <w:r>
              <w:t xml:space="preserve">10</w:t>
            </w:r>
          </w:p>
        </w:tc>
        <w:tc>
          <w:tcPr/>
          <w:p>
            <w:pPr>
              <w:pStyle w:val="Compact"/>
            </w:pPr>
            <w:r>
              <w:t xml:space="preserve">49,3%</w:t>
            </w:r>
          </w:p>
        </w:tc>
        <w:tc>
          <w:tcPr/>
          <w:p>
            <w:pPr>
              <w:pStyle w:val="Compact"/>
              <w:jc w:val="right"/>
            </w:pPr>
            <w:r>
              <w:t xml:space="preserve">48,8%</w:t>
            </w:r>
          </w:p>
        </w:tc>
        <w:tc>
          <w:tcPr/>
          <w:p>
            <w:pPr>
              <w:pStyle w:val="Compact"/>
            </w:pPr>
            <w:r>
              <w:t xml:space="preserve">1,9%</w:t>
            </w:r>
          </w:p>
        </w:tc>
        <w:tc>
          <w:tcPr/>
          <w:p>
            <w:pPr>
              <w:pStyle w:val="Compact"/>
            </w:pPr>
            <w:r>
              <w:t xml:space="preserve">3,4 Millionen</w:t>
            </w:r>
          </w:p>
        </w:tc>
      </w:tr>
      <w:tr>
        <w:tc>
          <w:tcPr/>
          <w:p>
            <w:pPr>
              <w:pStyle w:val="Compact"/>
              <w:jc w:val="left"/>
            </w:pPr>
            <w:r>
              <w:t xml:space="preserve">Silver Basin</w:t>
            </w:r>
          </w:p>
        </w:tc>
        <w:tc>
          <w:tcPr/>
          <w:p>
            <w:pPr>
              <w:pStyle w:val="Compact"/>
            </w:pPr>
            <w:r>
              <w:t xml:space="preserve">6</w:t>
            </w:r>
          </w:p>
        </w:tc>
        <w:tc>
          <w:tcPr/>
          <w:p>
            <w:pPr>
              <w:pStyle w:val="Compact"/>
            </w:pPr>
            <w:r>
              <w:t xml:space="preserve">47,6%</w:t>
            </w:r>
          </w:p>
        </w:tc>
        <w:tc>
          <w:tcPr/>
          <w:p>
            <w:pPr>
              <w:pStyle w:val="Compact"/>
              <w:jc w:val="right"/>
            </w:pPr>
            <w:r>
              <w:t xml:space="preserve">48,9%</w:t>
            </w:r>
          </w:p>
        </w:tc>
        <w:tc>
          <w:tcPr/>
          <w:p>
            <w:pPr>
              <w:pStyle w:val="Compact"/>
            </w:pPr>
            <w:r>
              <w:t xml:space="preserve">3,5%</w:t>
            </w:r>
          </w:p>
        </w:tc>
        <w:tc>
          <w:tcPr/>
          <w:p>
            <w:pPr>
              <w:pStyle w:val="Compact"/>
            </w:pPr>
            <w:r>
              <w:t xml:space="preserve">1,5 Millionen</w:t>
            </w:r>
          </w:p>
        </w:tc>
      </w:tr>
    </w:tbl>
    <w:p>
      <w:pPr>
        <w:pStyle w:val="BodyText"/>
      </w:pPr>
      <w:r>
        <w:t xml:space="preserve">Hinweis: Interne Umfrageschätzungen sind fiktiv. Prozentsätze summieren sich möglicherweise aufgrund von Rundungen nicht auf 100.</w:t>
      </w:r>
    </w:p>
    <w:bookmarkEnd w:id="9"/>
    <w:bookmarkEnd w:id="10"/>
    <w:bookmarkStart w:id="11" w:name="X51e892cbdd578bd3302ac595f6ad218fe3b0d86"/>
    <w:p>
      <w:pPr>
        <w:pStyle w:val="Heading1"/>
      </w:pPr>
      <w:r>
        <w:t xml:space="preserve">Eine nationale Wahl, entschieden Staat für Staat</w:t>
      </w:r>
    </w:p>
    <w:p>
      <w:pPr>
        <w:pStyle w:val="FirstParagraph"/>
      </w:pPr>
      <w:r>
        <w:t xml:space="preserve">Die landesweite Stimmenmehrheit prägte die öffentliche Erzählung der Kampagne, doch das Wahlmännerkollegium bestimmte den Sieger. Die jüngere Geschichte unterstrich die Bedeutung knapper Staatsergebnisse. Im Jahr 2020 trennten weniger als 43.000 Stimmen in Arizona, Georgia und Wisconsin den Sieger davon, diese drei Staaten zu verlieren. Im Jahr 2024 hielten die sieben am aufmerksamsten beobachteten Battleground-Staaten 93 Wahlmännerstimmen. Sechs wurden mit Margen von etwa ein bis drei Prozentpunkten entschieden, während Arizonas Marge größer war. Eine landesweite Verschiebung um einen Punkt könnte je nach Wahlbeteiligung, Kandidatenattraktivität und lokalen Themen zu sehr unterschiedlichen Staatsergebnissen führen.</w:t>
      </w:r>
    </w:p>
    <w:p>
      <w:pPr>
        <w:pStyle w:val="BodyText"/>
      </w:pPr>
      <w:r>
        <w:t xml:space="preserve">Die Wählerschaft selbst war groß und heterogen. Das Census Bureau schätzte, dass 174 Millionen wahlberechtigte Bürger 2024 registriert waren und 154 Millionen wählten, eine Wahlbeteiligung von 65,3 Prozent. Die Wahlmethoden unterschieden sich erheblich: Etwa 40 Prozent wählten persönlich am Wahltag, 31 Prozent wählten persönlich vorzeitig, und 29 Prozent wählten per Briefwahl. Die Wahlbeteiligung variierte auch nach Alter, Bildung, Geografie und anderen Merkmalen. Für Chen bedeutete dies, dass Überzeugungsarbeit, Registrierung, vorzeitige Wählermobilisierung, Unterstützung bei der Briefwahl und Wahltagsoperationen nicht als eine einzige Aktivität behandelt werden konnten.</w:t>
      </w:r>
    </w:p>
    <w:p>
      <w:pPr>
        <w:pStyle w:val="BodyText"/>
      </w:pPr>
      <w:r>
        <w:t xml:space="preserve">Meridians Koalition vereinte college-gebildete Vorstadtwähler, jüngere Wähler, Gewerkschaftshaushalte und wachsende Großstadtgemeinden. Reed führte bei ländlichen Wählern, älteren Wählern ohne Hochschulabschluss und mehreren Gruppen, die sich auf kleinere Städte konzentrierten. Keine der beiden Koalitionen war einheitlich. Meridian schnitt bei jüngeren Wählern in Bezug auf Wohnkosten gut ab, jedoch schlecht bei Vertrauen in die Wirtschaft. Reed führte bei Grenzsicherheit und Inflation, sah sich jedoch ungünstigen Bewertungen bei Vorstadtfrauen ausgesetzt. Das Forschungsteam der Kampagne glaubte, dass die unentschlossene Bevölkerung sowohl echte überzeugbare Wähler als auch Menschen umfasste, die wahrscheinlich nicht wählen würden.</w:t>
      </w:r>
    </w:p>
    <w:bookmarkEnd w:id="11"/>
    <w:bookmarkStart w:id="13" w:name="X5a8d18d0ea046da910882a4f33240696e82b6e6"/>
    <w:p>
      <w:pPr>
        <w:pStyle w:val="Heading1"/>
      </w:pPr>
      <w:r>
        <w:t xml:space="preserve">Der Kalender war ebenfalls eine Ressource</w:t>
      </w:r>
    </w:p>
    <w:p>
      <w:pPr>
        <w:pStyle w:val="FirstParagraph"/>
      </w:pPr>
      <w:r>
        <w:t xml:space="preserve">Der Kandidat konnte nur eine begrenzte Anzahl von Auftritten absolvieren. Sicherheit, Flugzeit, Vorbereitung, Medieninterviews und Spendensammlung beschränkten Meridian auf etwa sechzehn große öffentliche Veranstaltungen pro Woche. Eine Kundgebung konnte lokale Nachrichten und Freiwilligenenergie erzeugen, doch ihre Wirkung hing von Teilnehmerzahl und Berichterstattung ab. Eine programmatische Rede könnte die Wahrnehmung bei einem engen Publikum verschieben, während sie anderswo wenig Aufmerksamkeit erregte. Ein nationales Interview könnte Millionen erreichen, aber die Kontrolle über die Fragen aufgeben. Spendenveranstaltungen brachten Bargeld ein, verbrauchten jedoch Zeit, die sonst in umkämpften Staaten verbracht werden könnte.</w:t>
      </w:r>
    </w:p>
    <w:p>
      <w:pPr>
        <w:pStyle w:val="BodyText"/>
      </w:pPr>
      <w:r>
        <w:t xml:space="preserve">Das Planungsteam schlug drei unterschiedliche Ansätze vor. Einer konzentrierte Reisen auf Northlake, Midland und Lakeland, wo Meridian bereits knapp lag und wo Besuche effizient kombiniert werden konnten. Ein zweiter betonte Piedmont, Great Plains und Sonora, mit dem Argument, dass deren größere Pools unentschlossener Wähler mehr Raum schafften, um das Rennen zu verändern. Ein dritter reservierte fast ein Drittel des Zeitplans für nationale Medien, Spendensammlung und schnelle Reaktion auf Ereignisse, die noch nicht vorhersehbar waren.</w:t>
      </w:r>
    </w:p>
    <w:bookmarkStart w:id="12" w:name="X640bf2197722d41fd56571a8ea7c35c0119eb91"/>
    <w:p>
      <w:pPr>
        <w:pStyle w:val="Heading2"/>
      </w:pPr>
      <w:r>
        <w:t xml:space="preserve">Exhibit 2. Vorgeschlagene wöchentliche Nutzung der Kandidatenzeit</w:t>
      </w:r>
    </w:p>
    <w:tbl>
      <w:tblPr>
        <w:tblStyle w:val="Table"/>
        <w:tblW w:type="pct" w:w="4898"/>
        <w:tblLayout w:type="fixed"/>
        <w:tblLook w:firstRow="1" w:lastRow="0" w:firstColumn="0" w:lastColumn="0" w:noHBand="0" w:noVBand="0" w:val="0020"/>
      </w:tblPr>
      <w:tblGrid>
        <w:gridCol w:w="3313"/>
        <w:gridCol w:w="1535"/>
        <w:gridCol w:w="1373"/>
        <w:gridCol w:w="1535"/>
      </w:tblGrid>
      <w:tr>
        <w:trPr>
          <w:tblHeader w:val="on"/>
        </w:trPr>
        <w:tc>
          <w:tcPr/>
          <w:p>
            <w:pPr>
              <w:pStyle w:val="Compact"/>
              <w:jc w:val="left"/>
            </w:pPr>
            <w:r>
              <w:t xml:space="preserve">Aktivität</w:t>
            </w:r>
          </w:p>
        </w:tc>
        <w:tc>
          <w:tcPr/>
          <w:p>
            <w:pPr>
              <w:pStyle w:val="Compact"/>
            </w:pPr>
            <w:r>
              <w:t xml:space="preserve">Die Führung schütze</w:t>
            </w:r>
          </w:p>
        </w:tc>
        <w:tc>
          <w:tcPr/>
          <w:p>
            <w:pPr>
              <w:pStyle w:val="Compact"/>
            </w:pPr>
            <w:r>
              <w:t xml:space="preserve">n Die Karte erwe</w:t>
            </w:r>
          </w:p>
        </w:tc>
        <w:tc>
          <w:tcPr/>
          <w:p>
            <w:pPr>
              <w:pStyle w:val="Compact"/>
            </w:pPr>
            <w:r>
              <w:t xml:space="preserve">itern Flexibilität bewahren</w:t>
            </w:r>
          </w:p>
        </w:tc>
      </w:tr>
      <w:tr>
        <w:tc>
          <w:tcPr/>
          <w:p>
            <w:pPr>
              <w:pStyle w:val="Compact"/>
              <w:jc w:val="left"/>
            </w:pPr>
            <w:r>
              <w:t xml:space="preserve">Battleground-Kundgebungen und Town Halls</w:t>
            </w:r>
          </w:p>
        </w:tc>
        <w:tc>
          <w:tcPr/>
          <w:p>
            <w:pPr>
              <w:pStyle w:val="Compact"/>
            </w:pPr>
            <w:r>
              <w:t xml:space="preserve">9 Veranstaltungen</w:t>
            </w:r>
          </w:p>
        </w:tc>
        <w:tc>
          <w:tcPr/>
          <w:p>
            <w:pPr>
              <w:pStyle w:val="Compact"/>
            </w:pPr>
            <w:r>
              <w:t xml:space="preserve">10 Veranstaltunge</w:t>
            </w:r>
          </w:p>
        </w:tc>
        <w:tc>
          <w:tcPr/>
          <w:p>
            <w:pPr>
              <w:pStyle w:val="Compact"/>
            </w:pPr>
            <w:r>
              <w:t xml:space="preserve">n 7 Veranstaltungen</w:t>
            </w:r>
          </w:p>
        </w:tc>
      </w:tr>
      <w:tr>
        <w:tc>
          <w:tcPr/>
          <w:p>
            <w:pPr>
              <w:pStyle w:val="Compact"/>
              <w:jc w:val="left"/>
            </w:pPr>
            <w:r>
              <w:t xml:space="preserve">Programmatische Reden / Zielgruppenverans</w:t>
            </w:r>
          </w:p>
        </w:tc>
        <w:tc>
          <w:tcPr/>
          <w:p>
            <w:pPr>
              <w:pStyle w:val="Compact"/>
            </w:pPr>
            <w:r>
              <w:t xml:space="preserve">taltungen 2</w:t>
            </w:r>
          </w:p>
        </w:tc>
        <w:tc>
          <w:tcPr/>
          <w:p>
            <w:pPr>
              <w:pStyle w:val="Compact"/>
            </w:pPr>
            <w:r>
              <w:t xml:space="preserve">3</w:t>
            </w:r>
          </w:p>
        </w:tc>
        <w:tc>
          <w:tcPr/>
          <w:p>
            <w:pPr>
              <w:pStyle w:val="Compact"/>
            </w:pPr>
            <w:r>
              <w:t xml:space="preserve">2</w:t>
            </w:r>
          </w:p>
        </w:tc>
      </w:tr>
      <w:tr>
        <w:tc>
          <w:tcPr/>
          <w:p>
            <w:pPr>
              <w:pStyle w:val="Compact"/>
              <w:jc w:val="left"/>
            </w:pPr>
            <w:r>
              <w:t xml:space="preserve">Nationale Interviews und digitale Veranst</w:t>
            </w:r>
          </w:p>
        </w:tc>
        <w:tc>
          <w:tcPr/>
          <w:p>
            <w:pPr>
              <w:pStyle w:val="Compact"/>
            </w:pPr>
            <w:r>
              <w:t xml:space="preserve">altungen 1</w:t>
            </w:r>
          </w:p>
        </w:tc>
        <w:tc>
          <w:tcPr/>
          <w:p>
            <w:pPr>
              <w:pStyle w:val="Compact"/>
            </w:pPr>
            <w:r>
              <w:t xml:space="preserve">1</w:t>
            </w:r>
          </w:p>
        </w:tc>
        <w:tc>
          <w:tcPr/>
          <w:p>
            <w:pPr>
              <w:pStyle w:val="Compact"/>
            </w:pPr>
            <w:r>
              <w:t xml:space="preserve">3</w:t>
            </w:r>
          </w:p>
        </w:tc>
      </w:tr>
      <w:tr>
        <w:tc>
          <w:tcPr/>
          <w:p>
            <w:pPr>
              <w:pStyle w:val="Compact"/>
              <w:jc w:val="left"/>
            </w:pPr>
            <w:r>
              <w:t xml:space="preserve">Spendenveranstaltungen</w:t>
            </w:r>
          </w:p>
        </w:tc>
        <w:tc>
          <w:tcPr/>
          <w:p>
            <w:pPr>
              <w:pStyle w:val="Compact"/>
            </w:pPr>
            <w:r>
              <w:t xml:space="preserve">3</w:t>
            </w:r>
          </w:p>
        </w:tc>
        <w:tc>
          <w:tcPr/>
          <w:p>
            <w:pPr>
              <w:pStyle w:val="Compact"/>
            </w:pPr>
            <w:r>
              <w:t xml:space="preserve">1</w:t>
            </w:r>
          </w:p>
        </w:tc>
        <w:tc>
          <w:tcPr/>
          <w:p>
            <w:pPr>
              <w:pStyle w:val="Compact"/>
            </w:pPr>
            <w:r>
              <w:t xml:space="preserve">2</w:t>
            </w:r>
          </w:p>
        </w:tc>
      </w:tr>
      <w:tr>
        <w:tc>
          <w:tcPr/>
          <w:p>
            <w:pPr>
              <w:pStyle w:val="Compact"/>
              <w:jc w:val="left"/>
            </w:pPr>
            <w:r>
              <w:t xml:space="preserve">Nicht gebundene Kapazität für schnelle Re</w:t>
            </w:r>
          </w:p>
        </w:tc>
        <w:tc>
          <w:tcPr/>
          <w:p>
            <w:pPr>
              <w:pStyle w:val="Compact"/>
            </w:pPr>
            <w:r>
              <w:t xml:space="preserve">aktion 1</w:t>
            </w:r>
          </w:p>
        </w:tc>
        <w:tc>
          <w:tcPr/>
          <w:p>
            <w:pPr>
              <w:pStyle w:val="Compact"/>
            </w:pPr>
            <w:r>
              <w:t xml:space="preserve">1</w:t>
            </w:r>
          </w:p>
        </w:tc>
        <w:tc>
          <w:tcPr/>
          <w:p>
            <w:pPr>
              <w:pStyle w:val="Compact"/>
            </w:pPr>
            <w:r>
              <w:t xml:space="preserve">2</w:t>
            </w:r>
          </w:p>
        </w:tc>
      </w:tr>
    </w:tbl>
    <w:bookmarkEnd w:id="12"/>
    <w:bookmarkEnd w:id="13"/>
    <w:bookmarkStart w:id="15" w:name="geld-botschaften-und-medien"/>
    <w:p>
      <w:pPr>
        <w:pStyle w:val="Heading1"/>
      </w:pPr>
      <w:r>
        <w:t xml:space="preserve">Geld, Botschaften und Medien</w:t>
      </w:r>
    </w:p>
    <w:p>
      <w:pPr>
        <w:pStyle w:val="FirstParagraph"/>
      </w:pPr>
      <w:r>
        <w:t xml:space="preserve">Das Kommunikationsteam teilte die verbleibende Kampagne in drei Phasen ein: Meridians Wirtschaftsprogramm definieren, Meridian mit Reed kontrastieren und Anhänger mobilisieren. Die Meinungsverschiedenheit betraf Timing und Kanal. Fernsehen erreichte weiterhin große Zielgruppen, insbesondere ältere Wähler, doch die Preise stiegen, da Kampagnen und externe Gruppen knappe Werbeflächen reservierten. Streaming-Video ermöglichte präzisere geografische und demografische Zielgruppenansprache, obwohl die Messung über Plattformen hinweg inkonsistent war. Suchwerbung erreichte Wähler, die aktiv nach Informationen suchten, konkurrierte jedoch mit Nachrichten, Gegenkandidaten und unabhängigen Gruppen. Soziale Medien erzeugten schnelles Feedback, doch Engagement führte nicht notwendigerweise zu veränderten Meinungen oder Stimmen.</w:t>
      </w:r>
    </w:p>
    <w:p>
      <w:pPr>
        <w:pStyle w:val="BodyText"/>
      </w:pPr>
      <w:r>
        <w:t xml:space="preserve">Das Testen von Botschaften hatte kein dominantes Thema hervorgebracht. Eine Werbung über Haushaltskosten verbesserte Meridians Bewertung in Bezug auf wirtschaftliches Einfühlungsvermögen, veränderte jedoch kaum die Wahlentscheidung. Eine Kontrastwerbung über Reeds Bilanz erhöhte die Besorgnis über den Gegner, steigerte aber auch die Unbeliebtheitswerte beider Kandidaten. Eine biografische Werbung erhöhte die Beliebtheit bei Wählern, die mit Meridian nicht vertraut waren, obwohl diese Wähler überproportional unwahrscheinlich teilnehmen würden. Eine Botschaft zum Recht auf Abtreibung bewegte Vorstadtfrauen, riskierte aber, wirtschaftliche Themen zu verdrängen. Ein Grenzsicherheitsvorschlag verbesserte eine schwache Themenbewertung, enttäuschte jedoch einige Kernanhänger.</w:t>
      </w:r>
    </w:p>
    <w:p>
      <w:pPr>
        <w:pStyle w:val="BodyText"/>
      </w:pPr>
      <w:r>
        <w:t xml:space="preserve">Die Spendensammlung erschwerte die Botschaftswahl zusätzlich. Ein günstiger Debattenaufruf sammelte innerhalb von vierundzwanzig Stunden $4,8 Millionen. Eine spätere Textnachricht, die warnte, die Kampagne</w:t>
      </w:r>
      <w:r>
        <w:t xml:space="preserve"> </w:t>
      </w:r>
      <w:r>
        <w:t xml:space="preserve">“falle überall zurück”</w:t>
      </w:r>
      <w:r>
        <w:t xml:space="preserve">, sammelte $3,1 Millionen, erzeugte jedoch Nachrichtenberichte über Schwäche. Botschaften konnten Spenden, Freiwillige, Presseberichterstattung und den Gegner ebenso beeinflussen wie die Wählermeinung.</w:t>
      </w:r>
    </w:p>
    <w:bookmarkStart w:id="14" w:name="X1bd5e328839174297a7c515b77822f7c1e22f78"/>
    <w:p>
      <w:pPr>
        <w:pStyle w:val="Heading2"/>
      </w:pPr>
      <w:r>
        <w:t xml:space="preserve">Exhibit 3. Vorgeschlagenes verbleibendes Medien- und Wählerkontaktbudget</w:t>
      </w:r>
    </w:p>
    <w:tbl>
      <w:tblPr>
        <w:tblStyle w:val="Table"/>
        <w:tblW w:type="pct" w:w="4910"/>
        <w:tblLayout w:type="fixed"/>
        <w:tblLook w:firstRow="1" w:lastRow="0" w:firstColumn="0" w:lastColumn="0" w:noHBand="0" w:noVBand="0" w:val="0020"/>
      </w:tblPr>
      <w:tblGrid>
        <w:gridCol w:w="2711"/>
        <w:gridCol w:w="1070"/>
        <w:gridCol w:w="1212"/>
        <w:gridCol w:w="2782"/>
      </w:tblGrid>
      <w:tr>
        <w:trPr>
          <w:tblHeader w:val="on"/>
        </w:trPr>
        <w:tc>
          <w:tcPr/>
          <w:p>
            <w:pPr>
              <w:pStyle w:val="Compact"/>
              <w:jc w:val="left"/>
            </w:pPr>
            <w:r>
              <w:t xml:space="preserve">Kategorie</w:t>
            </w:r>
          </w:p>
        </w:tc>
        <w:tc>
          <w:tcPr/>
          <w:p>
            <w:pPr>
              <w:pStyle w:val="Compact"/>
              <w:jc w:val="left"/>
            </w:pPr>
            <w:r>
              <w:t xml:space="preserve">Minimalplan</w:t>
            </w:r>
          </w:p>
        </w:tc>
        <w:tc>
          <w:tcPr/>
          <w:p>
            <w:pPr>
              <w:pStyle w:val="Compact"/>
            </w:pPr>
            <w:r>
              <w:t xml:space="preserve">Angeforderter Pla</w:t>
            </w:r>
          </w:p>
        </w:tc>
        <w:tc>
          <w:tcPr/>
          <w:p>
            <w:pPr>
              <w:pStyle w:val="Compact"/>
              <w:jc w:val="left"/>
            </w:pPr>
            <w:r>
              <w:t xml:space="preserve">n Hauptzweck</w:t>
            </w:r>
          </w:p>
        </w:tc>
      </w:tr>
      <w:tr>
        <w:tc>
          <w:tcPr/>
          <w:p>
            <w:pPr>
              <w:pStyle w:val="Compact"/>
              <w:jc w:val="left"/>
            </w:pPr>
            <w:r>
              <w:t xml:space="preserve">Broadcast- und Kabelfernsehen</w:t>
            </w:r>
          </w:p>
        </w:tc>
        <w:tc>
          <w:tcPr/>
          <w:p>
            <w:pPr>
              <w:pStyle w:val="Compact"/>
              <w:jc w:val="left"/>
            </w:pPr>
            <w:r>
              <w:t xml:space="preserve">$46 Millionen</w:t>
            </w:r>
          </w:p>
        </w:tc>
        <w:tc>
          <w:tcPr/>
          <w:p>
            <w:pPr>
              <w:pStyle w:val="Compact"/>
            </w:pPr>
            <w:r>
              <w:t xml:space="preserve">$72 Millionen</w:t>
            </w:r>
          </w:p>
        </w:tc>
        <w:tc>
          <w:tcPr/>
          <w:p>
            <w:pPr>
              <w:pStyle w:val="Compact"/>
              <w:jc w:val="left"/>
            </w:pPr>
            <w:r>
              <w:t xml:space="preserve">Breite Überzeugungsarbeit und Kontrast</w:t>
            </w:r>
          </w:p>
        </w:tc>
      </w:tr>
      <w:tr>
        <w:tc>
          <w:tcPr/>
          <w:p>
            <w:pPr>
              <w:pStyle w:val="Compact"/>
              <w:jc w:val="left"/>
            </w:pPr>
            <w:r>
              <w:t xml:space="preserve">Streaming-Video</w:t>
            </w:r>
          </w:p>
        </w:tc>
        <w:tc>
          <w:tcPr/>
          <w:p>
            <w:pPr>
              <w:pStyle w:val="Compact"/>
              <w:jc w:val="left"/>
            </w:pPr>
            <w:r>
              <w:t xml:space="preserve">$14 Millionen</w:t>
            </w:r>
          </w:p>
        </w:tc>
        <w:tc>
          <w:tcPr/>
          <w:p>
            <w:pPr>
              <w:pStyle w:val="Compact"/>
            </w:pPr>
            <w:r>
              <w:t xml:space="preserve">$26 Millionen</w:t>
            </w:r>
          </w:p>
        </w:tc>
        <w:tc>
          <w:tcPr/>
          <w:p>
            <w:pPr>
              <w:pStyle w:val="Compact"/>
              <w:jc w:val="left"/>
            </w:pPr>
            <w:r>
              <w:t xml:space="preserve">Gezielte Überzeugungsarbeit</w:t>
            </w:r>
          </w:p>
        </w:tc>
      </w:tr>
      <w:tr>
        <w:tc>
          <w:tcPr/>
          <w:p>
            <w:pPr>
              <w:pStyle w:val="Compact"/>
              <w:jc w:val="left"/>
            </w:pPr>
            <w:r>
              <w:t xml:space="preserve">Suche und soziale Medien</w:t>
            </w:r>
          </w:p>
        </w:tc>
        <w:tc>
          <w:tcPr/>
          <w:p>
            <w:pPr>
              <w:pStyle w:val="Compact"/>
              <w:jc w:val="left"/>
            </w:pPr>
            <w:r>
              <w:t xml:space="preserve">$11 Millionen</w:t>
            </w:r>
          </w:p>
        </w:tc>
        <w:tc>
          <w:tcPr/>
          <w:p>
            <w:pPr>
              <w:pStyle w:val="Compact"/>
            </w:pPr>
            <w:r>
              <w:t xml:space="preserve">$19 Millionen</w:t>
            </w:r>
          </w:p>
        </w:tc>
        <w:tc>
          <w:tcPr/>
          <w:p>
            <w:pPr>
              <w:pStyle w:val="Compact"/>
              <w:jc w:val="left"/>
            </w:pPr>
            <w:r>
              <w:t xml:space="preserve">Information, Überzeugungsarbeit, Spendensammlung</w:t>
            </w:r>
          </w:p>
        </w:tc>
      </w:tr>
      <w:tr>
        <w:tc>
          <w:tcPr/>
          <w:p>
            <w:pPr>
              <w:pStyle w:val="Compact"/>
              <w:jc w:val="left"/>
            </w:pPr>
            <w:r>
              <w:t xml:space="preserve">Direktwerbung und gedrucktes Material</w:t>
            </w:r>
          </w:p>
        </w:tc>
        <w:tc>
          <w:tcPr/>
          <w:p>
            <w:pPr>
              <w:pStyle w:val="Compact"/>
              <w:jc w:val="left"/>
            </w:pPr>
            <w:r>
              <w:t xml:space="preserve">$7 Millionen</w:t>
            </w:r>
          </w:p>
        </w:tc>
        <w:tc>
          <w:tcPr/>
          <w:p>
            <w:pPr>
              <w:pStyle w:val="Compact"/>
            </w:pPr>
            <w:r>
              <w:t xml:space="preserve">$12 Millionen</w:t>
            </w:r>
          </w:p>
        </w:tc>
        <w:tc>
          <w:tcPr/>
          <w:p>
            <w:pPr>
              <w:pStyle w:val="Compact"/>
              <w:jc w:val="left"/>
            </w:pPr>
            <w:r>
              <w:t xml:space="preserve">Gezielte Überzeugungsarbeit und Mobilisierung</w:t>
            </w:r>
          </w:p>
        </w:tc>
      </w:tr>
      <w:tr>
        <w:tc>
          <w:tcPr/>
          <w:p>
            <w:pPr>
              <w:pStyle w:val="Compact"/>
              <w:jc w:val="left"/>
            </w:pPr>
            <w:r>
              <w:t xml:space="preserve">Feld-Wählerkontakt</w:t>
            </w:r>
          </w:p>
        </w:tc>
        <w:tc>
          <w:tcPr/>
          <w:p>
            <w:pPr>
              <w:pStyle w:val="Compact"/>
              <w:jc w:val="left"/>
            </w:pPr>
            <w:r>
              <w:t xml:space="preserve">$22 Millionen</w:t>
            </w:r>
          </w:p>
        </w:tc>
        <w:tc>
          <w:tcPr/>
          <w:p>
            <w:pPr>
              <w:pStyle w:val="Compact"/>
            </w:pPr>
            <w:r>
              <w:t xml:space="preserve">$38 Millionen</w:t>
            </w:r>
          </w:p>
        </w:tc>
        <w:tc>
          <w:tcPr/>
          <w:p>
            <w:pPr>
              <w:pStyle w:val="Compact"/>
              <w:jc w:val="left"/>
            </w:pPr>
            <w:r>
              <w:t xml:space="preserve">Registrierung, vorzeitige Wahl, Mobilisierung</w:t>
            </w:r>
          </w:p>
        </w:tc>
      </w:tr>
      <w:tr>
        <w:tc>
          <w:tcPr/>
          <w:p>
            <w:pPr>
              <w:pStyle w:val="Compact"/>
              <w:jc w:val="left"/>
            </w:pPr>
            <w:r>
              <w:t xml:space="preserve">Umfragen, Analytik und Experimente</w:t>
            </w:r>
          </w:p>
        </w:tc>
        <w:tc>
          <w:tcPr/>
          <w:p>
            <w:pPr>
              <w:pStyle w:val="Compact"/>
              <w:jc w:val="left"/>
            </w:pPr>
            <w:r>
              <w:t xml:space="preserve">$8 Millionen</w:t>
            </w:r>
          </w:p>
        </w:tc>
        <w:tc>
          <w:tcPr/>
          <w:p>
            <w:pPr>
              <w:pStyle w:val="Compact"/>
            </w:pPr>
            <w:r>
              <w:t xml:space="preserve">$15 Millionen</w:t>
            </w:r>
          </w:p>
        </w:tc>
        <w:tc>
          <w:tcPr/>
          <w:p>
            <w:pPr>
              <w:pStyle w:val="Compact"/>
              <w:jc w:val="left"/>
            </w:pPr>
            <w:r>
              <w:t xml:space="preserve">Messung und Lernen</w:t>
            </w:r>
          </w:p>
        </w:tc>
      </w:tr>
    </w:tbl>
    <w:bookmarkEnd w:id="14"/>
    <w:bookmarkEnd w:id="15"/>
    <w:bookmarkStart w:id="17" w:name="die-feldorganisation"/>
    <w:p>
      <w:pPr>
        <w:pStyle w:val="Heading1"/>
      </w:pPr>
      <w:r>
        <w:t xml:space="preserve">Die Feldorganisation</w:t>
      </w:r>
    </w:p>
    <w:p>
      <w:pPr>
        <w:pStyle w:val="FirstParagraph"/>
      </w:pPr>
      <w:r>
        <w:t xml:space="preserve">Feldleiter Luis Ortega betrachtete die Kampagne als eine Operation zum Kapazitätsaufbau. Büros, Organisatoren, Freiwilligenleiter, Klinkenputz-Routen, Telefonzentralen, Ballot-Curing-Teams und Rechtsunterstützung mussten aufgebaut werden, bevor sie benötigt wurden. Ein neuer Organisator erforderte Rekrutierung, Schulung, Datenzugang, Aufsicht und lokale Beziehungen. Ein Büro später zu schließen würde weniger Geld sparen als erwartet und könnte die Moral schädigen. Ortega wollte deshalb frühzeitige Verpflichtungen in allen sieben Staaten.</w:t>
      </w:r>
    </w:p>
    <w:p>
      <w:pPr>
        <w:pStyle w:val="BodyText"/>
      </w:pPr>
      <w:r>
        <w:t xml:space="preserve">Die stärkste Organisation befand sich in Northlake, wo die Kampagne 31 Büros, 420 bezahlte Mitarbeiter und mehr als 18.000 Freiwillige hatte, die mindestens eine Schicht absolviert hatten. Sonora hatte nur 12 Büros und 135 Mitarbeiter, verteilt über ein viel größeres Gebiet. Great Plains hatte starke Parteiorganisationen in zwei Großstadtgebieten, aber schwache Abdeckung in kleineren Industriebezirken. Silver Basin hatte wenige Wahlmännerstimmen, doch seine Medienmärkte waren relativ günstig und seine Bevölkerung konzentriert. Piedmont hatte den größten potenziellen Pool neuer Wähler, doch Registrierungsregeln und schnelles Bevölkerungswachstum machten die Wählerdatei weniger zuverlässig.</w:t>
      </w:r>
    </w:p>
    <w:bookmarkStart w:id="16" w:name="exhibit-4.-battleground-feldkapazität"/>
    <w:p>
      <w:pPr>
        <w:pStyle w:val="Heading2"/>
      </w:pPr>
      <w:r>
        <w:t xml:space="preserve">Exhibit 4. Battleground-Feldkapazität</w:t>
      </w:r>
    </w:p>
    <w:tbl>
      <w:tblPr>
        <w:tblStyle w:val="Table"/>
        <w:tblW w:type="pct" w:w="4877"/>
        <w:tblLayout w:type="fixed"/>
        <w:tblLook w:firstRow="1" w:lastRow="0" w:firstColumn="0" w:lastColumn="0" w:noHBand="0" w:noVBand="0" w:val="0020"/>
      </w:tblPr>
      <w:tblGrid>
        <w:gridCol w:w="1466"/>
        <w:gridCol w:w="977"/>
        <w:gridCol w:w="1271"/>
        <w:gridCol w:w="1955"/>
        <w:gridCol w:w="2053"/>
      </w:tblGrid>
      <w:tr>
        <w:trPr>
          <w:tblHeader w:val="on"/>
        </w:trPr>
        <w:tc>
          <w:tcPr/>
          <w:p>
            <w:pPr>
              <w:pStyle w:val="Compact"/>
              <w:jc w:val="left"/>
            </w:pPr>
            <w:r>
              <w:t xml:space="preserve">Staat</w:t>
            </w:r>
          </w:p>
        </w:tc>
        <w:tc>
          <w:tcPr/>
          <w:p>
            <w:pPr>
              <w:pStyle w:val="Compact"/>
              <w:jc w:val="left"/>
            </w:pPr>
            <w:r>
              <w:t xml:space="preserve">Büros</w:t>
            </w:r>
          </w:p>
        </w:tc>
        <w:tc>
          <w:tcPr/>
          <w:p>
            <w:pPr>
              <w:pStyle w:val="Compact"/>
            </w:pPr>
            <w:r>
              <w:t xml:space="preserve">Bezahlte Mita</w:t>
            </w:r>
          </w:p>
        </w:tc>
        <w:tc>
          <w:tcPr/>
          <w:p>
            <w:pPr>
              <w:pStyle w:val="Compact"/>
            </w:pPr>
            <w:r>
              <w:t xml:space="preserve">rbeiter Aktive Frei</w:t>
            </w:r>
          </w:p>
        </w:tc>
        <w:tc>
          <w:tcPr/>
          <w:p>
            <w:pPr>
              <w:pStyle w:val="Compact"/>
            </w:pPr>
            <w:r>
              <w:t xml:space="preserve">willige Zusätzliche Anfrage</w:t>
            </w:r>
          </w:p>
        </w:tc>
      </w:tr>
      <w:tr>
        <w:tc>
          <w:tcPr/>
          <w:p>
            <w:pPr>
              <w:pStyle w:val="Compact"/>
              <w:jc w:val="left"/>
            </w:pPr>
            <w:r>
              <w:t xml:space="preserve">Northlake</w:t>
            </w:r>
          </w:p>
        </w:tc>
        <w:tc>
          <w:tcPr/>
          <w:p>
            <w:pPr>
              <w:pStyle w:val="Compact"/>
              <w:jc w:val="left"/>
            </w:pPr>
            <w:r>
              <w:t xml:space="preserve">31</w:t>
            </w:r>
          </w:p>
        </w:tc>
        <w:tc>
          <w:tcPr/>
          <w:p>
            <w:pPr>
              <w:pStyle w:val="Compact"/>
            </w:pPr>
            <w:r>
              <w:t xml:space="preserve">420</w:t>
            </w:r>
          </w:p>
        </w:tc>
        <w:tc>
          <w:tcPr/>
          <w:p>
            <w:pPr>
              <w:pStyle w:val="Compact"/>
            </w:pPr>
            <w:r>
              <w:t xml:space="preserve">18.200</w:t>
            </w:r>
          </w:p>
        </w:tc>
        <w:tc>
          <w:tcPr/>
          <w:p>
            <w:pPr>
              <w:pStyle w:val="Compact"/>
            </w:pPr>
            <w:r>
              <w:t xml:space="preserve">$8,5 Millionen</w:t>
            </w:r>
          </w:p>
        </w:tc>
      </w:tr>
      <w:tr>
        <w:tc>
          <w:tcPr/>
          <w:p>
            <w:pPr>
              <w:pStyle w:val="Compact"/>
              <w:jc w:val="left"/>
            </w:pPr>
            <w:r>
              <w:t xml:space="preserve">Great Plains</w:t>
            </w:r>
          </w:p>
        </w:tc>
        <w:tc>
          <w:tcPr/>
          <w:p>
            <w:pPr>
              <w:pStyle w:val="Compact"/>
              <w:jc w:val="left"/>
            </w:pPr>
            <w:r>
              <w:t xml:space="preserve">22</w:t>
            </w:r>
          </w:p>
        </w:tc>
        <w:tc>
          <w:tcPr/>
          <w:p>
            <w:pPr>
              <w:pStyle w:val="Compact"/>
            </w:pPr>
            <w:r>
              <w:t xml:space="preserve">286</w:t>
            </w:r>
          </w:p>
        </w:tc>
        <w:tc>
          <w:tcPr/>
          <w:p>
            <w:pPr>
              <w:pStyle w:val="Compact"/>
            </w:pPr>
            <w:r>
              <w:t xml:space="preserve">10.400</w:t>
            </w:r>
          </w:p>
        </w:tc>
        <w:tc>
          <w:tcPr/>
          <w:p>
            <w:pPr>
              <w:pStyle w:val="Compact"/>
            </w:pPr>
            <w:r>
              <w:t xml:space="preserve">$7,2 Millionen</w:t>
            </w:r>
          </w:p>
        </w:tc>
      </w:tr>
      <w:tr>
        <w:tc>
          <w:tcPr/>
          <w:p>
            <w:pPr>
              <w:pStyle w:val="Compact"/>
              <w:jc w:val="left"/>
            </w:pPr>
            <w:r>
              <w:t xml:space="preserve">Piedmont</w:t>
            </w:r>
          </w:p>
        </w:tc>
        <w:tc>
          <w:tcPr/>
          <w:p>
            <w:pPr>
              <w:pStyle w:val="Compact"/>
              <w:jc w:val="left"/>
            </w:pPr>
            <w:r>
              <w:t xml:space="preserve">20</w:t>
            </w:r>
          </w:p>
        </w:tc>
        <w:tc>
          <w:tcPr/>
          <w:p>
            <w:pPr>
              <w:pStyle w:val="Compact"/>
            </w:pPr>
            <w:r>
              <w:t xml:space="preserve">305</w:t>
            </w:r>
          </w:p>
        </w:tc>
        <w:tc>
          <w:tcPr/>
          <w:p>
            <w:pPr>
              <w:pStyle w:val="Compact"/>
            </w:pPr>
            <w:r>
              <w:t xml:space="preserve">9.100</w:t>
            </w:r>
          </w:p>
        </w:tc>
        <w:tc>
          <w:tcPr/>
          <w:p>
            <w:pPr>
              <w:pStyle w:val="Compact"/>
            </w:pPr>
            <w:r>
              <w:t xml:space="preserve">$9,4 Millionen</w:t>
            </w:r>
          </w:p>
        </w:tc>
      </w:tr>
      <w:tr>
        <w:tc>
          <w:tcPr/>
          <w:p>
            <w:pPr>
              <w:pStyle w:val="Compact"/>
              <w:jc w:val="left"/>
            </w:pPr>
            <w:r>
              <w:t xml:space="preserve">Midland</w:t>
            </w:r>
          </w:p>
        </w:tc>
        <w:tc>
          <w:tcPr/>
          <w:p>
            <w:pPr>
              <w:pStyle w:val="Compact"/>
              <w:jc w:val="left"/>
            </w:pPr>
            <w:r>
              <w:t xml:space="preserve">25</w:t>
            </w:r>
          </w:p>
        </w:tc>
        <w:tc>
          <w:tcPr/>
          <w:p>
            <w:pPr>
              <w:pStyle w:val="Compact"/>
            </w:pPr>
            <w:r>
              <w:t xml:space="preserve">338</w:t>
            </w:r>
          </w:p>
        </w:tc>
        <w:tc>
          <w:tcPr/>
          <w:p>
            <w:pPr>
              <w:pStyle w:val="Compact"/>
            </w:pPr>
            <w:r>
              <w:t xml:space="preserve">13.700</w:t>
            </w:r>
          </w:p>
        </w:tc>
        <w:tc>
          <w:tcPr/>
          <w:p>
            <w:pPr>
              <w:pStyle w:val="Compact"/>
            </w:pPr>
            <w:r>
              <w:t xml:space="preserve">$7,8 Millionen</w:t>
            </w:r>
          </w:p>
        </w:tc>
      </w:tr>
      <w:tr>
        <w:tc>
          <w:tcPr/>
          <w:p>
            <w:pPr>
              <w:pStyle w:val="Compact"/>
              <w:jc w:val="left"/>
            </w:pPr>
            <w:r>
              <w:t xml:space="preserve">Sonora</w:t>
            </w:r>
          </w:p>
        </w:tc>
        <w:tc>
          <w:tcPr/>
          <w:p>
            <w:pPr>
              <w:pStyle w:val="Compact"/>
              <w:jc w:val="left"/>
            </w:pPr>
            <w:r>
              <w:t xml:space="preserve">12</w:t>
            </w:r>
          </w:p>
        </w:tc>
        <w:tc>
          <w:tcPr/>
          <w:p>
            <w:pPr>
              <w:pStyle w:val="Compact"/>
            </w:pPr>
            <w:r>
              <w:t xml:space="preserve">135</w:t>
            </w:r>
          </w:p>
        </w:tc>
        <w:tc>
          <w:tcPr/>
          <w:p>
            <w:pPr>
              <w:pStyle w:val="Compact"/>
            </w:pPr>
            <w:r>
              <w:t xml:space="preserve">5.300</w:t>
            </w:r>
          </w:p>
        </w:tc>
        <w:tc>
          <w:tcPr/>
          <w:p>
            <w:pPr>
              <w:pStyle w:val="Compact"/>
            </w:pPr>
            <w:r>
              <w:t xml:space="preserve">$8,9 Millionen</w:t>
            </w:r>
          </w:p>
        </w:tc>
      </w:tr>
      <w:tr>
        <w:tc>
          <w:tcPr/>
          <w:p>
            <w:pPr>
              <w:pStyle w:val="Compact"/>
              <w:jc w:val="left"/>
            </w:pPr>
            <w:r>
              <w:t xml:space="preserve">Lakeland</w:t>
            </w:r>
          </w:p>
        </w:tc>
        <w:tc>
          <w:tcPr/>
          <w:p>
            <w:pPr>
              <w:pStyle w:val="Compact"/>
              <w:jc w:val="left"/>
            </w:pPr>
            <w:r>
              <w:t xml:space="preserve">18</w:t>
            </w:r>
          </w:p>
        </w:tc>
        <w:tc>
          <w:tcPr/>
          <w:p>
            <w:pPr>
              <w:pStyle w:val="Compact"/>
            </w:pPr>
            <w:r>
              <w:t xml:space="preserve">224</w:t>
            </w:r>
          </w:p>
        </w:tc>
        <w:tc>
          <w:tcPr/>
          <w:p>
            <w:pPr>
              <w:pStyle w:val="Compact"/>
            </w:pPr>
            <w:r>
              <w:t xml:space="preserve">8.800</w:t>
            </w:r>
          </w:p>
        </w:tc>
        <w:tc>
          <w:tcPr/>
          <w:p>
            <w:pPr>
              <w:pStyle w:val="Compact"/>
            </w:pPr>
            <w:r>
              <w:t xml:space="preserve">$5,7 Millionen</w:t>
            </w:r>
          </w:p>
        </w:tc>
      </w:tr>
      <w:tr>
        <w:tc>
          <w:tcPr/>
          <w:p>
            <w:pPr>
              <w:pStyle w:val="Compact"/>
              <w:jc w:val="left"/>
            </w:pPr>
            <w:r>
              <w:t xml:space="preserve">Silver Basin</w:t>
            </w:r>
          </w:p>
        </w:tc>
        <w:tc>
          <w:tcPr/>
          <w:p>
            <w:pPr>
              <w:pStyle w:val="Compact"/>
              <w:jc w:val="left"/>
            </w:pPr>
            <w:r>
              <w:t xml:space="preserve">9</w:t>
            </w:r>
          </w:p>
        </w:tc>
        <w:tc>
          <w:tcPr/>
          <w:p>
            <w:pPr>
              <w:pStyle w:val="Compact"/>
            </w:pPr>
            <w:r>
              <w:t xml:space="preserve">96</w:t>
            </w:r>
          </w:p>
        </w:tc>
        <w:tc>
          <w:tcPr/>
          <w:p>
            <w:pPr>
              <w:pStyle w:val="Compact"/>
            </w:pPr>
            <w:r>
              <w:t xml:space="preserve">3.900</w:t>
            </w:r>
          </w:p>
        </w:tc>
        <w:tc>
          <w:tcPr/>
          <w:p>
            <w:pPr>
              <w:pStyle w:val="Compact"/>
            </w:pPr>
            <w:r>
              <w:t xml:space="preserve">$3,4 Millionen</w:t>
            </w:r>
          </w:p>
        </w:tc>
      </w:tr>
    </w:tbl>
    <w:bookmarkEnd w:id="16"/>
    <w:bookmarkEnd w:id="17"/>
    <w:bookmarkStart w:id="19" w:name="was-sagten-die-umfragen-wirklich"/>
    <w:p>
      <w:pPr>
        <w:pStyle w:val="Heading1"/>
      </w:pPr>
      <w:r>
        <w:t xml:space="preserve">Was sagten die Umfragen wirklich?</w:t>
      </w:r>
    </w:p>
    <w:p>
      <w:pPr>
        <w:pStyle w:val="FirstParagraph"/>
      </w:pPr>
      <w:r>
        <w:t xml:space="preserve">Umfragedirektorin Priya Shah warnte davor, Exhibit 1 als präzise zu behandeln. Jede Schätzung kombinierte Erhebungen, Wahlbeteiligungsannahmen, Nichtantwort-Anpassungen und Urteile über wahrscheinliche Wähler. In mehreren Staaten verschob eine Änderung des Modells für wahrscheinliche Wähler die Marge um mehr als den berichteten Stichprobenfehler. Befragte konnten auch ihre Meinung ändern oder nicht wählen.</w:t>
      </w:r>
    </w:p>
    <w:p>
      <w:pPr>
        <w:pStyle w:val="BodyText"/>
      </w:pPr>
      <w:r>
        <w:t xml:space="preserve">Shah schlug kontrollierte Botschaftsexperimente, Interviews und schnelle Erhebungen anstelle einer weiteren vollständigen Runde von Staatsumfragen vor. Staatsmanager wollten Anleitung auf Bezirksebene, während Spender und Parteifunktionäre Schlagzeilenzahlen erwarteten. Chen fragte sich, ob die Kampagne Informationen kaufte, um Entscheidungen zu verbessern, oder Zahlen, die Abteilungen nutzen konnten, um bestehende Präferenzen zu verteidigen.</w:t>
      </w:r>
    </w:p>
    <w:bookmarkStart w:id="18" w:name="exhibit-5.-interne-umfragealternativen"/>
    <w:p>
      <w:pPr>
        <w:pStyle w:val="Heading2"/>
      </w:pPr>
      <w:r>
        <w:t xml:space="preserve">Exhibit 5. Interne Umfragealternativen</w:t>
      </w:r>
    </w:p>
    <w:tbl>
      <w:tblPr>
        <w:tblStyle w:val="Table"/>
        <w:tblW w:type="pct" w:w="4919"/>
        <w:tblLayout w:type="fixed"/>
        <w:tblLook w:firstRow="1" w:lastRow="0" w:firstColumn="0" w:lastColumn="0" w:noHBand="0" w:noVBand="0" w:val="0020"/>
      </w:tblPr>
      <w:tblGrid>
        <w:gridCol w:w="2768"/>
        <w:gridCol w:w="1030"/>
        <w:gridCol w:w="1674"/>
        <w:gridCol w:w="2318"/>
      </w:tblGrid>
      <w:tr>
        <w:trPr>
          <w:tblHeader w:val="on"/>
        </w:trPr>
        <w:tc>
          <w:tcPr/>
          <w:p>
            <w:pPr>
              <w:pStyle w:val="Compact"/>
              <w:jc w:val="left"/>
            </w:pPr>
            <w:r>
              <w:t xml:space="preserve">Programm</w:t>
            </w:r>
          </w:p>
        </w:tc>
        <w:tc>
          <w:tcPr/>
          <w:p>
            <w:pPr>
              <w:pStyle w:val="Compact"/>
              <w:jc w:val="left"/>
            </w:pPr>
            <w:r>
              <w:t xml:space="preserve">Kosten</w:t>
            </w:r>
          </w:p>
        </w:tc>
        <w:tc>
          <w:tcPr/>
          <w:p>
            <w:pPr>
              <w:pStyle w:val="Compact"/>
              <w:jc w:val="left"/>
            </w:pPr>
            <w:r>
              <w:t xml:space="preserve">Timing</w:t>
            </w:r>
          </w:p>
        </w:tc>
        <w:tc>
          <w:tcPr/>
          <w:p>
            <w:pPr>
              <w:pStyle w:val="Compact"/>
              <w:jc w:val="left"/>
            </w:pPr>
            <w:r>
              <w:t xml:space="preserve">Was es klären könnte</w:t>
            </w:r>
          </w:p>
        </w:tc>
      </w:tr>
      <w:tr>
        <w:tc>
          <w:tcPr/>
          <w:p>
            <w:pPr>
              <w:pStyle w:val="Compact"/>
              <w:jc w:val="left"/>
            </w:pPr>
            <w:r>
              <w:t xml:space="preserve">Vollständige Battleground-Umfragen, zweimal</w:t>
            </w:r>
          </w:p>
        </w:tc>
        <w:tc>
          <w:tcPr/>
          <w:p>
            <w:pPr>
              <w:pStyle w:val="Compact"/>
              <w:jc w:val="left"/>
            </w:pPr>
            <w:r>
              <w:t xml:space="preserve">monatlich $6</w:t>
            </w:r>
          </w:p>
        </w:tc>
        <w:tc>
          <w:tcPr/>
          <w:p>
            <w:pPr>
              <w:pStyle w:val="Compact"/>
              <w:jc w:val="left"/>
            </w:pPr>
            <w:r>
              <w:t xml:space="preserve">,8 Millionen Ergebnisse i</w:t>
            </w:r>
          </w:p>
        </w:tc>
        <w:tc>
          <w:tcPr/>
          <w:p>
            <w:pPr>
              <w:pStyle w:val="Compact"/>
              <w:jc w:val="left"/>
            </w:pPr>
            <w:r>
              <w:t xml:space="preserve">n 5-7 Tagen Staatsmargen und wichtige Untergruppen</w:t>
            </w:r>
          </w:p>
        </w:tc>
      </w:tr>
      <w:tr>
        <w:tc>
          <w:tcPr/>
          <w:p>
            <w:pPr>
              <w:pStyle w:val="Compact"/>
              <w:jc w:val="left"/>
            </w:pPr>
            <w:r>
              <w:t xml:space="preserve">Tägliche Multi-Staaten-Tracking-Umfrage</w:t>
            </w:r>
          </w:p>
        </w:tc>
        <w:tc>
          <w:tcPr/>
          <w:p>
            <w:pPr>
              <w:pStyle w:val="Compact"/>
              <w:jc w:val="left"/>
            </w:pPr>
            <w:r>
              <w:t xml:space="preserve">$4,9 Millionen</w:t>
            </w:r>
          </w:p>
        </w:tc>
        <w:tc>
          <w:tcPr/>
          <w:p>
            <w:pPr>
              <w:pStyle w:val="Compact"/>
              <w:jc w:val="left"/>
            </w:pPr>
            <w:r>
              <w:t xml:space="preserve">Rollierende 3-Tage-Schätz</w:t>
            </w:r>
          </w:p>
        </w:tc>
        <w:tc>
          <w:tcPr/>
          <w:p>
            <w:pPr>
              <w:pStyle w:val="Compact"/>
              <w:jc w:val="left"/>
            </w:pPr>
            <w:r>
              <w:t xml:space="preserve">ungen Richtung und Geschwindigkeit der Veränderung</w:t>
            </w:r>
          </w:p>
        </w:tc>
      </w:tr>
      <w:tr>
        <w:tc>
          <w:tcPr/>
          <w:p>
            <w:pPr>
              <w:pStyle w:val="Compact"/>
              <w:jc w:val="left"/>
            </w:pPr>
            <w:r>
              <w:t xml:space="preserve">Botschaftsexperimente und Interviews</w:t>
            </w:r>
          </w:p>
        </w:tc>
        <w:tc>
          <w:tcPr/>
          <w:p>
            <w:pPr>
              <w:pStyle w:val="Compact"/>
              <w:jc w:val="left"/>
            </w:pPr>
            <w:r>
              <w:t xml:space="preserve">$3,2 Millionen</w:t>
            </w:r>
          </w:p>
        </w:tc>
        <w:tc>
          <w:tcPr/>
          <w:p>
            <w:pPr>
              <w:pStyle w:val="Compact"/>
              <w:jc w:val="left"/>
            </w:pPr>
            <w:r>
              <w:t xml:space="preserve">2-10 Tage</w:t>
            </w:r>
          </w:p>
        </w:tc>
        <w:tc>
          <w:tcPr/>
          <w:p>
            <w:pPr>
              <w:pStyle w:val="Compact"/>
              <w:jc w:val="left"/>
            </w:pPr>
            <w:r>
              <w:t xml:space="preserve">Reaktion auf Themen und Sprache</w:t>
            </w:r>
          </w:p>
        </w:tc>
      </w:tr>
      <w:tr>
        <w:tc>
          <w:tcPr/>
          <w:p>
            <w:pPr>
              <w:pStyle w:val="Compact"/>
              <w:jc w:val="left"/>
            </w:pPr>
            <w:r>
              <w:t xml:space="preserve">Aktualisierung der Wählerdatei-Modellierung</w:t>
            </w:r>
          </w:p>
        </w:tc>
        <w:tc>
          <w:tcPr/>
          <w:p>
            <w:pPr>
              <w:pStyle w:val="Compact"/>
              <w:jc w:val="left"/>
            </w:pPr>
            <w:r>
              <w:t xml:space="preserve">auf Bezirkseben</w:t>
            </w:r>
          </w:p>
        </w:tc>
        <w:tc>
          <w:tcPr/>
          <w:p>
            <w:pPr>
              <w:pStyle w:val="Compact"/>
              <w:jc w:val="left"/>
            </w:pPr>
            <w:r>
              <w:t xml:space="preserve">e $2,6 Millionen 3 Wo</w:t>
            </w:r>
          </w:p>
        </w:tc>
        <w:tc>
          <w:tcPr/>
          <w:p>
            <w:pPr>
              <w:pStyle w:val="Compact"/>
              <w:jc w:val="left"/>
            </w:pPr>
            <w:r>
              <w:t xml:space="preserve">chen Geografisches Targeting und Wahlbeteiligung</w:t>
            </w:r>
          </w:p>
        </w:tc>
      </w:tr>
      <w:tr>
        <w:tc>
          <w:tcPr/>
          <w:p>
            <w:pPr>
              <w:pStyle w:val="Compact"/>
              <w:jc w:val="left"/>
            </w:pPr>
            <w:r>
              <w:t xml:space="preserve">Minimale Compliance- und Benchmark-Umfragen</w:t>
            </w:r>
          </w:p>
        </w:tc>
        <w:tc>
          <w:tcPr/>
          <w:p>
            <w:pPr>
              <w:pStyle w:val="Compact"/>
              <w:jc w:val="left"/>
            </w:pPr>
            <w:r>
              <w:t xml:space="preserve">$1,1 Millionen</w:t>
            </w:r>
          </w:p>
        </w:tc>
        <w:tc>
          <w:tcPr/>
          <w:p>
            <w:pPr>
              <w:pStyle w:val="Compact"/>
              <w:jc w:val="left"/>
            </w:pPr>
            <w:r>
              <w:t xml:space="preserve">Nach Bedarf</w:t>
            </w:r>
          </w:p>
        </w:tc>
        <w:tc>
          <w:tcPr/>
          <w:p>
            <w:pPr>
              <w:pStyle w:val="Compact"/>
              <w:jc w:val="left"/>
            </w:pPr>
            <w:r>
              <w:t xml:space="preserve">Grundlegende Kampagnenüberwachung</w:t>
            </w:r>
          </w:p>
        </w:tc>
      </w:tr>
    </w:tbl>
    <w:bookmarkEnd w:id="18"/>
    <w:bookmarkEnd w:id="19"/>
    <w:bookmarkStart w:id="20" w:name="Xb75d008f78c2b4a26252389404dcaa4bc5dbe5d"/>
    <w:p>
      <w:pPr>
        <w:pStyle w:val="Heading1"/>
      </w:pPr>
      <w:r>
        <w:t xml:space="preserve">Ereignisse, die die Kampagne nicht planen konnte</w:t>
      </w:r>
    </w:p>
    <w:p>
      <w:pPr>
        <w:pStyle w:val="FirstParagraph"/>
      </w:pPr>
      <w:r>
        <w:t xml:space="preserve">Der Plan würde in einem Umfeld operieren, das die Kampagne nicht kontrollierte. Ein Wirtschaftsbericht, eine internationale Krise, eine Naturkatastrophe, eine Gerichtsentscheidung, ein Kandidatenfehler, ein Leck, eine Gesundheitssorge oder eine gegnerische Werbung könnte die Aufmerksamkeit binnen Stunden umlenken. Externe Gruppen konnten ausgeben, ohne sich mit der Kampagne abzustimmen, wodurch Meridians Botschaft verstärkt oder die Verteidigung eines als sicher geltenden Staates erzwungen werden konnte.</w:t>
      </w:r>
    </w:p>
    <w:p>
      <w:pPr>
        <w:pStyle w:val="BodyText"/>
      </w:pPr>
      <w:r>
        <w:t xml:space="preserve">Auch die Finanzprognose war unsicher. Kleinspenden reagierten schnell auf Ereignisse, doch die Spendermüdigkeit hatte zugenommen. Großspenden-Fundraising hing von einer begrenzten Anzahl von Veranstaltungen ab. Externe Gruppen konnten das Medienumfeld umgestalten. Während des Zyklus 2023-2024 wickelten föderale politische Komitees gemeinsam Milliarden von Dollar ab; Meridians Kampagne war nur ein Akteur in einem viel größeren System.</w:t>
      </w:r>
    </w:p>
    <w:bookmarkEnd w:id="20"/>
    <w:bookmarkStart w:id="22" w:name="Xbc3a5c1deb19a740a60487c33ee45ffbc2315a3"/>
    <w:p>
      <w:pPr>
        <w:pStyle w:val="Heading1"/>
      </w:pPr>
      <w:r>
        <w:t xml:space="preserve">Eine Entscheidung, die eigentlich eine Sequenz von Entscheidungen war</w:t>
      </w:r>
    </w:p>
    <w:p>
      <w:pPr>
        <w:pStyle w:val="FirstParagraph"/>
      </w:pPr>
      <w:r>
        <w:t xml:space="preserve">Chens Mitarbeiter präsentierten vier Pläne: Konzentration auf Northlake, Midland und Lakeland; volle Investition in alle sieben Staaten; Betonung von Feldorganisation und vorzeitiger Wahl; oder Schutz einer großen Reserve für den letzten Monat. Jeder Plan implizierte eine andere Ansicht darüber, wo Stimmen verändert werden könnten und wie sehr zukünftige Ereignisse eine Rolle spielen würden.</w:t>
      </w:r>
    </w:p>
    <w:p>
      <w:pPr>
        <w:pStyle w:val="BodyText"/>
      </w:pPr>
      <w:r>
        <w:t xml:space="preserve">Um 7:40 Uhr erfuhr Chen, dass eine gegnerische Gruppe $18 Millionen an Fernsehsendezeit in Northlake reserviert hatte, die Wochenendspenden 22 Prozent unter der Prognose lagen und der Kandidat eine große Rede in Sonora wollte. Jede Anfrage erschien für sich genommen vernünftig; zusammen überschritten sie die Kapazität der Kampagne.</w:t>
      </w:r>
    </w:p>
    <w:bookmarkStart w:id="21" w:name="exhibit-6.-vier-ressourcenstrategien"/>
    <w:p>
      <w:pPr>
        <w:pStyle w:val="Heading2"/>
      </w:pPr>
      <w:r>
        <w:t xml:space="preserve">Exhibit 6. Vier Ressourcenstrategien</w:t>
      </w:r>
    </w:p>
    <w:tbl>
      <w:tblPr>
        <w:tblStyle w:val="Table"/>
        <w:tblW w:type="pct" w:w="4923"/>
        <w:tblLayout w:type="fixed"/>
        <w:tblLook w:firstRow="1" w:lastRow="0" w:firstColumn="0" w:lastColumn="0" w:noHBand="0" w:noVBand="0" w:val="0020"/>
      </w:tblPr>
      <w:tblGrid>
        <w:gridCol w:w="1340"/>
        <w:gridCol w:w="1401"/>
        <w:gridCol w:w="1705"/>
        <w:gridCol w:w="3350"/>
      </w:tblGrid>
      <w:tr>
        <w:trPr>
          <w:tblHeader w:val="on"/>
        </w:trPr>
        <w:tc>
          <w:tcPr/>
          <w:p>
            <w:pPr>
              <w:pStyle w:val="Compact"/>
              <w:jc w:val="left"/>
            </w:pPr>
            <w:r>
              <w:t xml:space="preserve">Strategie</w:t>
            </w:r>
          </w:p>
        </w:tc>
        <w:tc>
          <w:tcPr/>
          <w:p>
            <w:pPr>
              <w:pStyle w:val="Compact"/>
            </w:pPr>
            <w:r>
              <w:t xml:space="preserve">Sofortige Verpflichtung</w:t>
            </w:r>
          </w:p>
        </w:tc>
        <w:tc>
          <w:tcPr/>
          <w:p>
            <w:pPr>
              <w:pStyle w:val="Compact"/>
              <w:jc w:val="right"/>
            </w:pPr>
            <w:r>
              <w:t xml:space="preserve">Bargeld für den letzten Mo</w:t>
            </w:r>
          </w:p>
        </w:tc>
        <w:tc>
          <w:tcPr/>
          <w:p>
            <w:pPr>
              <w:pStyle w:val="Compact"/>
              <w:jc w:val="left"/>
            </w:pPr>
            <w:r>
              <w:t xml:space="preserve">nat gehalten Zentrale Prämisse</w:t>
            </w:r>
          </w:p>
        </w:tc>
      </w:tr>
      <w:tr>
        <w:tc>
          <w:tcPr/>
          <w:p>
            <w:pPr>
              <w:pStyle w:val="Compact"/>
              <w:jc w:val="left"/>
            </w:pPr>
            <w:r>
              <w:t xml:space="preserve">Kürzester Weg</w:t>
            </w:r>
          </w:p>
        </w:tc>
        <w:tc>
          <w:tcPr/>
          <w:p>
            <w:pPr>
              <w:pStyle w:val="Compact"/>
            </w:pPr>
            <w:r>
              <w:t xml:space="preserve">$151 Millionen</w:t>
            </w:r>
          </w:p>
        </w:tc>
        <w:tc>
          <w:tcPr/>
          <w:p>
            <w:pPr>
              <w:pStyle w:val="Compact"/>
              <w:jc w:val="right"/>
            </w:pPr>
            <w:r>
              <w:t xml:space="preserve">$39 Millionen</w:t>
            </w:r>
          </w:p>
        </w:tc>
        <w:tc>
          <w:tcPr/>
          <w:p>
            <w:pPr>
              <w:pStyle w:val="Compact"/>
              <w:jc w:val="left"/>
            </w:pPr>
            <w:r>
              <w:t xml:space="preserve">Den plausibelsten Weg zu 270 schützen</w:t>
            </w:r>
          </w:p>
        </w:tc>
      </w:tr>
      <w:tr>
        <w:tc>
          <w:tcPr/>
          <w:p>
            <w:pPr>
              <w:pStyle w:val="Compact"/>
              <w:jc w:val="left"/>
            </w:pPr>
            <w:r>
              <w:t xml:space="preserve">Sieben-Staaten-Wettbew</w:t>
            </w:r>
          </w:p>
        </w:tc>
        <w:tc>
          <w:tcPr/>
          <w:p>
            <w:pPr>
              <w:pStyle w:val="Compact"/>
            </w:pPr>
            <w:r>
              <w:t xml:space="preserve">erb $178 Millionen</w:t>
            </w:r>
          </w:p>
        </w:tc>
        <w:tc>
          <w:tcPr/>
          <w:p>
            <w:pPr>
              <w:pStyle w:val="Compact"/>
              <w:jc w:val="right"/>
            </w:pPr>
            <w:r>
              <w:t xml:space="preserve">$12 Millionen</w:t>
            </w:r>
          </w:p>
        </w:tc>
        <w:tc>
          <w:tcPr/>
          <w:p>
            <w:pPr>
              <w:pStyle w:val="Compact"/>
              <w:jc w:val="left"/>
            </w:pPr>
            <w:r>
              <w:t xml:space="preserve">Jedes Battleground voll wettbewerbsfähig halten</w:t>
            </w:r>
          </w:p>
        </w:tc>
      </w:tr>
      <w:tr>
        <w:tc>
          <w:tcPr/>
          <w:p>
            <w:pPr>
              <w:pStyle w:val="Compact"/>
              <w:jc w:val="left"/>
            </w:pPr>
            <w:r>
              <w:t xml:space="preserve">Organisation zuerst</w:t>
            </w:r>
          </w:p>
        </w:tc>
        <w:tc>
          <w:tcPr/>
          <w:p>
            <w:pPr>
              <w:pStyle w:val="Compact"/>
            </w:pPr>
            <w:r>
              <w:t xml:space="preserve">$159 Millionen</w:t>
            </w:r>
          </w:p>
        </w:tc>
        <w:tc>
          <w:tcPr/>
          <w:p>
            <w:pPr>
              <w:pStyle w:val="Compact"/>
              <w:jc w:val="right"/>
            </w:pPr>
            <w:r>
              <w:t xml:space="preserve">$31 Millionen</w:t>
            </w:r>
          </w:p>
        </w:tc>
        <w:tc>
          <w:tcPr/>
          <w:p>
            <w:pPr>
              <w:pStyle w:val="Compact"/>
              <w:jc w:val="left"/>
            </w:pPr>
            <w:r>
              <w:t xml:space="preserve">Feldkapazität und vorzeitige Wahl werden entscheidend sein</w:t>
            </w:r>
          </w:p>
        </w:tc>
      </w:tr>
      <w:tr>
        <w:tc>
          <w:tcPr/>
          <w:p>
            <w:pPr>
              <w:pStyle w:val="Compact"/>
              <w:jc w:val="left"/>
            </w:pPr>
            <w:r>
              <w:t xml:space="preserve">Adaptive Reserve</w:t>
            </w:r>
          </w:p>
        </w:tc>
        <w:tc>
          <w:tcPr/>
          <w:p>
            <w:pPr>
              <w:pStyle w:val="Compact"/>
            </w:pPr>
            <w:r>
              <w:t xml:space="preserve">$132 Millionen</w:t>
            </w:r>
          </w:p>
        </w:tc>
        <w:tc>
          <w:tcPr/>
          <w:p>
            <w:pPr>
              <w:pStyle w:val="Compact"/>
              <w:jc w:val="right"/>
            </w:pPr>
            <w:r>
              <w:t xml:space="preserve">$58 Millionen</w:t>
            </w:r>
          </w:p>
        </w:tc>
        <w:tc>
          <w:tcPr/>
          <w:p>
            <w:pPr>
              <w:pStyle w:val="Compact"/>
              <w:jc w:val="left"/>
            </w:pPr>
            <w:r>
              <w:t xml:space="preserve">Zukünftige Ereignisse und Informationen werden Prioritäten verändern</w:t>
            </w:r>
          </w:p>
        </w:tc>
      </w:tr>
    </w:tbl>
    <w:bookmarkEnd w:id="21"/>
    <w:bookmarkEnd w:id="22"/>
    <w:bookmarkStart w:id="23" w:name="diskussionsfragen"/>
    <w:p>
      <w:pPr>
        <w:pStyle w:val="Heading1"/>
      </w:pPr>
      <w:r>
        <w:t xml:space="preserve">Diskussionsfragen</w:t>
      </w:r>
    </w:p>
    <w:p>
      <w:pPr>
        <w:numPr>
          <w:ilvl w:val="0"/>
          <w:numId w:val="1001"/>
        </w:numPr>
      </w:pPr>
      <w:r>
        <w:t xml:space="preserve">Was ist das zentrale Problem, dem Maya Chen gegenübersteht, und warum ist es schwieriger als die Auswahl des Staates mit der knappsten Umfrage?</w:t>
      </w:r>
    </w:p>
    <w:p>
      <w:pPr>
        <w:numPr>
          <w:ilvl w:val="0"/>
          <w:numId w:val="1001"/>
        </w:numPr>
      </w:pPr>
      <w:r>
        <w:t xml:space="preserve">Wie sollte die Kampagne Staaten bewerten, die sich in Wahlmännerstimmen, Umfragemargen, Wahlbeteiligung, Medienkosten und organisatorischer Kapazität unterscheiden?</w:t>
      </w:r>
    </w:p>
    <w:p>
      <w:pPr>
        <w:numPr>
          <w:ilvl w:val="0"/>
          <w:numId w:val="1001"/>
        </w:numPr>
      </w:pPr>
      <w:r>
        <w:t xml:space="preserve">Wie viel Geld sollte sofort verpflichtet werden, und wie viel sollte für den letzten Monat verfügbar bleiben?</w:t>
      </w:r>
    </w:p>
    <w:p>
      <w:pPr>
        <w:numPr>
          <w:ilvl w:val="0"/>
          <w:numId w:val="1001"/>
        </w:numPr>
      </w:pPr>
      <w:r>
        <w:t xml:space="preserve">Wie sollte die Kandidatenreise zwischen Überzeugungsarbeit, Mobilisierung, Spendensammlung, nationalen Medien und schneller Reaktion aufgeteilt werden?</w:t>
      </w:r>
    </w:p>
    <w:p>
      <w:pPr>
        <w:numPr>
          <w:ilvl w:val="0"/>
          <w:numId w:val="1001"/>
        </w:numPr>
      </w:pPr>
      <w:r>
        <w:t xml:space="preserve">Welche Werbe- und Wählerkontaktkanäle verdienen Priorität? Welche Beweise würden eine Verschiebung von Geld zwischen ihnen unterstützen?</w:t>
      </w:r>
    </w:p>
    <w:p>
      <w:pPr>
        <w:numPr>
          <w:ilvl w:val="0"/>
          <w:numId w:val="1001"/>
        </w:numPr>
      </w:pPr>
      <w:r>
        <w:t xml:space="preserve">Welche Informationen sollte die Kampagne in den nächsten drei Wochen sammeln? Welche vorgeschlagenen Umfrage- oder Forschungsaktivitäten erscheinen am wertvollsten?</w:t>
      </w:r>
    </w:p>
    <w:p>
      <w:pPr>
        <w:numPr>
          <w:ilvl w:val="0"/>
          <w:numId w:val="1001"/>
        </w:numPr>
      </w:pPr>
      <w:r>
        <w:t xml:space="preserve">Wie sollte die Kampagne eine echte Veränderung der Wählerhaltungen von Umfragerauschen oder einer Änderung der Wahlbeteiligungsannahmen unterscheiden?</w:t>
      </w:r>
    </w:p>
    <w:p>
      <w:pPr>
        <w:numPr>
          <w:ilvl w:val="0"/>
          <w:numId w:val="1001"/>
        </w:numPr>
      </w:pPr>
      <w:r>
        <w:t xml:space="preserve">Sollte sich die Kampagne auf einen engen Weg zu 270 konzentrieren oder glaubwürdige Operationen in allen sieben umkämpften Staaten aufrechterhalten?</w:t>
      </w:r>
    </w:p>
    <w:p>
      <w:pPr>
        <w:numPr>
          <w:ilvl w:val="0"/>
          <w:numId w:val="1001"/>
        </w:numPr>
      </w:pPr>
      <w:r>
        <w:t xml:space="preserve">Welche Indikatoren sollten die Erweiterung, Reduzierung oder Schließung einer Staatsoperation auslösen?</w:t>
      </w:r>
    </w:p>
    <w:p>
      <w:pPr>
        <w:numPr>
          <w:ilvl w:val="0"/>
          <w:numId w:val="1001"/>
        </w:numPr>
      </w:pPr>
      <w:r>
        <w:t xml:space="preserve">Wie sollte sich die Kampagne auf große Nachrichtenereignisse, gegnerische Ausgaben, gesundheitliche Bedenken des Kandidaten, Fehlinformationen oder Störungen der Wahlverwaltung vorbereiten?</w:t>
      </w:r>
    </w:p>
    <w:bookmarkEnd w:id="23"/>
    <w:bookmarkStart w:id="29"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4">
        <w:r>
          <w:rPr>
            <w:rStyle w:val="Hyperlink"/>
          </w:rPr>
          <w:t xml:space="preserve">Metrikpyramiden-Werkzeug</w:t>
        </w:r>
      </w:hyperlink>
      <w:r>
        <w:t xml:space="preserve">, um die verschiedenen Leistungsmetriken zu identifizieren und zu priorisieren. Klicken Sie auf das Oval, das die Metrik enthält, um festzustellen, ob es sich um eine zu maximierende Metrik (grün), eine zu minimierende Metrik (rot), ein Ziel handelt, das eine Untergrenze (hellgrün) oder eine Obergrenze (hellrot) darstellt, oder schließlich um ein Zielwert (lila).</w:t>
      </w:r>
    </w:p>
    <w:p>
      <w:pPr>
        <w:numPr>
          <w:ilvl w:val="0"/>
          <w:numId w:val="1002"/>
        </w:numPr>
      </w:pPr>
      <w:r>
        <w:t xml:space="preserve">Verwenden Sie das</w:t>
      </w:r>
      <w:r>
        <w:t xml:space="preserve"> </w:t>
      </w:r>
      <w:hyperlink r:id="rId25">
        <w:r>
          <w:rPr>
            <w:rStyle w:val="Hyperlink"/>
          </w:rPr>
          <w:t xml:space="preserve">Entscheidungspriorisierungs-Werkzeug</w:t>
        </w:r>
      </w:hyperlink>
      <w:r>
        <w:t xml:space="preserve">, um zunächst die verschiedenen Arten von Entscheidungen aufzulisten (verwenden Sie die</w:t>
      </w:r>
      <w:r>
        <w:t xml:space="preserve"> </w:t>
      </w:r>
      <w:hyperlink r:id="rId26">
        <w:r>
          <w:rPr>
            <w:rStyle w:val="Hyperlink"/>
          </w:rPr>
          <w:t xml:space="preserve">Arten von Entscheidungen</w:t>
        </w:r>
      </w:hyperlink>
      <w:r>
        <w:t xml:space="preserve"> </w:t>
      </w:r>
      <w:r>
        <w:t xml:space="preserve">als Leitfaden). Diese füllen dann die Zeilen der Matrix rechts, wobei die Spalten die Leistungsmetriken sind, sortiert von links nach rechts nach der Priorität in der obigen Pyramide. Klicken Sie auf jede Zelle, um anzugeben, ob die Auswirkung der Entscheidung auf jede Metrik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den größten Auswirkungen auf die wichtigsten Metriken oben stehen. Die Zellen in der oberen linken Ecke sollten die größte Konzentration an roten und orangefarbenen Zellen aufweisen. Identifizieren Sie an diesem Punkt die Entscheidungen, die in Ihrer Studie die meiste Aufmerksamkeit erhalten sollten. Wenn Sie keine Entscheidungen mit mittlerer oder hoher Auswirkung auf die wichtigsten Metriken haben, überarbeiten Sie Ihre Liste der Entscheidungen.</w:t>
      </w:r>
    </w:p>
    <w:p>
      <w:pPr>
        <w:numPr>
          <w:ilvl w:val="0"/>
          <w:numId w:val="1002"/>
        </w:numPr>
      </w:pPr>
      <w:r>
        <w:t xml:space="preserve">Wiederholen Sie den Prozess, um die Unsicherheiten mit dem</w:t>
      </w:r>
      <w:r>
        <w:t xml:space="preserve"> </w:t>
      </w:r>
      <w:hyperlink r:id="rId27">
        <w:r>
          <w:rPr>
            <w:rStyle w:val="Hyperlink"/>
          </w:rPr>
          <w:t xml:space="preserve">Unsicherheitspriorisierungs-Werkzeug</w:t>
        </w:r>
      </w:hyperlink>
      <w:r>
        <w:t xml:space="preserve"> </w:t>
      </w:r>
      <w:r>
        <w:t xml:space="preserve">aufzulisten und zu priorisieren. Verwenden Sie die</w:t>
      </w:r>
      <w:r>
        <w:t xml:space="preserve"> </w:t>
      </w:r>
      <w:hyperlink r:id="rId28">
        <w:r>
          <w:rPr>
            <w:rStyle w:val="Hyperlink"/>
          </w:rPr>
          <w:t xml:space="preserve">Kategorien der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durchschnittliche Leistung im Zeitverlauf erfasst?</w:t>
      </w:r>
    </w:p>
    <w:p>
      <w:pPr>
        <w:numPr>
          <w:ilvl w:val="1"/>
          <w:numId w:val="1003"/>
        </w:numPr>
      </w:pPr>
      <w:r>
        <w:t xml:space="preserve">Welche Unsicherheitsquellen stellen Formen von Risiko dar, die nicht angemessen durch Durchschnittswerte erfasst werden?</w:t>
      </w:r>
    </w:p>
    <w:p>
      <w:pPr>
        <w:numPr>
          <w:ilvl w:val="0"/>
          <w:numId w:val="1002"/>
        </w:numPr>
      </w:pPr>
      <w:r>
        <w:t xml:space="preserve">Wählen Sie die einzelne Entscheidung, die die größte Auswirkung auf die wichtigste Metrik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Leistungsmetriken, bei denen die Entscheidung eine hohe oder mittlere Auswirkung hätte.</w:t>
      </w:r>
    </w:p>
    <w:p>
      <w:pPr>
        <w:numPr>
          <w:ilvl w:val="0"/>
          <w:numId w:val="1002"/>
        </w:numPr>
      </w:pPr>
      <w:r>
        <w:t xml:space="preserve">Identifizieren Sie anhand derselben Entscheidung, die Sie in (7) identifiziert haben, die Personen, Abteilungen, Gruppen oder Organisationen, mit denen Sie zusammenarbeiten müssten, um die Entscheidung umzusetzen.</w:t>
      </w:r>
    </w:p>
    <w:bookmarkEnd w:id="29"/>
    <w:bookmarkStart w:id="30" w:name="quellenhinweis"/>
    <w:p>
      <w:pPr>
        <w:pStyle w:val="Heading1"/>
      </w:pPr>
      <w:r>
        <w:t xml:space="preserve">Quellenhinweis</w:t>
      </w:r>
    </w:p>
    <w:p>
      <w:pPr>
        <w:pStyle w:val="FirstParagraph"/>
      </w:pPr>
      <w:r>
        <w:t xml:space="preserve">Die Kampagne, Kandidaten, Parteien, Mitarbeiter, Umfrageschätzungen, Finanzprognosen und Exhibits sind fiktiv. Die konzeptionelle Grundlage ist der Abschnitt</w:t>
      </w:r>
      <w:r>
        <w:t xml:space="preserve"> </w:t>
      </w:r>
      <w:r>
        <w:t xml:space="preserve">“Running a presidential election”</w:t>
      </w:r>
      <w:r>
        <w:t xml:space="preserve"> </w:t>
      </w:r>
      <w:r>
        <w:t xml:space="preserve">aus Warren B. Powell, Bridging Decision Problems, Volume I, Kapitel 2. Dieser Abschnitt beschreibt die Präsidentschaftskampagne als ein budgetbeschränktes operatives Problem, das den Einsatz von Kandidaten und Mitarbeitern, die Informationssammlung, die Verbreitung von Botschaften, Werbung, Wahlbüros, Umfragen, Spenden, Ausgaben, sich verändernde Beliebtheit, Umfrageverzerrung, Nachrichtenereignisse, gegnerische Angriffe, externe Ausgaben und die Gesundheit des Kandidaten umfasst.</w:t>
      </w:r>
    </w:p>
    <w:p>
      <w:pPr>
        <w:pStyle w:val="BodyText"/>
      </w:pPr>
      <w:r>
        <w:t xml:space="preserve">Öffentlicher Kontext: Das U.S. Census Bureau berichtete, dass 174 Millionen wahlberechtigte Bürger 2024 registriert waren und 154 Millionen bei der Präsidentschaftswahl 2024 wählten, was einer Wahlbeteiligung von 65,3 Prozent entspricht; 39,6 Prozent wählten persönlich am Wahltag, 30,7 Prozent wählten persönlich vorzeitig, und 29,0 Prozent wählten per Briefwahl. Die Federal Election Commission berichtete ein offizielles Ergebnis 2024 von 312 zu 226 Wahlmännerstimmen und 155.238.302 insgesamt abgegebenen Stimmen für Präsidentschaftskandidaten. FEC-Zusammenfassungen zeigen auch, dass föderale Kandidaten, Parteien und politische Komitees während des Zyklus 2023-2024 viele Milliarden Dollar abwickelten. Quellen: U.S. Census Bureau,</w:t>
      </w:r>
      <w:r>
        <w:t xml:space="preserve"> </w:t>
      </w:r>
      <w:r>
        <w:t xml:space="preserve">“2024 Presidential Election Voting and Registration Tables Now Available”</w:t>
      </w:r>
      <w:r>
        <w:t xml:space="preserve"> </w:t>
      </w:r>
      <w:r>
        <w:t xml:space="preserve">(30. April 2025); Federal Election Commission,</w:t>
      </w:r>
      <w:r>
        <w:t xml:space="preserve"> </w:t>
      </w:r>
      <w:r>
        <w:t xml:space="preserve">“Official 2024 Presidential General Election Results”</w:t>
      </w:r>
      <w:r>
        <w:t xml:space="preserve">; und FEC,</w:t>
      </w:r>
      <w:r>
        <w:t xml:space="preserve"> </w:t>
      </w:r>
      <w:r>
        <w:t xml:space="preserve">“Statistical Summary of 24-Month Campaign Activity of the 2023-2024 Election Cycle”</w:t>
      </w:r>
      <w:r>
        <w:t xml:space="preserve"> </w:t>
      </w:r>
      <w:r>
        <w:t xml:space="preserve">(23. April 2025).</w:t>
      </w:r>
    </w:p>
    <w:bookmarkEnd w:id="30"/>
    <w:bookmarkStart w:id="33" w:name="chatgpt-notizen"/>
    <w:p>
      <w:pPr>
        <w:pStyle w:val="Heading1"/>
      </w:pPr>
      <w:r>
        <w:t xml:space="preserve">ChatGPT-Notizen</w:t>
      </w:r>
    </w:p>
    <w:bookmarkStart w:id="31" w:name="prompt"/>
    <w:p>
      <w:pPr>
        <w:pStyle w:val="Heading2"/>
      </w:pPr>
      <w:r>
        <w:t xml:space="preserve">Prompt</w:t>
      </w:r>
    </w:p>
    <w:p>
      <w:pPr>
        <w:pStyle w:val="FirstParagraph"/>
      </w:pPr>
      <w:r>
        <w:t xml:space="preserve">Schreiben Sie eine 4-6-seitige Fallstudie basierend auf dem Material im Abschnitt unter https://warrenpowell.org/bridging-vol1/chapter-2/#presidentialelection. Erstellen Sie einen Kontext basierend auf den Metriken, Entscheidungen und Unsicherheiten in diesem Abschnitt, jedoch ohne explizit darauf hinzuweisen. Begründen Sie Ihr Fallproblem mit Daten.</w:t>
      </w:r>
    </w:p>
    <w:bookmarkEnd w:id="31"/>
    <w:bookmarkStart w:id="32" w:name="zusammenfassung"/>
    <w:p>
      <w:pPr>
        <w:pStyle w:val="Heading2"/>
      </w:pPr>
      <w:r>
        <w:t xml:space="preserve">Zusammenfassung</w:t>
      </w:r>
    </w:p>
    <w:p>
      <w:pPr>
        <w:pStyle w:val="FirstParagraph"/>
      </w:pPr>
      <w:r>
        <w:t xml:space="preserve">Die Fallstudie platziert eine fiktive Präsidentschaftskampagne elf Wochen vor dem Wahltag, mit 93 Wahlmännerstimmen verteilt auf sieben umkämpfte Staaten. Sie untersucht konkurrierende Anforderungen an Kandidatenreisen, Werbung, Wahlbüros, Umfragen, Spendensammlung, Wählermobilisierung und finanzielle Reserven, ohne eine bevorzugte Strategie zu identifizieren.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2026-09-11T16:18:58Z</dcterms:created>
  <dcterms:modified xsi:type="dcterms:W3CDTF">2026-09-11T16:18:58Z</dcterms:modified>
</cp:coreProperties>
</file>

<file path=docProps/custom.xml><?xml version="1.0" encoding="utf-8"?>
<Properties xmlns="http://schemas.openxmlformats.org/officeDocument/2006/custom-properties" xmlns:vt="http://schemas.openxmlformats.org/officeDocument/2006/docPropsVTypes"/>
</file>