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NORTHBRIDGE INDUSTRIAL SYSTEMS</w:t>
      </w:r>
    </w:p>
    <w:p>
      <w:pPr>
        <w:pStyle w:val="BodyText"/>
      </w:pPr>
      <w:r>
        <w:t xml:space="preserve">Die Neunzig-Tage-Zahlungsentscheidung</w:t>
      </w:r>
    </w:p>
    <w:p>
      <w:pPr>
        <w:pStyle w:val="BodyText"/>
      </w:pPr>
      <w:r>
        <w:t xml:space="preserve">Ein Fallstudie zur Lieferkettenfinanzierung über den Schutz der Liquidität, ohne kritische Lieferanten zu destabilisieren</w:t>
      </w:r>
    </w:p>
    <w:p>
      <w:pPr>
        <w:pStyle w:val="BodyText"/>
      </w:pPr>
      <w:r>
        <w:t xml:space="preserve">Diese Fallstudie ist fiktiv und für die Lehrdiskussion gedacht. Namen, Ereignisse, Organisationen und Betriebsdaten sind erfunden, obwohl der Branchenkontext durch öffentliche Quellen informiert ist.</w:t>
      </w:r>
    </w:p>
    <w:tbl>
      <w:tblPr>
        <w:tblStyle w:val="Table"/>
        <w:tblW w:type="auto" w:w="0"/>
        <w:tblLook w:firstRow="0" w:lastRow="0" w:firstColumn="0" w:lastColumn="0" w:noHBand="0" w:noVBand="0" w:val="0000"/>
      </w:tblPr>
      <w:tblGrid>
        <w:gridCol w:w="7920"/>
      </w:tblGrid>
      <w:tr>
        <w:tc>
          <w:tcPr/>
          <w:p>
            <w:pPr>
              <w:pStyle w:val="Compact"/>
            </w:pPr>
            <w:r>
              <w:t xml:space="preserve">Northbridge verfügt über genügend Barmittel, um seine eigenen kurzfristigen Verpflichtungen zu erfüllen, aber nicht genug, um zolltarifbedingte Lagerkäufe zu absorbieren, sein Kreditrating zu bewahren und die Zahlung an jeden Lieferanten zu beschleunigen, der angibt, unter Druck zu stehen. Ein vorgeschlagenes Lieferantenfinanzierungsprogramm könnte helfen, würde aber auch Northbridges Zahlungsziele verlängern und neue Abhängigkeiten von Banken, Versicherern und Transaktionsdaten schaffen.</w:t>
            </w:r>
          </w:p>
        </w:tc>
      </w:tr>
    </w:tbl>
    <w:p>
      <w:r>
        <w:pict>
          <v:rect style="width:0;height:1.5pt" o:hralign="center" o:hrstd="t" o:hr="t"/>
        </w:pict>
      </w:r>
    </w:p>
    <w:bookmarkStart w:id="10" w:name="Xecea7b3b64d41562047fb41fc79fe8dad14d2d7"/>
    <w:p>
      <w:pPr>
        <w:pStyle w:val="Heading1"/>
      </w:pPr>
      <w:r>
        <w:t xml:space="preserve">Ein starkes Auftragsbuch, ein sich verengender Cash-Zyklus</w:t>
      </w:r>
    </w:p>
    <w:p>
      <w:pPr>
        <w:pStyle w:val="FirstParagraph"/>
      </w:pPr>
      <w:r>
        <w:t xml:space="preserve">Um 7:10 Uhr an einem Dienstagmorgen im September 2026 öffnete Maya Chen, Finanzvorständin von Northbridge Industrial Systems, eine E-Mail vom Inhaber von AlloyWorks Precision, einem familiengeführten Zerspanungslieferanten in Ohio. AlloyWorks stellte ein kleines, aber wesentliches Ventilgehäuse her, das in Northbridges industriellen Kühlsystemen verwendet wurde. Die Nachricht des Lieferanten war kurz: Wenn Northbridge die Zahlungsfrist nicht von 75 Tagen auf 30 Tage verkürzen könnte, müsste AlloyWorks die Produktion reduzieren oder einen Käufer suchen.</w:t>
      </w:r>
    </w:p>
    <w:p>
      <w:pPr>
        <w:pStyle w:val="BodyText"/>
      </w:pPr>
      <w:r>
        <w:t xml:space="preserve">Northbridge fertigte Pumpen, Steuerungen und thermische Managementbaugruppen für Rechenzentren, Lebensmittelverarbeiter, Krankenhäuser und fortschrittliche Fertigungsanlagen. Der Jahresumsatz hatte $2,8 Milliarden erreicht, und der Auftragsbestand war der höchste in der Geschichte des Unternehmens. Dennoch hatte sich die Cash-Conversion verschlechtert. Kunden verlangten längere Zahlungsziele, die Lagerbestände waren gestiegen, um sich gegen Versandunterbrechungen abzusichern, und neue Zölle hatten die Kosten für importierte Motoren, elektronische Steuerungen und Spezialmetalle erhöht. Das Unternehmen war weiterhin profitabel geblieben, aber Barmittel wurden schneller aufgebraucht, als die Gewinne vermuten ließen.</w:t>
      </w:r>
    </w:p>
    <w:p>
      <w:pPr>
        <w:pStyle w:val="BodyText"/>
      </w:pPr>
      <w:r>
        <w:t xml:space="preserve">Das Problem betraf mehr als nur einen Lieferanten. Der Einkauf hatte 47 Lieferanten als operativ kritisch und finanziell verwundbar identifiziert. Zusammen repräsentierten sie nur 18 % des jährlichen Einkaufsvolumens, lieferten aber Teile für 63 % von Northbridges Fertigprodukten. Mehreren fehlte der Zugang zu günstigem Bankkredit. Andere nutzten revolvierende Kreditlinien mit variablen Zinssätzen, persönlichen Bürgschaften oder Online-Kreditgebern. Als Northbridge im Vorjahr seine Standardzahlungsziele von 60 auf 75 Tage verlängerte, akzeptierten viele Lieferanten die Änderung ohne Widerspruch. Nun berichteten Einkaufsleiter von verzögerten Werkzeugkäufen, reduzierten Überstunden und Forderungen nach Preiserhöhungen.</w:t>
      </w:r>
    </w:p>
    <w:p>
      <w:pPr>
        <w:pStyle w:val="BodyText"/>
      </w:pPr>
      <w:r>
        <w:t xml:space="preserve">Der breitere Markt bot wenig Trost. Die Umfrage der Federal Reserve Banks zu Kleinunternehmen 2026 berichtete, dass 60 % der Firmen im Vorjahr eine Finanzierung beantragt hatten, oft um Betriebsausgaben zu decken, und nur 42 % der Antragsteller den vollen gewünschten Betrag erhielten. Fertigungsunternehmen gehörten ebenfalls zu denjenigen, die am häufigsten zollbedingten Kostendruck meldeten. Gleichzeitig expandierte die Lieferkettenfinanzierung rasant: Eine Studie des Secured Finance Network aus dem Jahr 2025 schätzte, dass etwa 12 % der US-Handelsforderungen über solche Vereinbarungen finanziert wurden, was einem jährlichen Volumen von etwa $2,56 Billionen entsprach.</w:t>
      </w:r>
    </w:p>
    <w:bookmarkStart w:id="9" w:name="X2efa982416d2cf0818da6d436c05f0b6203f557"/>
    <w:p>
      <w:pPr>
        <w:pStyle w:val="Heading2"/>
      </w:pPr>
      <w:r>
        <w:t xml:space="preserve">Exhibit 1. Northbridges Working-Capital-Position</w:t>
      </w:r>
    </w:p>
    <w:tbl>
      <w:tblPr>
        <w:tblStyle w:val="Table"/>
        <w:tblW w:type="pct" w:w="4872"/>
        <w:tblLayout w:type="fixed"/>
        <w:tblLook w:firstRow="1" w:lastRow="0" w:firstColumn="0" w:lastColumn="0" w:noHBand="0" w:noVBand="0" w:val="0020"/>
      </w:tblPr>
      <w:tblGrid>
        <w:gridCol w:w="2944"/>
        <w:gridCol w:w="1421"/>
        <w:gridCol w:w="1421"/>
        <w:gridCol w:w="1929"/>
      </w:tblGrid>
      <w:tr>
        <w:trPr>
          <w:tblHeader w:val="on"/>
        </w:trPr>
        <w:tc>
          <w:tcPr/>
          <w:p>
            <w:pPr>
              <w:pStyle w:val="Compact"/>
              <w:jc w:val="left"/>
            </w:pPr>
            <w:r>
              <w:t xml:space="preserve">Kennzahl</w:t>
            </w:r>
          </w:p>
        </w:tc>
        <w:tc>
          <w:tcPr/>
          <w:p>
            <w:pPr>
              <w:pStyle w:val="Compact"/>
              <w:jc w:val="left"/>
            </w:pPr>
            <w:r>
              <w:t xml:space="preserve">GJ2024</w:t>
            </w:r>
          </w:p>
        </w:tc>
        <w:tc>
          <w:tcPr/>
          <w:p>
            <w:pPr>
              <w:pStyle w:val="Compact"/>
              <w:jc w:val="left"/>
            </w:pPr>
            <w:r>
              <w:t xml:space="preserve">GJ2025</w:t>
            </w:r>
          </w:p>
        </w:tc>
        <w:tc>
          <w:tcPr/>
          <w:p>
            <w:pPr>
              <w:pStyle w:val="Compact"/>
              <w:jc w:val="left"/>
            </w:pPr>
            <w:r>
              <w:t xml:space="preserve">Aktuelle Prognose</w:t>
            </w:r>
          </w:p>
        </w:tc>
      </w:tr>
      <w:tr>
        <w:tc>
          <w:tcPr/>
          <w:p>
            <w:pPr>
              <w:pStyle w:val="Compact"/>
              <w:jc w:val="left"/>
            </w:pPr>
            <w:r>
              <w:t xml:space="preserve">Umsatz</w:t>
            </w:r>
          </w:p>
        </w:tc>
        <w:tc>
          <w:tcPr/>
          <w:p>
            <w:pPr>
              <w:pStyle w:val="Compact"/>
              <w:jc w:val="left"/>
            </w:pPr>
            <w:r>
              <w:t xml:space="preserve">$2,42 Mrd.</w:t>
            </w:r>
          </w:p>
        </w:tc>
        <w:tc>
          <w:tcPr/>
          <w:p>
            <w:pPr>
              <w:pStyle w:val="Compact"/>
              <w:jc w:val="left"/>
            </w:pPr>
            <w:r>
              <w:t xml:space="preserve">$2,61 Mrd.</w:t>
            </w:r>
          </w:p>
        </w:tc>
        <w:tc>
          <w:tcPr/>
          <w:p>
            <w:pPr>
              <w:pStyle w:val="Compact"/>
              <w:jc w:val="left"/>
            </w:pPr>
            <w:r>
              <w:t xml:space="preserve">$2,80 Mrd.</w:t>
            </w:r>
          </w:p>
        </w:tc>
      </w:tr>
      <w:tr>
        <w:tc>
          <w:tcPr/>
          <w:p>
            <w:pPr>
              <w:pStyle w:val="Compact"/>
              <w:jc w:val="left"/>
            </w:pPr>
            <w:r>
              <w:t xml:space="preserve">EBITDA-Marge</w:t>
            </w:r>
          </w:p>
        </w:tc>
        <w:tc>
          <w:tcPr/>
          <w:p>
            <w:pPr>
              <w:pStyle w:val="Compact"/>
              <w:jc w:val="left"/>
            </w:pPr>
            <w:r>
              <w:t xml:space="preserve">13,8 %</w:t>
            </w:r>
          </w:p>
        </w:tc>
        <w:tc>
          <w:tcPr/>
          <w:p>
            <w:pPr>
              <w:pStyle w:val="Compact"/>
              <w:jc w:val="left"/>
            </w:pPr>
            <w:r>
              <w:t xml:space="preserve">13,2 %</w:t>
            </w:r>
          </w:p>
        </w:tc>
        <w:tc>
          <w:tcPr/>
          <w:p>
            <w:pPr>
              <w:pStyle w:val="Compact"/>
              <w:jc w:val="left"/>
            </w:pPr>
            <w:r>
              <w:t xml:space="preserve">12,6 %</w:t>
            </w:r>
          </w:p>
        </w:tc>
      </w:tr>
      <w:tr>
        <w:tc>
          <w:tcPr/>
          <w:p>
            <w:pPr>
              <w:pStyle w:val="Compact"/>
              <w:jc w:val="left"/>
            </w:pPr>
            <w:r>
              <w:t xml:space="preserve">Debitorenlaufzeit (DSO)</w:t>
            </w:r>
          </w:p>
        </w:tc>
        <w:tc>
          <w:tcPr/>
          <w:p>
            <w:pPr>
              <w:pStyle w:val="Compact"/>
              <w:jc w:val="left"/>
            </w:pPr>
            <w:r>
              <w:t xml:space="preserve">51</w:t>
            </w:r>
          </w:p>
        </w:tc>
        <w:tc>
          <w:tcPr/>
          <w:p>
            <w:pPr>
              <w:pStyle w:val="Compact"/>
              <w:jc w:val="left"/>
            </w:pPr>
            <w:r>
              <w:t xml:space="preserve">57</w:t>
            </w:r>
          </w:p>
        </w:tc>
        <w:tc>
          <w:tcPr/>
          <w:p>
            <w:pPr>
              <w:pStyle w:val="Compact"/>
              <w:jc w:val="left"/>
            </w:pPr>
            <w:r>
              <w:t xml:space="preserve">64</w:t>
            </w:r>
          </w:p>
        </w:tc>
      </w:tr>
      <w:tr>
        <w:tc>
          <w:tcPr/>
          <w:p>
            <w:pPr>
              <w:pStyle w:val="Compact"/>
              <w:jc w:val="left"/>
            </w:pPr>
            <w:r>
              <w:t xml:space="preserve">Lagerreichweite (Tage)</w:t>
            </w:r>
          </w:p>
        </w:tc>
        <w:tc>
          <w:tcPr/>
          <w:p>
            <w:pPr>
              <w:pStyle w:val="Compact"/>
              <w:jc w:val="left"/>
            </w:pPr>
            <w:r>
              <w:t xml:space="preserve">72</w:t>
            </w:r>
          </w:p>
        </w:tc>
        <w:tc>
          <w:tcPr/>
          <w:p>
            <w:pPr>
              <w:pStyle w:val="Compact"/>
              <w:jc w:val="left"/>
            </w:pPr>
            <w:r>
              <w:t xml:space="preserve">84</w:t>
            </w:r>
          </w:p>
        </w:tc>
        <w:tc>
          <w:tcPr/>
          <w:p>
            <w:pPr>
              <w:pStyle w:val="Compact"/>
              <w:jc w:val="left"/>
            </w:pPr>
            <w:r>
              <w:t xml:space="preserve">96</w:t>
            </w:r>
          </w:p>
        </w:tc>
      </w:tr>
      <w:tr>
        <w:tc>
          <w:tcPr/>
          <w:p>
            <w:pPr>
              <w:pStyle w:val="Compact"/>
              <w:jc w:val="left"/>
            </w:pPr>
            <w:r>
              <w:t xml:space="preserve">Kreditorenlaufzeit (DPO)</w:t>
            </w:r>
          </w:p>
        </w:tc>
        <w:tc>
          <w:tcPr/>
          <w:p>
            <w:pPr>
              <w:pStyle w:val="Compact"/>
              <w:jc w:val="left"/>
            </w:pPr>
            <w:r>
              <w:t xml:space="preserve">58</w:t>
            </w:r>
          </w:p>
        </w:tc>
        <w:tc>
          <w:tcPr/>
          <w:p>
            <w:pPr>
              <w:pStyle w:val="Compact"/>
              <w:jc w:val="left"/>
            </w:pPr>
            <w:r>
              <w:t xml:space="preserve">69</w:t>
            </w:r>
          </w:p>
        </w:tc>
        <w:tc>
          <w:tcPr/>
          <w:p>
            <w:pPr>
              <w:pStyle w:val="Compact"/>
              <w:jc w:val="left"/>
            </w:pPr>
            <w:r>
              <w:t xml:space="preserve">75</w:t>
            </w:r>
          </w:p>
        </w:tc>
      </w:tr>
      <w:tr>
        <w:tc>
          <w:tcPr/>
          <w:p>
            <w:pPr>
              <w:pStyle w:val="Compact"/>
              <w:jc w:val="left"/>
            </w:pPr>
            <w:r>
              <w:t xml:space="preserve">Freier Cashflow</w:t>
            </w:r>
          </w:p>
        </w:tc>
        <w:tc>
          <w:tcPr/>
          <w:p>
            <w:pPr>
              <w:pStyle w:val="Compact"/>
              <w:jc w:val="left"/>
            </w:pPr>
            <w:r>
              <w:t xml:space="preserve">$146 Mio.</w:t>
            </w:r>
          </w:p>
        </w:tc>
        <w:tc>
          <w:tcPr/>
          <w:p>
            <w:pPr>
              <w:pStyle w:val="Compact"/>
              <w:jc w:val="left"/>
            </w:pPr>
            <w:r>
              <w:t xml:space="preserve">$82 Mio.</w:t>
            </w:r>
          </w:p>
        </w:tc>
        <w:tc>
          <w:tcPr/>
          <w:p>
            <w:pPr>
              <w:pStyle w:val="Compact"/>
              <w:jc w:val="left"/>
            </w:pPr>
            <w:r>
              <w:t xml:space="preserve">$31 Mio.</w:t>
            </w:r>
          </w:p>
        </w:tc>
      </w:tr>
      <w:tr>
        <w:tc>
          <w:tcPr/>
          <w:p>
            <w:pPr>
              <w:pStyle w:val="Compact"/>
              <w:jc w:val="left"/>
            </w:pPr>
            <w:r>
              <w:t xml:space="preserve">Zahlungsmittel und Äquivalent</w:t>
            </w:r>
          </w:p>
        </w:tc>
        <w:tc>
          <w:tcPr/>
          <w:p>
            <w:pPr>
              <w:pStyle w:val="Compact"/>
              <w:jc w:val="left"/>
            </w:pPr>
            <w:r>
              <w:t xml:space="preserve">e $238 Mio.</w:t>
            </w:r>
          </w:p>
        </w:tc>
        <w:tc>
          <w:tcPr/>
          <w:p>
            <w:pPr>
              <w:pStyle w:val="Compact"/>
              <w:jc w:val="left"/>
            </w:pPr>
            <w:r>
              <w:t xml:space="preserve">$201 Mio.</w:t>
            </w:r>
          </w:p>
        </w:tc>
        <w:tc>
          <w:tcPr/>
          <w:p>
            <w:pPr>
              <w:pStyle w:val="Compact"/>
              <w:jc w:val="left"/>
            </w:pPr>
            <w:r>
              <w:t xml:space="preserve">$167 Mio.</w:t>
            </w:r>
          </w:p>
        </w:tc>
      </w:tr>
      <w:tr>
        <w:tc>
          <w:tcPr/>
          <w:p>
            <w:pPr>
              <w:pStyle w:val="Compact"/>
              <w:jc w:val="left"/>
            </w:pPr>
            <w:r>
              <w:t xml:space="preserve">Verfügbare revolvierende Kred</w:t>
            </w:r>
          </w:p>
        </w:tc>
        <w:tc>
          <w:tcPr/>
          <w:p>
            <w:pPr>
              <w:pStyle w:val="Compact"/>
              <w:jc w:val="left"/>
            </w:pPr>
            <w:r>
              <w:t xml:space="preserve">itlinie $420</w:t>
            </w:r>
          </w:p>
        </w:tc>
        <w:tc>
          <w:tcPr/>
          <w:p>
            <w:pPr>
              <w:pStyle w:val="Compact"/>
              <w:jc w:val="left"/>
            </w:pPr>
            <w:r>
              <w:t xml:space="preserve">Mio. $335 Mio</w:t>
            </w:r>
          </w:p>
        </w:tc>
        <w:tc>
          <w:tcPr/>
          <w:p>
            <w:pPr>
              <w:pStyle w:val="Compact"/>
              <w:jc w:val="left"/>
            </w:pPr>
            <w:r>
              <w:t xml:space="preserve">. $280 Mio.</w:t>
            </w:r>
          </w:p>
        </w:tc>
      </w:tr>
    </w:tbl>
    <w:bookmarkEnd w:id="9"/>
    <w:bookmarkEnd w:id="10"/>
    <w:bookmarkStart w:id="12" w:name="das-vorgeschlagene-programm"/>
    <w:p>
      <w:pPr>
        <w:pStyle w:val="Heading1"/>
      </w:pPr>
      <w:r>
        <w:t xml:space="preserve">Das vorgeschlagene Programm</w:t>
      </w:r>
    </w:p>
    <w:p>
      <w:pPr>
        <w:pStyle w:val="FirstParagraph"/>
      </w:pPr>
      <w:r>
        <w:t xml:space="preserve">Northbridges Hausbank schlug ein käufergeführtes Lieferantenfinanzierungsprogramm vor. Nachdem Northbridge eine Rechnung in seinem Unternehmenssystem genehmigt hatte, konnte ein berechtigter Lieferant bei der Bank eine vorzeitige Zahlung beantragen. Die Bank würde den Lieferanten mit einem Abschlag bezahlen, der hauptsächlich auf Northbridges Kreditqualität basierte; Northbridge würde die Bank zum vertraglichen Fälligkeitstermin der Rechnung bezahlen. Die Teilnahme wäre freiwillig.</w:t>
      </w:r>
    </w:p>
    <w:p>
      <w:pPr>
        <w:pStyle w:val="BodyText"/>
      </w:pPr>
      <w:r>
        <w:t xml:space="preserve">Die Bank argumentierte, dass das Programm beide Seiten der Beziehung verbessern könnte. Lieferanten könnten Barmittel innerhalb weniger Tage erhalten, statt 75 oder 90 Tage zu warten. Northbridge könnte seine Zahlungsziele bewahren oder sogar verlängern, ohne Lieferanten zu zwingen, die Verzögerung zu ihren eigenen Kreditkonditionen zu finanzieren. Automatisierte Rechnungsgenehmigung könnte auch Streitigkeiten und Verwaltungsaufwand reduzieren. Die Bank schlug ein anfängliches Limit von $350 Millionen an genehmigten Rechnungen vor und schätzte die jährlichen Programmgebühren für Northbridge auf $2,4 Millionen, ohne den von teilnehmenden Lieferanten gezahlten Abschlag.</w:t>
      </w:r>
    </w:p>
    <w:p>
      <w:pPr>
        <w:pStyle w:val="BodyText"/>
      </w:pPr>
      <w:r>
        <w:t xml:space="preserve">Chen sah mehrere Komplikationen. Die Bank würde nur Lieferanten akzeptieren, die Know-your-Customer-, Sanktions-, Betrugs- und Bonitätsprüfungen bestehen. Kleine Lieferanten mit schwacher Bonität könnten ausgeschlossen werden, selbst wenn sie am dringendsten Bedarf hätten. Lieferanten könnten das Programm als Druck interpretieren, längere Zahlungsziele zu akzeptieren. Northbridge müsste Rechnungs- und Lieferantendaten über eine neue Plattform bereitstellen, was Cybersicherheits- und Implementierungsrisiken schaffen würde. Bilanzierungsvorschriften erforderten zusätzliche Offenlegungen zu Lieferantenfinanzierungsverpflichtungen, und Analysten könnten ein wachsendes Programm als schuldenähnlich betrachten, selbst wenn es weiterhin als Verbindlichkeiten aus Lieferungen und Leistungen klassifiziert würde.</w:t>
      </w:r>
    </w:p>
    <w:p>
      <w:pPr>
        <w:pStyle w:val="BodyText"/>
      </w:pPr>
      <w:r>
        <w:t xml:space="preserve">Es stellte sich auch die Frage, wer zahlen sollte. Nach dem Vorschlag der Bank würde ein Lieferant, der 60 Tage vorzeitige Zahlung beantragt, einen Abschlag zahlen, der einem annualisierten Zinssatz von etwa 6,4 % entspricht. Für manche Lieferanten lag dies weit unter ihren aktuellen Kreditkosten. Für andere, insbesondere größere multinationale Lieferanten, war es unattraktiv. Northbridge könnte den Abschlag für ausgewählte Lieferanten ganz oder teilweise subventionieren, aber dies würde den Working-Capital-Nutzen verringern und Fairnessdebatten hervorrufen.</w:t>
      </w:r>
    </w:p>
    <w:bookmarkStart w:id="11" w:name="X94cb6a767dc8015896d3e074711b3d37801cdea"/>
    <w:p>
      <w:pPr>
        <w:pStyle w:val="Heading2"/>
      </w:pPr>
      <w:r>
        <w:t xml:space="preserve">Exhibit 2. Beispielhafte Lieferantenökonomie</w:t>
      </w:r>
    </w:p>
    <w:tbl>
      <w:tblPr>
        <w:tblStyle w:val="Table"/>
        <w:tblW w:type="pct" w:w="4945"/>
        <w:tblLayout w:type="fixed"/>
        <w:tblLook w:firstRow="1" w:lastRow="0" w:firstColumn="0" w:lastColumn="0" w:noHBand="0" w:noVBand="0" w:val="0020"/>
      </w:tblPr>
      <w:tblGrid>
        <w:gridCol w:w="1436"/>
        <w:gridCol w:w="1523"/>
        <w:gridCol w:w="1087"/>
        <w:gridCol w:w="1044"/>
        <w:gridCol w:w="1610"/>
        <w:gridCol w:w="1131"/>
      </w:tblGrid>
      <w:tr>
        <w:trPr>
          <w:tblHeader w:val="on"/>
        </w:trPr>
        <w:tc>
          <w:tcPr/>
          <w:p>
            <w:pPr>
              <w:pStyle w:val="Compact"/>
              <w:jc w:val="left"/>
            </w:pPr>
            <w:r>
              <w:t xml:space="preserve">Lieferantengruppe</w:t>
            </w:r>
          </w:p>
        </w:tc>
        <w:tc>
          <w:tcPr/>
          <w:p>
            <w:pPr>
              <w:pStyle w:val="Compact"/>
              <w:jc w:val="left"/>
            </w:pPr>
            <w:r>
              <w:t xml:space="preserve">Jährlicher Umsatz mit Northbridge</w:t>
            </w:r>
          </w:p>
        </w:tc>
        <w:tc>
          <w:tcPr/>
          <w:p>
            <w:pPr>
              <w:pStyle w:val="Compact"/>
              <w:jc w:val="center"/>
            </w:pPr>
            <w:r>
              <w:t xml:space="preserve">Aktuelle Zahlungsfrist</w:t>
            </w:r>
          </w:p>
        </w:tc>
        <w:tc>
          <w:tcPr/>
          <w:p>
            <w:pPr>
              <w:pStyle w:val="Compact"/>
              <w:jc w:val="center"/>
            </w:pPr>
            <w:r>
              <w:t xml:space="preserve">Typische Kreditkosten</w:t>
            </w:r>
          </w:p>
        </w:tc>
        <w:tc>
          <w:tcPr/>
          <w:p>
            <w:pPr>
              <w:pStyle w:val="Compact"/>
              <w:jc w:val="center"/>
            </w:pPr>
            <w:r>
              <w:t xml:space="preserve">Vorgeschlagene Vorabzahlungskosten</w:t>
            </w:r>
          </w:p>
        </w:tc>
        <w:tc>
          <w:tcPr/>
          <w:p>
            <w:pPr>
              <w:pStyle w:val="Compact"/>
              <w:jc w:val="center"/>
            </w:pPr>
            <w:r>
              <w:t xml:space="preserve">Operative Kritikalität</w:t>
            </w:r>
          </w:p>
        </w:tc>
      </w:tr>
      <w:tr>
        <w:tc>
          <w:tcPr/>
          <w:p>
            <w:pPr>
              <w:pStyle w:val="Compact"/>
              <w:jc w:val="left"/>
            </w:pPr>
            <w:r>
              <w:t xml:space="preserve">Strategische Elektronik</w:t>
            </w:r>
          </w:p>
        </w:tc>
        <w:tc>
          <w:tcPr/>
          <w:p>
            <w:pPr>
              <w:pStyle w:val="Compact"/>
              <w:jc w:val="left"/>
            </w:pPr>
            <w:r>
              <w:t xml:space="preserve">$310 Mio.</w:t>
            </w:r>
          </w:p>
        </w:tc>
        <w:tc>
          <w:tcPr/>
          <w:p>
            <w:pPr>
              <w:pStyle w:val="Compact"/>
              <w:jc w:val="center"/>
            </w:pPr>
            <w:r>
              <w:t xml:space="preserve">75 Tage</w:t>
            </w:r>
          </w:p>
        </w:tc>
        <w:tc>
          <w:tcPr/>
          <w:p>
            <w:pPr>
              <w:pStyle w:val="Compact"/>
              <w:jc w:val="center"/>
            </w:pPr>
            <w:r>
              <w:t xml:space="preserve">7 %–9 %</w:t>
            </w:r>
          </w:p>
        </w:tc>
        <w:tc>
          <w:tcPr/>
          <w:p>
            <w:pPr>
              <w:pStyle w:val="Compact"/>
              <w:jc w:val="center"/>
            </w:pPr>
            <w:r>
              <w:t xml:space="preserve">6,0 %–6,8 % H</w:t>
            </w:r>
          </w:p>
        </w:tc>
        <w:tc>
          <w:tcPr/>
          <w:p>
            <w:pPr>
              <w:pStyle w:val="Compact"/>
              <w:jc w:val="center"/>
            </w:pPr>
            <w:r>
              <w:t xml:space="preserve">och</w:t>
            </w:r>
          </w:p>
        </w:tc>
      </w:tr>
      <w:tr>
        <w:tc>
          <w:tcPr/>
          <w:p>
            <w:pPr>
              <w:pStyle w:val="Compact"/>
              <w:jc w:val="left"/>
            </w:pPr>
            <w:r>
              <w:t xml:space="preserve">Regionale Zerspanung</w:t>
            </w:r>
          </w:p>
        </w:tc>
        <w:tc>
          <w:tcPr/>
          <w:p>
            <w:pPr>
              <w:pStyle w:val="Compact"/>
              <w:jc w:val="left"/>
            </w:pPr>
            <w:r>
              <w:t xml:space="preserve">$185 Mio.</w:t>
            </w:r>
          </w:p>
        </w:tc>
        <w:tc>
          <w:tcPr/>
          <w:p>
            <w:pPr>
              <w:pStyle w:val="Compact"/>
              <w:jc w:val="center"/>
            </w:pPr>
            <w:r>
              <w:t xml:space="preserve">75 Tage</w:t>
            </w:r>
          </w:p>
        </w:tc>
        <w:tc>
          <w:tcPr/>
          <w:p>
            <w:pPr>
              <w:pStyle w:val="Compact"/>
              <w:jc w:val="center"/>
            </w:pPr>
            <w:r>
              <w:t xml:space="preserve">10 %–15 %</w:t>
            </w:r>
          </w:p>
        </w:tc>
        <w:tc>
          <w:tcPr/>
          <w:p>
            <w:pPr>
              <w:pStyle w:val="Compact"/>
              <w:jc w:val="center"/>
            </w:pPr>
            <w:r>
              <w:t xml:space="preserve">6,0 %–6,8 % S</w:t>
            </w:r>
          </w:p>
        </w:tc>
        <w:tc>
          <w:tcPr/>
          <w:p>
            <w:pPr>
              <w:pStyle w:val="Compact"/>
              <w:jc w:val="center"/>
            </w:pPr>
            <w:r>
              <w:t xml:space="preserve">ehr hoch</w:t>
            </w:r>
          </w:p>
        </w:tc>
      </w:tr>
      <w:tr>
        <w:tc>
          <w:tcPr/>
          <w:p>
            <w:pPr>
              <w:pStyle w:val="Compact"/>
              <w:jc w:val="left"/>
            </w:pPr>
            <w:r>
              <w:t xml:space="preserve">Verpackung und indirekt</w:t>
            </w:r>
          </w:p>
        </w:tc>
        <w:tc>
          <w:tcPr/>
          <w:p>
            <w:pPr>
              <w:pStyle w:val="Compact"/>
              <w:jc w:val="left"/>
            </w:pPr>
            <w:r>
              <w:t xml:space="preserve">$92 Mio.</w:t>
            </w:r>
          </w:p>
        </w:tc>
        <w:tc>
          <w:tcPr/>
          <w:p>
            <w:pPr>
              <w:pStyle w:val="Compact"/>
              <w:jc w:val="center"/>
            </w:pPr>
            <w:r>
              <w:t xml:space="preserve">60 Tage</w:t>
            </w:r>
          </w:p>
        </w:tc>
        <w:tc>
          <w:tcPr/>
          <w:p>
            <w:pPr>
              <w:pStyle w:val="Compact"/>
              <w:jc w:val="center"/>
            </w:pPr>
            <w:r>
              <w:t xml:space="preserve">9 %–18 %</w:t>
            </w:r>
          </w:p>
        </w:tc>
        <w:tc>
          <w:tcPr/>
          <w:p>
            <w:pPr>
              <w:pStyle w:val="Compact"/>
              <w:jc w:val="center"/>
            </w:pPr>
            <w:r>
              <w:t xml:space="preserve">5,8 %–6,5 % M</w:t>
            </w:r>
          </w:p>
        </w:tc>
        <w:tc>
          <w:tcPr/>
          <w:p>
            <w:pPr>
              <w:pStyle w:val="Compact"/>
              <w:jc w:val="center"/>
            </w:pPr>
            <w:r>
              <w:t xml:space="preserve">ittel</w:t>
            </w:r>
          </w:p>
        </w:tc>
      </w:tr>
      <w:tr>
        <w:tc>
          <w:tcPr/>
          <w:p>
            <w:pPr>
              <w:pStyle w:val="Compact"/>
              <w:jc w:val="left"/>
            </w:pPr>
            <w:r>
              <w:t xml:space="preserve">Globale Motoren</w:t>
            </w:r>
          </w:p>
        </w:tc>
        <w:tc>
          <w:tcPr/>
          <w:p>
            <w:pPr>
              <w:pStyle w:val="Compact"/>
              <w:jc w:val="left"/>
            </w:pPr>
            <w:r>
              <w:t xml:space="preserve">$420 Mio.</w:t>
            </w:r>
          </w:p>
        </w:tc>
        <w:tc>
          <w:tcPr/>
          <w:p>
            <w:pPr>
              <w:pStyle w:val="Compact"/>
              <w:jc w:val="center"/>
            </w:pPr>
            <w:r>
              <w:t xml:space="preserve">90 Tage</w:t>
            </w:r>
          </w:p>
        </w:tc>
        <w:tc>
          <w:tcPr/>
          <w:p>
            <w:pPr>
              <w:pStyle w:val="Compact"/>
              <w:jc w:val="center"/>
            </w:pPr>
            <w:r>
              <w:t xml:space="preserve">4 %–6 %</w:t>
            </w:r>
          </w:p>
        </w:tc>
        <w:tc>
          <w:tcPr/>
          <w:p>
            <w:pPr>
              <w:pStyle w:val="Compact"/>
              <w:jc w:val="center"/>
            </w:pPr>
            <w:r>
              <w:t xml:space="preserve">6,2 %–7,0 % H</w:t>
            </w:r>
          </w:p>
        </w:tc>
        <w:tc>
          <w:tcPr/>
          <w:p>
            <w:pPr>
              <w:pStyle w:val="Compact"/>
              <w:jc w:val="center"/>
            </w:pPr>
            <w:r>
              <w:t xml:space="preserve">och</w:t>
            </w:r>
          </w:p>
        </w:tc>
      </w:tr>
      <w:tr>
        <w:tc>
          <w:tcPr/>
          <w:p>
            <w:pPr>
              <w:pStyle w:val="Compact"/>
              <w:jc w:val="left"/>
            </w:pPr>
            <w:r>
              <w:t xml:space="preserve">Kleine Lieferanten in Minderheits</w:t>
            </w:r>
          </w:p>
        </w:tc>
        <w:tc>
          <w:tcPr/>
          <w:p>
            <w:pPr>
              <w:pStyle w:val="Compact"/>
              <w:jc w:val="left"/>
            </w:pPr>
            <w:r>
              <w:t xml:space="preserve">besitz $76 Mio.</w:t>
            </w:r>
          </w:p>
        </w:tc>
        <w:tc>
          <w:tcPr/>
          <w:p>
            <w:pPr>
              <w:pStyle w:val="Compact"/>
              <w:jc w:val="center"/>
            </w:pPr>
            <w:r>
              <w:t xml:space="preserve">60–75 Tage</w:t>
            </w:r>
          </w:p>
        </w:tc>
        <w:tc>
          <w:tcPr/>
          <w:p>
            <w:pPr>
              <w:pStyle w:val="Compact"/>
              <w:jc w:val="center"/>
            </w:pPr>
            <w:r>
              <w:t xml:space="preserve">12 %–24 %</w:t>
            </w:r>
          </w:p>
        </w:tc>
        <w:tc>
          <w:tcPr/>
          <w:p>
            <w:pPr>
              <w:pStyle w:val="Compact"/>
              <w:jc w:val="center"/>
            </w:pPr>
            <w:r>
              <w:t xml:space="preserve">6,0 %–7,2 % G</w:t>
            </w:r>
          </w:p>
        </w:tc>
        <w:tc>
          <w:tcPr/>
          <w:p>
            <w:pPr>
              <w:pStyle w:val="Compact"/>
              <w:jc w:val="center"/>
            </w:pPr>
            <w:r>
              <w:t xml:space="preserve">emischt</w:t>
            </w:r>
          </w:p>
        </w:tc>
      </w:tr>
    </w:tbl>
    <w:bookmarkEnd w:id="11"/>
    <w:bookmarkEnd w:id="12"/>
    <w:bookmarkStart w:id="14" w:name="X751a82b83c33a86098b648562c355744d29ae0c"/>
    <w:p>
      <w:pPr>
        <w:pStyle w:val="Heading1"/>
      </w:pPr>
      <w:r>
        <w:t xml:space="preserve">Bargeld war nicht die einzige Risikoposition</w:t>
      </w:r>
    </w:p>
    <w:p>
      <w:pPr>
        <w:pStyle w:val="FirstParagraph"/>
      </w:pPr>
      <w:r>
        <w:t xml:space="preserve">Das Treasury betrachtete den Vorschlag zur Lieferantenfinanzierung als ein Element eines größeren finanziellen Risikoproblems. Northbridge kaufte Komponenten in Euro, Yen, mexikanischen Pesos und US-Dollar. Es hatte etwa $410 Millionen an Lagerbeständen unterwegs oder in Drittlagern. Verkäufe an zwei große internationale Kunden waren gegen Zahlungsausfall versichert, aber die meisten inländischen Forderungen waren es nicht. Das Unternehmen verfügte über Seetransport-, Sach- und eine begrenzte politische Risikoversicherung für einen asiatischen Beschaffungskorridor. Die Deckung war im Laufe der Zeit von verschiedenen Geschäftsbereichen zusammengestellt worden, und niemand konnte zeigen, ob das Portfolio dem aktuellen Risikoprofil des Unternehmens entsprach.</w:t>
      </w:r>
    </w:p>
    <w:p>
      <w:pPr>
        <w:pStyle w:val="BodyText"/>
      </w:pPr>
      <w:r>
        <w:t xml:space="preserve">Die jüngsten Zolländerungen hatten das Cashprofil importierter Käufe verändert. Zölle mussten bei Wareneingang gezahlt werden, oft Wochen bevor Northbridge Barmittel von Kunden einzog. Der Einkauf konnte einige Käufe nach Mexiko oder zu inländischen Lieferanten verlagern, aber die Qualifizierung konnte sechs bis achtzehn Monate dauern und neue Werkzeuge erfordern. Der Kauf zusätzlicher Lagerbestände vor künftigen Zollerhöhungen könnte Margen und Produktion schützen, würde aber Barmittel verbrauchen und das Risiko der Veralterung erhöhen.</w:t>
      </w:r>
    </w:p>
    <w:p>
      <w:pPr>
        <w:pStyle w:val="BodyText"/>
      </w:pPr>
      <w:r>
        <w:t xml:space="preserve">Währungsabsicherungen schufen eine weitere Debatte. Das Treasury sicherte typischerweise 60 % der prognostizierten Fremdwährungskäufe für die nächsten sechs Monate und 30 % für die Monate sieben bis zwölf ab. Der Einkauf wollte nun eine höhere Absicherung, da plötzliche Wechselkursbewegungen Zollerhöhungen verstärken könnten. Vertriebsleiter wandten ein, dass eine aggressive Absicherung Kosten gerade dann festschreiben könnte, wenn die Nachfrage schwäche. Northbridges europäische Verkäufe schufen ebenfalls eine teilweise natürliche Absicherung, aber der Zeitpunkt und die Höhe dieser Zahlungseingänge waren ungewiss.</w:t>
      </w:r>
    </w:p>
    <w:bookmarkStart w:id="13" w:name="X0f623d4fc2f9ee60e56dc102a871eb0ab1fab35"/>
    <w:p>
      <w:pPr>
        <w:pStyle w:val="Heading2"/>
      </w:pPr>
      <w:r>
        <w:t xml:space="preserve">Exhibit 3. Ausgewählte finanzielle Risikopositionen</w:t>
      </w:r>
    </w:p>
    <w:tbl>
      <w:tblPr>
        <w:tblStyle w:val="Table"/>
        <w:tblW w:type="pct" w:w="4928"/>
        <w:tblLayout w:type="fixed"/>
        <w:tblLook w:firstRow="1" w:lastRow="0" w:firstColumn="0" w:lastColumn="0" w:noHBand="0" w:noVBand="0" w:val="0020"/>
      </w:tblPr>
      <w:tblGrid>
        <w:gridCol w:w="2621"/>
        <w:gridCol w:w="1139"/>
        <w:gridCol w:w="1652"/>
        <w:gridCol w:w="2393"/>
      </w:tblGrid>
      <w:tr>
        <w:trPr>
          <w:tblHeader w:val="on"/>
        </w:trPr>
        <w:tc>
          <w:tcPr/>
          <w:p>
            <w:pPr>
              <w:pStyle w:val="Compact"/>
              <w:jc w:val="left"/>
            </w:pPr>
            <w:r>
              <w:t xml:space="preserve">Risikoposition</w:t>
            </w:r>
          </w:p>
        </w:tc>
        <w:tc>
          <w:tcPr/>
          <w:p>
            <w:pPr>
              <w:pStyle w:val="Compact"/>
              <w:jc w:val="left"/>
            </w:pPr>
            <w:r>
              <w:t xml:space="preserve">Geschätzter Betrag</w:t>
            </w:r>
          </w:p>
        </w:tc>
        <w:tc>
          <w:tcPr/>
          <w:p>
            <w:pPr>
              <w:pStyle w:val="Compact"/>
              <w:jc w:val="left"/>
            </w:pPr>
            <w:r>
              <w:t xml:space="preserve">Aktueller Schutz</w:t>
            </w:r>
          </w:p>
        </w:tc>
        <w:tc>
          <w:tcPr/>
          <w:p>
            <w:pPr>
              <w:pStyle w:val="Compact"/>
              <w:jc w:val="left"/>
            </w:pPr>
            <w:r>
              <w:t xml:space="preserve">Managementbedenken</w:t>
            </w:r>
          </w:p>
        </w:tc>
      </w:tr>
      <w:tr>
        <w:tc>
          <w:tcPr/>
          <w:p>
            <w:pPr>
              <w:pStyle w:val="Compact"/>
              <w:jc w:val="left"/>
            </w:pPr>
            <w:r>
              <w:t xml:space="preserve">Genehmigte Lieferantenrechnungen</w:t>
            </w:r>
          </w:p>
        </w:tc>
        <w:tc>
          <w:tcPr/>
          <w:p>
            <w:pPr>
              <w:pStyle w:val="Compact"/>
              <w:jc w:val="left"/>
            </w:pPr>
            <w:r>
              <w:t xml:space="preserve">$485 Mio.</w:t>
            </w:r>
          </w:p>
        </w:tc>
        <w:tc>
          <w:tcPr/>
          <w:p>
            <w:pPr>
              <w:pStyle w:val="Compact"/>
              <w:jc w:val="left"/>
            </w:pPr>
            <w:r>
              <w:t xml:space="preserve">Kein dediziertes Programm</w:t>
            </w:r>
          </w:p>
        </w:tc>
        <w:tc>
          <w:tcPr/>
          <w:p>
            <w:pPr>
              <w:pStyle w:val="Compact"/>
              <w:jc w:val="left"/>
            </w:pPr>
            <w:r>
              <w:t xml:space="preserve">Lieferantenliquidität und Zahlungszeitpunkt</w:t>
            </w:r>
          </w:p>
        </w:tc>
      </w:tr>
      <w:tr>
        <w:tc>
          <w:tcPr/>
          <w:p>
            <w:pPr>
              <w:pStyle w:val="Compact"/>
              <w:jc w:val="left"/>
            </w:pPr>
            <w:r>
              <w:t xml:space="preserve">Fremdwährungskäufe, nächste 12 Monate</w:t>
            </w:r>
          </w:p>
        </w:tc>
        <w:tc>
          <w:tcPr/>
          <w:p>
            <w:pPr>
              <w:pStyle w:val="Compact"/>
              <w:jc w:val="left"/>
            </w:pPr>
            <w:r>
              <w:t xml:space="preserve">$690 Mio.</w:t>
            </w:r>
          </w:p>
        </w:tc>
        <w:tc>
          <w:tcPr/>
          <w:p>
            <w:pPr>
              <w:pStyle w:val="Compact"/>
              <w:jc w:val="left"/>
            </w:pPr>
            <w:r>
              <w:t xml:space="preserve">47 % abgesichert</w:t>
            </w:r>
          </w:p>
        </w:tc>
        <w:tc>
          <w:tcPr/>
          <w:p>
            <w:pPr>
              <w:pStyle w:val="Compact"/>
              <w:jc w:val="left"/>
            </w:pPr>
            <w:r>
              <w:t xml:space="preserve">Kurse, Prognosefehler, Absicherungskosten</w:t>
            </w:r>
          </w:p>
        </w:tc>
      </w:tr>
      <w:tr>
        <w:tc>
          <w:tcPr/>
          <w:p>
            <w:pPr>
              <w:pStyle w:val="Compact"/>
              <w:jc w:val="left"/>
            </w:pPr>
            <w:r>
              <w:t xml:space="preserve">Lagerbestände unterwegs und bei Drittanbietern</w:t>
            </w:r>
          </w:p>
        </w:tc>
        <w:tc>
          <w:tcPr/>
          <w:p>
            <w:pPr>
              <w:pStyle w:val="Compact"/>
              <w:jc w:val="left"/>
            </w:pPr>
            <w:r>
              <w:t xml:space="preserve">$410 Mio.</w:t>
            </w:r>
          </w:p>
        </w:tc>
        <w:tc>
          <w:tcPr/>
          <w:p>
            <w:pPr>
              <w:pStyle w:val="Compact"/>
              <w:jc w:val="left"/>
            </w:pPr>
            <w:r>
              <w:t xml:space="preserve">Fracht-/Sachversicherung</w:t>
            </w:r>
          </w:p>
        </w:tc>
        <w:tc>
          <w:tcPr/>
          <w:p>
            <w:pPr>
              <w:pStyle w:val="Compact"/>
              <w:jc w:val="left"/>
            </w:pPr>
            <w:r>
              <w:t xml:space="preserve">Verlust, Verzögerung, Selbstbehalt, Deckungslücken</w:t>
            </w:r>
          </w:p>
        </w:tc>
      </w:tr>
      <w:tr>
        <w:tc>
          <w:tcPr/>
          <w:p>
            <w:pPr>
              <w:pStyle w:val="Compact"/>
              <w:jc w:val="left"/>
            </w:pPr>
            <w:r>
              <w:t xml:space="preserve">Handelsforderungen</w:t>
            </w:r>
          </w:p>
        </w:tc>
        <w:tc>
          <w:tcPr/>
          <w:p>
            <w:pPr>
              <w:pStyle w:val="Compact"/>
              <w:jc w:val="left"/>
            </w:pPr>
            <w:r>
              <w:t xml:space="preserve">$612 Mio.</w:t>
            </w:r>
          </w:p>
        </w:tc>
        <w:tc>
          <w:tcPr/>
          <w:p>
            <w:pPr>
              <w:pStyle w:val="Compact"/>
              <w:jc w:val="left"/>
            </w:pPr>
            <w:r>
              <w:t xml:space="preserve">Selektive Kreditversicherung</w:t>
            </w:r>
          </w:p>
        </w:tc>
        <w:tc>
          <w:tcPr/>
          <w:p>
            <w:pPr>
              <w:pStyle w:val="Compact"/>
              <w:jc w:val="left"/>
            </w:pPr>
            <w:r>
              <w:t xml:space="preserve">Kundenausfall und verzögerte Zahlung</w:t>
            </w:r>
          </w:p>
        </w:tc>
      </w:tr>
      <w:tr>
        <w:tc>
          <w:tcPr/>
          <w:p>
            <w:pPr>
              <w:pStyle w:val="Compact"/>
              <w:jc w:val="left"/>
            </w:pPr>
            <w:r>
              <w:t xml:space="preserve">Zoll-Barausgabe, nächste 12 Monate</w:t>
            </w:r>
          </w:p>
        </w:tc>
        <w:tc>
          <w:tcPr/>
          <w:p>
            <w:pPr>
              <w:pStyle w:val="Compact"/>
              <w:jc w:val="left"/>
            </w:pPr>
            <w:r>
              <w:t xml:space="preserve">$96 Mio.</w:t>
            </w:r>
          </w:p>
        </w:tc>
        <w:tc>
          <w:tcPr/>
          <w:p>
            <w:pPr>
              <w:pStyle w:val="Compact"/>
              <w:jc w:val="left"/>
            </w:pPr>
            <w:r>
              <w:t xml:space="preserve">Keine</w:t>
            </w:r>
          </w:p>
        </w:tc>
        <w:tc>
          <w:tcPr/>
          <w:p>
            <w:pPr>
              <w:pStyle w:val="Compact"/>
              <w:jc w:val="left"/>
            </w:pPr>
            <w:r>
              <w:t xml:space="preserve">Timing, Politikänderungen, Produktpreisgestaltung</w:t>
            </w:r>
          </w:p>
        </w:tc>
      </w:tr>
    </w:tbl>
    <w:bookmarkEnd w:id="13"/>
    <w:bookmarkEnd w:id="14"/>
    <w:bookmarkStart w:id="16" w:name="X9ea4412c6d478fec1525b928f14e313065d3638"/>
    <w:p>
      <w:pPr>
        <w:pStyle w:val="Heading1"/>
      </w:pPr>
      <w:r>
        <w:t xml:space="preserve">Unterschiedliche Funktionen, unterschiedliche Erfolgsdefinitionen</w:t>
      </w:r>
    </w:p>
    <w:p>
      <w:pPr>
        <w:pStyle w:val="FirstParagraph"/>
      </w:pPr>
      <w:r>
        <w:t xml:space="preserve">Der Einkauf befürwortete eine rasche Umsetzung. Seine Führungskräfte argumentierten, dass die Kosten eines einzigen Lieferantenausfalls jahrelange Programmgebühren übersteigen könnten. Ein Produktionsstillstand bei AlloyWorks könnte beispielsweise die Produktion einer Produktfamilie unterbrechen, die $8,6 Millionen wöchentlichen Umsatz generiert. Der Einkauf schlug vor, zunächst die 100 größten Lieferanten aufzunehmen und die Berechtigung dann auf kleinere Firmen auszuweiten, sobald sich die Plattform stabilisiert hatte.</w:t>
      </w:r>
    </w:p>
    <w:p>
      <w:pPr>
        <w:pStyle w:val="BodyText"/>
      </w:pPr>
      <w:r>
        <w:t xml:space="preserve">Der Betrieb widersprach einem größenbasierten Rollout. Einige der größten Lieferanten hatten viele Kunden und leichten Zugang zu Kapital, während kleine spezialisierte Firmen das größte Kontinuitätsrisiko darstellten. Der Betrieb wollte einen Verwundbarkeits-Score, der finanzielle Gesundheit, Teileeinzigartigkeit, Lagerdeckung, Qualifizierungszeit und gefährdeten Umsatz kombinierte. Er wollte auch, dass Northbridge einen separaten Notfallfonds für Werkzeuge, Rohstoffe oder vorübergehende Vorauszahlungen unterhält, wenn ein kritischer Lieferant sich nicht für das Bankprogramm qualifizieren konnte.</w:t>
      </w:r>
    </w:p>
    <w:p>
      <w:pPr>
        <w:pStyle w:val="BodyText"/>
      </w:pPr>
      <w:r>
        <w:t xml:space="preserve">Das Treasury wollte Northbridges eigene Liquidität schützen. Das Unternehmen plante eine Werkserweiterung im Wert von $240 Millionen und hatte dem Vorstand versprochen, dass die Nettoverschuldung unter dem 2,0-fachen des EBITDA bleiben würde. Das Treasury schlug vor, die Standardzahlungsziele für alle Lieferanten, die für vorzeitige Zahlung berechtigt sind, auf 90 Tage zu verlängern, während für verwundbare Lieferanten, die nicht teilnehmen konnten, 45- oder 60-Tage-Zahlungsziele beibehalten würden. Dies würde den Cash-Erhalt maximieren, aber der Einkauf warnte, dass Lieferanten dies als Nutzung der Bank zur Durchsetzung noch längerer Zahlungsziele auffassen könnten.</w:t>
      </w:r>
    </w:p>
    <w:p>
      <w:pPr>
        <w:pStyle w:val="BodyText"/>
      </w:pPr>
      <w:r>
        <w:t xml:space="preserve">Die Teams für Nachhaltigkeit und Lieferantenvielfalt äußerten ein weiteres Bedenken. Ein rein finanzieller Filter könnte systematisch junge, ländliche, in Minderheitsbesitz befindliche oder kürzlich gegründete Firmen ausschließen. Diese Lieferanten verfügten oft nicht über geprüfte Abschlüsse oder lange Bonitätshistorien, selbst wenn ihre operative Leistung stark war. Ein Programm, das darauf ausgelegt ist, das Netzwerk zu stabilisieren, könnte daher die günstigste Finanzierung an Lieferanten lenken, die bereits den besten Zugang zu Kapital hatten.</w:t>
      </w:r>
    </w:p>
    <w:bookmarkStart w:id="15" w:name="X8ef7dc78a606bcbae29aaeb3fa69acebe3aa758"/>
    <w:p>
      <w:pPr>
        <w:pStyle w:val="Heading2"/>
      </w:pPr>
      <w:r>
        <w:t xml:space="preserve">Exhibit 4. Drei diskutierte Programmdesigns</w:t>
      </w:r>
    </w:p>
    <w:tbl>
      <w:tblPr>
        <w:tblStyle w:val="Table"/>
        <w:tblW w:type="pct" w:w="4952"/>
        <w:tblLayout w:type="fixed"/>
        <w:tblLook w:firstRow="1" w:lastRow="0" w:firstColumn="0" w:lastColumn="0" w:noHBand="0" w:noVBand="0" w:val="0020"/>
      </w:tblPr>
      <w:tblGrid>
        <w:gridCol w:w="829"/>
        <w:gridCol w:w="1244"/>
        <w:gridCol w:w="1621"/>
        <w:gridCol w:w="1320"/>
        <w:gridCol w:w="1357"/>
        <w:gridCol w:w="1470"/>
      </w:tblGrid>
      <w:tr>
        <w:trPr>
          <w:tblHeader w:val="on"/>
        </w:trPr>
        <w:tc>
          <w:tcPr/>
          <w:p>
            <w:pPr>
              <w:pStyle w:val="Compact"/>
              <w:jc w:val="left"/>
            </w:pPr>
            <w:r>
              <w:t xml:space="preserve">Design</w:t>
            </w:r>
          </w:p>
        </w:tc>
        <w:tc>
          <w:tcPr/>
          <w:p>
            <w:pPr>
              <w:pStyle w:val="Compact"/>
              <w:jc w:val="center"/>
            </w:pPr>
            <w:r>
              <w:t xml:space="preserve">Zahlungsziele</w:t>
            </w:r>
          </w:p>
        </w:tc>
        <w:tc>
          <w:tcPr/>
          <w:p>
            <w:pPr>
              <w:pStyle w:val="Compact"/>
              <w:jc w:val="center"/>
            </w:pPr>
            <w:r>
              <w:t xml:space="preserve">Vorabzahlungsfinanzierung</w:t>
            </w:r>
          </w:p>
        </w:tc>
        <w:tc>
          <w:tcPr/>
          <w:p>
            <w:pPr>
              <w:pStyle w:val="Compact"/>
              <w:jc w:val="center"/>
            </w:pPr>
            <w:r>
              <w:t xml:space="preserve">Anfänglicher Umfang</w:t>
            </w:r>
          </w:p>
        </w:tc>
        <w:tc>
          <w:tcPr/>
          <w:p>
            <w:pPr>
              <w:pStyle w:val="Compact"/>
              <w:jc w:val="right"/>
            </w:pPr>
            <w:r>
              <w:t xml:space="preserve">Geschätzter Cash-Nutzen im ers</w:t>
            </w:r>
          </w:p>
        </w:tc>
        <w:tc>
          <w:tcPr/>
          <w:p>
            <w:pPr>
              <w:pStyle w:val="Compact"/>
              <w:jc w:val="left"/>
            </w:pPr>
            <w:r>
              <w:t xml:space="preserve">ten Jahr Hauptbedenken</w:t>
            </w:r>
          </w:p>
        </w:tc>
      </w:tr>
      <w:tr>
        <w:tc>
          <w:tcPr/>
          <w:p>
            <w:pPr>
              <w:pStyle w:val="Compact"/>
              <w:jc w:val="left"/>
            </w:pPr>
            <w:r>
              <w:t xml:space="preserve">Breite Ausweitung</w:t>
            </w:r>
          </w:p>
        </w:tc>
        <w:tc>
          <w:tcPr/>
          <w:p>
            <w:pPr>
              <w:pStyle w:val="Compact"/>
              <w:jc w:val="center"/>
            </w:pPr>
            <w:r>
              <w:t xml:space="preserve">90 Tage für berechtigte Lieferan</w:t>
            </w:r>
          </w:p>
        </w:tc>
        <w:tc>
          <w:tcPr/>
          <w:p>
            <w:pPr>
              <w:pStyle w:val="Compact"/>
              <w:jc w:val="center"/>
            </w:pPr>
            <w:r>
              <w:t xml:space="preserve">ten Bankfinanziert; Lieferant zahlt Abschl</w:t>
            </w:r>
          </w:p>
        </w:tc>
        <w:tc>
          <w:tcPr/>
          <w:p>
            <w:pPr>
              <w:pStyle w:val="Compact"/>
              <w:jc w:val="center"/>
            </w:pPr>
            <w:r>
              <w:t xml:space="preserve">ag Top 250 Lieferanten</w:t>
            </w:r>
          </w:p>
        </w:tc>
        <w:tc>
          <w:tcPr/>
          <w:p>
            <w:pPr>
              <w:pStyle w:val="Compact"/>
              <w:jc w:val="right"/>
            </w:pPr>
            <w:r>
              <w:t xml:space="preserve">$118 Mio.</w:t>
            </w:r>
          </w:p>
        </w:tc>
        <w:tc>
          <w:tcPr/>
          <w:p>
            <w:pPr>
              <w:pStyle w:val="Compact"/>
              <w:jc w:val="left"/>
            </w:pPr>
            <w:r>
              <w:t xml:space="preserve">Lieferantenwiderstand und Außenwirkung</w:t>
            </w:r>
          </w:p>
        </w:tc>
      </w:tr>
      <w:tr>
        <w:tc>
          <w:tcPr/>
          <w:p>
            <w:pPr>
              <w:pStyle w:val="Compact"/>
              <w:jc w:val="left"/>
            </w:pPr>
            <w:r>
              <w:t xml:space="preserve">Gezielte Resilienz</w:t>
            </w:r>
          </w:p>
        </w:tc>
        <w:tc>
          <w:tcPr/>
          <w:p>
            <w:pPr>
              <w:pStyle w:val="Compact"/>
              <w:jc w:val="center"/>
            </w:pPr>
            <w:r>
              <w:t xml:space="preserve">Aktuelle Zahlungsziele beibehalt</w:t>
            </w:r>
          </w:p>
        </w:tc>
        <w:tc>
          <w:tcPr/>
          <w:p>
            <w:pPr>
              <w:pStyle w:val="Compact"/>
              <w:jc w:val="center"/>
            </w:pPr>
            <w:r>
              <w:t xml:space="preserve">en Bank plus begrenzte Unternehmenssubvent</w:t>
            </w:r>
          </w:p>
        </w:tc>
        <w:tc>
          <w:tcPr/>
          <w:p>
            <w:pPr>
              <w:pStyle w:val="Compact"/>
              <w:jc w:val="center"/>
            </w:pPr>
            <w:r>
              <w:t xml:space="preserve">ion 47 verwundbare kritische Liefe</w:t>
            </w:r>
          </w:p>
        </w:tc>
        <w:tc>
          <w:tcPr/>
          <w:p>
            <w:pPr>
              <w:pStyle w:val="Compact"/>
              <w:jc w:val="right"/>
            </w:pPr>
            <w:r>
              <w:t xml:space="preserve">ranten $34 Mio.</w:t>
            </w:r>
          </w:p>
        </w:tc>
        <w:tc>
          <w:tcPr/>
          <w:p>
            <w:pPr>
              <w:pStyle w:val="Compact"/>
              <w:jc w:val="left"/>
            </w:pPr>
            <w:r>
              <w:t xml:space="preserve">Geringerer Cash-Nutzen; komplexe Auswahl</w:t>
            </w:r>
          </w:p>
        </w:tc>
      </w:tr>
      <w:tr>
        <w:tc>
          <w:tcPr/>
          <w:p>
            <w:pPr>
              <w:pStyle w:val="Compact"/>
              <w:jc w:val="left"/>
            </w:pPr>
            <w:r>
              <w:t xml:space="preserve">Gestaffeltes Portfolio</w:t>
            </w:r>
          </w:p>
        </w:tc>
        <w:tc>
          <w:tcPr/>
          <w:p>
            <w:pPr>
              <w:pStyle w:val="Compact"/>
              <w:jc w:val="center"/>
            </w:pPr>
            <w:r>
              <w:t xml:space="preserve">60–90 Tage nach Segment</w:t>
            </w:r>
          </w:p>
        </w:tc>
        <w:tc>
          <w:tcPr/>
          <w:p>
            <w:pPr>
              <w:pStyle w:val="Compact"/>
              <w:jc w:val="center"/>
            </w:pPr>
            <w:r>
              <w:t xml:space="preserve">Bank, Unternehmensbarmittel oder Notfall</w:t>
            </w:r>
          </w:p>
        </w:tc>
        <w:tc>
          <w:tcPr/>
          <w:p>
            <w:pPr>
              <w:pStyle w:val="Compact"/>
              <w:jc w:val="center"/>
            </w:pPr>
            <w:r>
              <w:t xml:space="preserve">unterstützung Etwa 160 Lieferanten</w:t>
            </w:r>
          </w:p>
        </w:tc>
        <w:tc>
          <w:tcPr/>
          <w:p>
            <w:pPr>
              <w:pStyle w:val="Compact"/>
              <w:jc w:val="right"/>
            </w:pPr>
            <w:r>
              <w:t xml:space="preserve">$72 Mio.</w:t>
            </w:r>
          </w:p>
        </w:tc>
        <w:tc>
          <w:tcPr/>
          <w:p>
            <w:pPr>
              <w:pStyle w:val="Compact"/>
              <w:jc w:val="left"/>
            </w:pPr>
            <w:r>
              <w:t xml:space="preserve">Governance- und Verwaltungsaufwand</w:t>
            </w:r>
          </w:p>
        </w:tc>
      </w:tr>
    </w:tbl>
    <w:bookmarkEnd w:id="15"/>
    <w:bookmarkEnd w:id="16"/>
    <w:bookmarkStart w:id="18" w:name="das-informationsproblem"/>
    <w:p>
      <w:pPr>
        <w:pStyle w:val="Heading1"/>
      </w:pPr>
      <w:r>
        <w:t xml:space="preserve">Das Informationsproblem</w:t>
      </w:r>
    </w:p>
    <w:p>
      <w:pPr>
        <w:pStyle w:val="FirstParagraph"/>
      </w:pPr>
      <w:r>
        <w:t xml:space="preserve">Das Programm basierte auf genehmigten Rechnungen, aber Northbridges Rechnungsprozess war uneinheitlich. Die mittlere Rechnung wurde in acht Tagen genehmigt, während 17 % mehr als 20 Tage benötigten. Häufige Ursachen waren Mengenstreitigkeiten, fehlende Wareneingangsunterlagen, Preisabweichungen und Rechnungen, die an die falsche Einheit gesendet wurden. Ein Lieferant konnte keine vorzeitige Zahlung beantragen, bevor die Genehmigung vorlag, sodass ein langsamer Prozess einen Großteil des Nutzens zunichtemachen konnte.</w:t>
      </w:r>
    </w:p>
    <w:p>
      <w:pPr>
        <w:pStyle w:val="BodyText"/>
      </w:pPr>
      <w:r>
        <w:t xml:space="preserve">Dem Unternehmen fehlte auch eine verlässliche Messgröße für die finanzielle Gesundheit der Lieferanten. Der Einkauf sammelte jährliche Fragebögen, kommerzielle Bonitätsscores, Qualitätsergebnisse, Lieferleistung und informelle Beobachtungen von Einkäufern. Diese Quellen widersprachen sich manchmal. Ein Lieferant mit schwachem Bonitätsscore hatte in zwölf Jahren nie eine Lieferung verpasst. Ein anderer mit starken Finanzausweisen hatte kürzlich seinen Werksleiter verloren und kämpfte mit Personalfluktuation. Chen überlegte, ob Northbridge Lieferanten direkt nach ihrem Liquiditätsbedarf fragen sollte, aber der Einkauf befürchtete, dass Lieferanten entweder Notlagen verbergen oder übertreiben würden, um eine bevorzugte Behandlung zu erhalten.</w:t>
      </w:r>
    </w:p>
    <w:p>
      <w:pPr>
        <w:pStyle w:val="BodyText"/>
      </w:pPr>
      <w:r>
        <w:t xml:space="preserve">Die Bank schlug vor, Kontodaten, Rechnungshistorie, Versandaufzeichnungen und externe Risikoscores zu integrieren. Die Plattform könnte ungewöhnliche Doppelrechnungen, Konzentrationen oder rasche Änderungen im Zahlungsverhalten kennzeichnen. Die Rechtsabteilung warnte, dass Fehlalarme Lieferantenbeziehungen schädigen könnten, während übersehene Warnsignale ein falsches Sicherheitsgefühl erzeugen könnten. Die Cybersicherheitsabteilung schätzte eine Implementierungszeit von neun Monaten bei voller Integration gegenüber vier Monaten für einen begrenzteren dateibasierten Start.</w:t>
      </w:r>
    </w:p>
    <w:bookmarkStart w:id="17" w:name="X5a5be3e14d1b6ff0426c1a956c7758808ce745a"/>
    <w:p>
      <w:pPr>
        <w:pStyle w:val="Heading2"/>
      </w:pPr>
      <w:r>
        <w:t xml:space="preserve">Exhibit 5. Rechnungs- und Lieferantenrisikoindikatoren</w:t>
      </w:r>
    </w:p>
    <w:tbl>
      <w:tblPr>
        <w:tblStyle w:val="Table"/>
        <w:tblW w:type="pct" w:w="4898"/>
        <w:tblLayout w:type="fixed"/>
        <w:tblLook w:firstRow="1" w:lastRow="0" w:firstColumn="0" w:lastColumn="0" w:noHBand="0" w:noVBand="0" w:val="0020"/>
      </w:tblPr>
      <w:tblGrid>
        <w:gridCol w:w="4202"/>
        <w:gridCol w:w="1373"/>
        <w:gridCol w:w="2182"/>
      </w:tblGrid>
      <w:tr>
        <w:trPr>
          <w:tblHeader w:val="on"/>
        </w:trPr>
        <w:tc>
          <w:tcPr/>
          <w:p>
            <w:pPr>
              <w:pStyle w:val="Compact"/>
              <w:jc w:val="left"/>
            </w:pPr>
            <w:r>
              <w:t xml:space="preserve">Indikator</w:t>
            </w:r>
          </w:p>
        </w:tc>
        <w:tc>
          <w:tcPr/>
          <w:p>
            <w:pPr>
              <w:pStyle w:val="Compact"/>
            </w:pPr>
            <w:r>
              <w:t xml:space="preserve">Aktuelles Ergebni</w:t>
            </w:r>
          </w:p>
        </w:tc>
        <w:tc>
          <w:tcPr/>
          <w:p>
            <w:pPr>
              <w:pStyle w:val="Compact"/>
            </w:pPr>
            <w:r>
              <w:t xml:space="preserve">s Vorgeschlagenes Ziel für Jahr eins</w:t>
            </w:r>
          </w:p>
        </w:tc>
      </w:tr>
      <w:tr>
        <w:tc>
          <w:tcPr/>
          <w:p>
            <w:pPr>
              <w:pStyle w:val="Compact"/>
              <w:jc w:val="left"/>
            </w:pPr>
            <w:r>
              <w:t xml:space="preserve">Mittlere Rechnungsgenehmigungszeit</w:t>
            </w:r>
          </w:p>
        </w:tc>
        <w:tc>
          <w:tcPr/>
          <w:p>
            <w:pPr>
              <w:pStyle w:val="Compact"/>
            </w:pPr>
            <w:r>
              <w:t xml:space="preserve">8 Tage</w:t>
            </w:r>
          </w:p>
        </w:tc>
        <w:tc>
          <w:tcPr/>
          <w:p>
            <w:pPr>
              <w:pStyle w:val="Compact"/>
            </w:pPr>
            <w:r>
              <w:t xml:space="preserve">3 Tage</w:t>
            </w:r>
          </w:p>
        </w:tc>
      </w:tr>
      <w:tr>
        <w:tc>
          <w:tcPr/>
          <w:p>
            <w:pPr>
              <w:pStyle w:val="Compact"/>
              <w:jc w:val="left"/>
            </w:pPr>
            <w:r>
              <w:t xml:space="preserve">Rechnungen, die nach 20 Tagen genehmigt wurden</w:t>
            </w:r>
          </w:p>
        </w:tc>
        <w:tc>
          <w:tcPr/>
          <w:p>
            <w:pPr>
              <w:pStyle w:val="Compact"/>
            </w:pPr>
            <w:r>
              <w:t xml:space="preserve">17 %</w:t>
            </w:r>
          </w:p>
        </w:tc>
        <w:tc>
          <w:tcPr/>
          <w:p>
            <w:pPr>
              <w:pStyle w:val="Compact"/>
            </w:pPr>
            <w:r>
              <w:t xml:space="preserve">Unter 5 %</w:t>
            </w:r>
          </w:p>
        </w:tc>
      </w:tr>
      <w:tr>
        <w:tc>
          <w:tcPr/>
          <w:p>
            <w:pPr>
              <w:pStyle w:val="Compact"/>
              <w:jc w:val="left"/>
            </w:pPr>
            <w:r>
              <w:t xml:space="preserve">Rechnungen, die nach Genehmigung angefochten wurden</w:t>
            </w:r>
          </w:p>
        </w:tc>
        <w:tc>
          <w:tcPr/>
          <w:p>
            <w:pPr>
              <w:pStyle w:val="Compact"/>
            </w:pPr>
            <w:r>
              <w:t xml:space="preserve">2,8 %</w:t>
            </w:r>
          </w:p>
        </w:tc>
        <w:tc>
          <w:tcPr/>
          <w:p>
            <w:pPr>
              <w:pStyle w:val="Compact"/>
            </w:pPr>
            <w:r>
              <w:t xml:space="preserve">Unter 1 %</w:t>
            </w:r>
          </w:p>
        </w:tc>
      </w:tr>
      <w:tr>
        <w:tc>
          <w:tcPr/>
          <w:p>
            <w:pPr>
              <w:pStyle w:val="Compact"/>
              <w:jc w:val="left"/>
            </w:pPr>
            <w:r>
              <w:t xml:space="preserve">Kritische Lieferanten mit aktuellen Finanzdaten</w:t>
            </w:r>
          </w:p>
        </w:tc>
        <w:tc>
          <w:tcPr/>
          <w:p>
            <w:pPr>
              <w:pStyle w:val="Compact"/>
            </w:pPr>
            <w:r>
              <w:t xml:space="preserve">61 %</w:t>
            </w:r>
          </w:p>
        </w:tc>
        <w:tc>
          <w:tcPr/>
          <w:p>
            <w:pPr>
              <w:pStyle w:val="Compact"/>
            </w:pPr>
            <w:r>
              <w:t xml:space="preserve">90 %</w:t>
            </w:r>
          </w:p>
        </w:tc>
      </w:tr>
      <w:tr>
        <w:tc>
          <w:tcPr/>
          <w:p>
            <w:pPr>
              <w:pStyle w:val="Compact"/>
              <w:jc w:val="left"/>
            </w:pPr>
            <w:r>
              <w:t xml:space="preserve">Kritische Lieferanten mit Zweitquellen-Qualifizierun</w:t>
            </w:r>
          </w:p>
        </w:tc>
        <w:tc>
          <w:tcPr/>
          <w:p>
            <w:pPr>
              <w:pStyle w:val="Compact"/>
            </w:pPr>
            <w:r>
              <w:t xml:space="preserve">g 38 %</w:t>
            </w:r>
          </w:p>
        </w:tc>
        <w:tc>
          <w:tcPr/>
          <w:p>
            <w:pPr>
              <w:pStyle w:val="Compact"/>
            </w:pPr>
            <w:r>
              <w:t xml:space="preserve">50 %</w:t>
            </w:r>
          </w:p>
        </w:tc>
      </w:tr>
      <w:tr>
        <w:tc>
          <w:tcPr/>
          <w:p>
            <w:pPr>
              <w:pStyle w:val="Compact"/>
              <w:jc w:val="left"/>
            </w:pPr>
            <w:r>
              <w:t xml:space="preserve">Lieferanten, die im letzten Review Liquiditätsdruck</w:t>
            </w:r>
          </w:p>
        </w:tc>
        <w:tc>
          <w:tcPr/>
          <w:p>
            <w:pPr>
              <w:pStyle w:val="Compact"/>
            </w:pPr>
            <w:r>
              <w:t xml:space="preserve">meldeten 29 %</w:t>
            </w:r>
          </w:p>
        </w:tc>
        <w:tc>
          <w:tcPr/>
          <w:p>
            <w:pPr>
              <w:pStyle w:val="Compact"/>
            </w:pPr>
            <w:r>
              <w:t xml:space="preserve">Nicht festgelegt</w:t>
            </w:r>
          </w:p>
        </w:tc>
      </w:tr>
    </w:tbl>
    <w:bookmarkEnd w:id="17"/>
    <w:bookmarkEnd w:id="18"/>
    <w:bookmarkStart w:id="19" w:name="X2cdedcdadfe29ee9016cdda42dad2afd910b9e0"/>
    <w:p>
      <w:pPr>
        <w:pStyle w:val="Heading1"/>
      </w:pPr>
      <w:r>
        <w:t xml:space="preserve">Eine Entscheidung vor der Vorstandssitzung</w:t>
      </w:r>
    </w:p>
    <w:p>
      <w:pPr>
        <w:pStyle w:val="FirstParagraph"/>
      </w:pPr>
      <w:r>
        <w:t xml:space="preserve">Der Finanzausschuss des Vorstands würde in neun Tagen tagen. Chen musste eine Empfehlung abgeben, ob Northbridge das Lieferantenfinanzierungsprogramm starten sollte, wie breit es angewendet werden sollte, ob sich Zahlungsziele ändern sollten und welche ergänzenden Maßnahmen erforderlich waren. Die Bank wollte bis Monatsende ein unterzeichnetes Term Sheet, um Implementierungskapazität zu reservieren. AlloyWorks wollte innerhalb von zwei Wochen eine Antwort.</w:t>
      </w:r>
    </w:p>
    <w:p>
      <w:pPr>
        <w:pStyle w:val="BodyText"/>
      </w:pPr>
      <w:r>
        <w:t xml:space="preserve">Chens Team erstellte ein Abwärtsszenario, in dem die Kundennachfrage um 12 % zurückging, ein großer Kunde 45 Tage zu spät zahlte und die Zollkosten um weitere $38 Millionen stiegen. Unter diesem Szenario könnte Northbridges verfügbare Liquidität unter das interne Minimum fallen, es sei denn, das Unternehmen verzögerte die Werkserweiterung, griff auf seine revolvierende Kreditlinie zurück oder verlängerte die Lieferantenzahlungsziele. Ein anderes Szenario ging von starker Nachfrage aus, aber dem Ausfall zweier kritischer Lieferanten, was zu Produktionsverzögerungen und Premiumfracht führte. In diesem Fall würde die Erhaltung von Northbridges Barmitteln wenig Trost bieten, wenn das Unternehmen keine Fertigprodukte ausliefern könnte.</w:t>
      </w:r>
    </w:p>
    <w:p>
      <w:pPr>
        <w:pStyle w:val="BodyText"/>
      </w:pPr>
      <w:r>
        <w:t xml:space="preserve">Keine Option trennte die finanzielle Leistung von den operativen Konsequenzen. Lieferanten schneller zu bezahlen könnte das Netzwerk stärken, aber Northbridges eigene Cash-Position schwächen. Die Verlängerung von Zahlungszielen könnte das ausgewiesene Working Capital verbessern, aber Risiko auf Firmen mit weniger Kreditzugang übertragen. Versicherung und Absicherung könnten ausgewählte Risikopositionen reduzieren, würden aber Prämien, Selbstbehalte, Basisrisiko und vertragliche Komplexität einführen. Mehr Barmittel zu halten würde die Widerstandsfähigkeit verbessern, aber mit Dividenden, Schuldenabbau, Automatisierung und Werksinvestitionen konkurrieren.</w:t>
      </w:r>
    </w:p>
    <w:p>
      <w:pPr>
        <w:pStyle w:val="BodyText"/>
      </w:pPr>
      <w:r>
        <w:t xml:space="preserve">Um 18:30 Uhr an jenem Abend überprüfte Chen die Entwurfsfolien für den Vorstand. Eine Seite zeigte den prognostizierten Cash-Nutzen eines 90-Tage-Programms. Eine andere zeigte den Umsatz, der von verwundbaren Lieferanten abhing. Eine dritte listete Versicherungslücken und Währungsrisiken auf. Jede Seite war für sich genommen überzeugend; zusammen ergaben sie keine offensichtliche Antwort. Sie löschte die Empfehlungsfolie und begann von vorne.</w:t>
      </w:r>
    </w:p>
    <w:bookmarkEnd w:id="19"/>
    <w:bookmarkStart w:id="20" w:name="diskussionsfragen"/>
    <w:p>
      <w:pPr>
        <w:pStyle w:val="Heading1"/>
      </w:pPr>
      <w:r>
        <w:t xml:space="preserve">Diskussionsfragen</w:t>
      </w:r>
    </w:p>
    <w:p>
      <w:pPr>
        <w:numPr>
          <w:ilvl w:val="0"/>
          <w:numId w:val="1001"/>
        </w:numPr>
      </w:pPr>
      <w:r>
        <w:t xml:space="preserve">Was ist das zentrale Geschäftsproblem, dem Northbridge gegenübersteht, und warum ist es umfassender als die Wahl, ob eine Lieferantenfinanzierungsplattform eingeführt werden soll?</w:t>
      </w:r>
    </w:p>
    <w:p>
      <w:pPr>
        <w:numPr>
          <w:ilvl w:val="0"/>
          <w:numId w:val="1001"/>
        </w:numPr>
      </w:pPr>
      <w:r>
        <w:t xml:space="preserve">Welche Lieferanten sollten Priorität erhalten, und welche Informationen sollten über Berechtigung oder Unternehmensunterstützung entscheiden?</w:t>
      </w:r>
    </w:p>
    <w:p>
      <w:pPr>
        <w:numPr>
          <w:ilvl w:val="0"/>
          <w:numId w:val="1001"/>
        </w:numPr>
      </w:pPr>
      <w:r>
        <w:t xml:space="preserve">Wie sollte Northbridge den Wert des Cash-Erhalts mit dem Risiko der Schwächung finanziell verwundbarer Lieferanten abwägen?</w:t>
      </w:r>
    </w:p>
    <w:p>
      <w:pPr>
        <w:numPr>
          <w:ilvl w:val="0"/>
          <w:numId w:val="1001"/>
        </w:numPr>
      </w:pPr>
      <w:r>
        <w:t xml:space="preserve">Sollten Zahlungsziele für Lieferanten verlängert werden, die über die Bank eine vorzeitige Zahlung erhalten können? Warum oder warum nicht?</w:t>
      </w:r>
    </w:p>
    <w:p>
      <w:pPr>
        <w:numPr>
          <w:ilvl w:val="0"/>
          <w:numId w:val="1001"/>
        </w:numPr>
      </w:pPr>
      <w:r>
        <w:t xml:space="preserve">Wie sollte die Geschwindigkeit der Rechnungsgenehmigung das Design und den Zeitpunkt des Programms beeinflussen?</w:t>
      </w:r>
    </w:p>
    <w:p>
      <w:pPr>
        <w:numPr>
          <w:ilvl w:val="0"/>
          <w:numId w:val="1001"/>
        </w:numPr>
      </w:pPr>
      <w:r>
        <w:t xml:space="preserve">Welche finanziellen Risiken sollte Northbridge versichern oder absichern, und welche sollte es selbst tragen?</w:t>
      </w:r>
    </w:p>
    <w:p>
      <w:pPr>
        <w:numPr>
          <w:ilvl w:val="0"/>
          <w:numId w:val="1001"/>
        </w:numPr>
      </w:pPr>
      <w:r>
        <w:t xml:space="preserve">Wie sollte das Unternehmen mit Lieferanten umgehen, die operativ kritisch sind, aber die finanziellen oder Compliance-Prüfungen der Bank nicht bestehen?</w:t>
      </w:r>
    </w:p>
    <w:p>
      <w:pPr>
        <w:numPr>
          <w:ilvl w:val="0"/>
          <w:numId w:val="1001"/>
        </w:numPr>
      </w:pPr>
      <w:r>
        <w:t xml:space="preserve">Was könnte schiefgehen, wenn sich Northbridge stark auf eine Bank oder eine digitale Plattform verlässt?</w:t>
      </w:r>
    </w:p>
    <w:p>
      <w:pPr>
        <w:numPr>
          <w:ilvl w:val="0"/>
          <w:numId w:val="1001"/>
        </w:numPr>
      </w:pPr>
      <w:r>
        <w:t xml:space="preserve">Welche zusätzlichen Daten oder Pilotprojekte wären vor einem breiteren Engagement am wertvollsten?</w:t>
      </w:r>
    </w:p>
    <w:p>
      <w:pPr>
        <w:numPr>
          <w:ilvl w:val="0"/>
          <w:numId w:val="1001"/>
        </w:numPr>
      </w:pPr>
      <w:r>
        <w:t xml:space="preserve">Welche Maßnahmen sollte Chen sofort empfehlen, und welche Entscheidungen sollten von künftigen Ereignissen abhängig bleiben?</w:t>
      </w:r>
    </w:p>
    <w:bookmarkEnd w:id="20"/>
    <w:bookmarkStart w:id="26" w:name="fragen-zur-entscheidungsrahmung"/>
    <w:p>
      <w:pPr>
        <w:pStyle w:val="Heading1"/>
      </w:pPr>
      <w:r>
        <w:t xml:space="preserve">Fragen zur Entscheidungsrahmung</w:t>
      </w:r>
    </w:p>
    <w:p>
      <w:pPr>
        <w:numPr>
          <w:ilvl w:val="0"/>
          <w:numId w:val="1002"/>
        </w:numPr>
      </w:pPr>
      <w:r>
        <w:t xml:space="preserve">Identifizieren und beschreiben Sie die Verantwortlichkeiten des Entscheidungsträgers. Dies sollte den Umfang des Problems festlegen.</w:t>
      </w:r>
    </w:p>
    <w:p>
      <w:pPr>
        <w:numPr>
          <w:ilvl w:val="0"/>
          <w:numId w:val="1002"/>
        </w:numPr>
      </w:pPr>
      <w:r>
        <w:t xml:space="preserve">Verwenden Sie das</w:t>
      </w:r>
      <w:r>
        <w:t xml:space="preserve"> </w:t>
      </w:r>
      <w:hyperlink r:id="rId21">
        <w:r>
          <w:rPr>
            <w:rStyle w:val="Hyperlink"/>
          </w:rPr>
          <w:t xml:space="preserve">Metrik-Pyramiden-Tool</w:t>
        </w:r>
      </w:hyperlink>
      <w:r>
        <w:t xml:space="preserve">, um die verschiedenen Leistungskennzahlen zu identifizieren und zu priorisieren. Klicken Sie auf das Oval, das die Kennzahl enthält, um festzulegen, ob es sich um eine zu maximierende Kennzahl (grün), eine zu minimierende (rot), ein Zielwert handelt, der eine Untergrenze (hellgrün) oder eine Obergrenze (hellrot) darstellt, oder schließlich um einen Zielwert (violett).</w:t>
      </w:r>
    </w:p>
    <w:p>
      <w:pPr>
        <w:numPr>
          <w:ilvl w:val="0"/>
          <w:numId w:val="1002"/>
        </w:numPr>
      </w:pPr>
      <w:r>
        <w:t xml:space="preserve">Verwenden Sie das</w:t>
      </w:r>
      <w:r>
        <w:t xml:space="preserve"> </w:t>
      </w:r>
      <w:hyperlink r:id="rId22">
        <w:r>
          <w:rPr>
            <w:rStyle w:val="Hyperlink"/>
          </w:rPr>
          <w:t xml:space="preserve">Entscheidungspriorisierungs-Tool</w:t>
        </w:r>
      </w:hyperlink>
      <w:r>
        <w:t xml:space="preserve">, um zunächst die verschiedenen Arten von Entscheidungen aufzulisten (verwenden Sie die</w:t>
      </w:r>
      <w:r>
        <w:t xml:space="preserve"> </w:t>
      </w:r>
      <w:hyperlink r:id="rId23">
        <w:r>
          <w:rPr>
            <w:rStyle w:val="Hyperlink"/>
          </w:rPr>
          <w:t xml:space="preserve">Arten von Entscheidungen</w:t>
        </w:r>
      </w:hyperlink>
      <w:r>
        <w:t xml:space="preserve"> </w:t>
      </w:r>
      <w:r>
        <w:t xml:space="preserve">als Leitfaden). Diese füllen dann die Zeilen der Matrix rechts, wobei die Spalten die Leistungskennzahlen sind, sortiert von links nach rechts nach ihrer Priorität in der obigen Pyramide. Klicken Sie auf jede Zelle, um anzugeben, ob die Auswirkung der Entscheidung auf jede Kennzahl hoch (rot), mittel (orange), niedrig (gelb) oder keine (weiß) ist.</w:t>
      </w:r>
    </w:p>
    <w:p>
      <w:pPr>
        <w:numPr>
          <w:ilvl w:val="0"/>
          <w:numId w:val="1002"/>
        </w:numPr>
      </w:pPr>
      <w:r>
        <w:t xml:space="preserve">Sie können den Griff (drei Balken) ganz links in jeder Zeile fassen, um sie nach oben oder unten zu verschieben. Sortieren Sie die Zeilen so, dass die Entscheidungen mit dem größten Einfluss auf die wichtigsten Kennzahlen nach oben rücken. Die Zellen in der oberen linken Ecke sollten die stärkste Konzentration an roten und orangefarbenen Zellen aufweisen. An diesem Punkt identifizieren Sie die Entscheidungen, die in Ihrer Studie die meiste Aufmerksamkeit erhalten sollten. Wenn Sie keine Entscheidungen mit mittlerem oder hohem Einfluss auf die wichtigsten Kennzahlen haben, überarbeiten Sie Ihre Liste von Entscheidungen.</w:t>
      </w:r>
    </w:p>
    <w:p>
      <w:pPr>
        <w:numPr>
          <w:ilvl w:val="0"/>
          <w:numId w:val="1002"/>
        </w:numPr>
      </w:pPr>
      <w:r>
        <w:t xml:space="preserve">Wiederholen Sie den Prozess, um die Unsicherheiten mit dem</w:t>
      </w:r>
      <w:r>
        <w:t xml:space="preserve"> </w:t>
      </w:r>
      <w:hyperlink r:id="rId24">
        <w:r>
          <w:rPr>
            <w:rStyle w:val="Hyperlink"/>
          </w:rPr>
          <w:t xml:space="preserve">Unsicherheitspriorisierungs-Tool</w:t>
        </w:r>
      </w:hyperlink>
      <w:r>
        <w:t xml:space="preserve"> </w:t>
      </w:r>
      <w:r>
        <w:t xml:space="preserve">aufzulisten und zu priorisieren. Verwenden Sie die</w:t>
      </w:r>
      <w:r>
        <w:t xml:space="preserve"> </w:t>
      </w:r>
      <w:hyperlink r:id="rId25">
        <w:r>
          <w:rPr>
            <w:rStyle w:val="Hyperlink"/>
          </w:rPr>
          <w:t xml:space="preserve">Kategorien von Unsicherheit</w:t>
        </w:r>
      </w:hyperlink>
      <w:r>
        <w:t xml:space="preserve">, um diese zu identifizieren.</w:t>
      </w:r>
    </w:p>
    <w:p>
      <w:pPr>
        <w:numPr>
          <w:ilvl w:val="0"/>
          <w:numId w:val="1002"/>
        </w:numPr>
      </w:pPr>
      <w:r>
        <w:t xml:space="preserve">Es ist wichtig, Unsicherheiten zu unterscheiden, die im Durchschnitt oder als Risikoereignisse bewertet werden können:</w:t>
      </w:r>
    </w:p>
    <w:p>
      <w:pPr>
        <w:numPr>
          <w:ilvl w:val="1"/>
          <w:numId w:val="1003"/>
        </w:numPr>
      </w:pPr>
      <w:r>
        <w:t xml:space="preserve">Welche Unsicherheitsquellen würden mittels durchschnittlicher Leistung über die Zeit erfasst?</w:t>
      </w:r>
    </w:p>
    <w:p>
      <w:pPr>
        <w:numPr>
          <w:ilvl w:val="1"/>
          <w:numId w:val="1003"/>
        </w:numPr>
      </w:pPr>
      <w:r>
        <w:t xml:space="preserve">Welche Unsicherheitsquellen stellen Formen von Risiko dar, die nicht angemessen durch Durchschnittswerte erfasst werden?</w:t>
      </w:r>
    </w:p>
    <w:p>
      <w:pPr>
        <w:numPr>
          <w:ilvl w:val="0"/>
          <w:numId w:val="1002"/>
        </w:numPr>
      </w:pPr>
      <w:r>
        <w:t xml:space="preserve">Wählen Sie die einzelne Entscheidung aus, die den größten Einfluss auf die wichtigste Kennzahl zu haben scheint.</w:t>
      </w:r>
    </w:p>
    <w:p>
      <w:pPr>
        <w:numPr>
          <w:ilvl w:val="1"/>
          <w:numId w:val="1004"/>
        </w:numPr>
      </w:pPr>
      <w:r>
        <w:t xml:space="preserve">Welchen Ansatz würden Sie Ihrer Meinung nach verwenden, um diese Entscheidung zu treffen?</w:t>
      </w:r>
    </w:p>
    <w:p>
      <w:pPr>
        <w:numPr>
          <w:ilvl w:val="1"/>
          <w:numId w:val="1004"/>
        </w:numPr>
      </w:pPr>
      <w:r>
        <w:t xml:space="preserve">Welche Daten scheinen notwendig zu sein, um diese Entscheidung zu treffen, einschließlich der Berechnung etwaiger Leistungskennzahlen, auf die die Entscheidung einen hohen oder mittleren Einfluss hätte.</w:t>
      </w:r>
    </w:p>
    <w:p>
      <w:pPr>
        <w:numPr>
          <w:ilvl w:val="0"/>
          <w:numId w:val="1002"/>
        </w:numPr>
      </w:pPr>
      <w:r>
        <w:t xml:space="preserve">Identifizieren Sie unter Verwendung derselben Entscheidung, die Sie in (7) identifiziert haben, die Personen, Abteilungen, Gruppen oder Organisationen, mit denen Sie zusammenarbeiten müssten, um die Entscheidung umzusetzen.</w:t>
      </w:r>
    </w:p>
    <w:bookmarkEnd w:id="26"/>
    <w:bookmarkStart w:id="27" w:name="quellenangaben"/>
    <w:p>
      <w:pPr>
        <w:pStyle w:val="Heading1"/>
      </w:pPr>
      <w:r>
        <w:t xml:space="preserve">Quellenangaben</w:t>
      </w:r>
    </w:p>
    <w:p>
      <w:pPr>
        <w:pStyle w:val="FirstParagraph"/>
      </w:pPr>
      <w:r>
        <w:t xml:space="preserve">Warren B. Powell, „Supply Chain Finance,” Kapitel 2, Bridging Decision Problems, Volume I: Framing the Problem. Der Abschnitt beschreibt Rechnungsgenehmigung, Vorabzahlung, Fälligkeitszahlung, Finanzierungs- und Versicherungsentscheidungen, Cash-Management, Kapitalallokation und Unsicherheiten im Zusammenhang mit Ausfällen, Währungen, Zöllen, Verkäufen, Zinssätzen und Kreditmärkten.</w:t>
      </w:r>
    </w:p>
    <w:p>
      <w:pPr>
        <w:pStyle w:val="BodyText"/>
      </w:pPr>
      <w:r>
        <w:t xml:space="preserve">Federal Reserve Banks, 2026 Report on Employer Firms: Findings from the 2025 Small Business Credit Survey, 3. März 2026. Die Umfrage berichtete, dass 60 % der Firmen eine Finanzierung beantragten, 42 % den vollen gewünschten Betrag erhielten und zollbedingte Kostenprobleme besonders häufig bei Herstellern auftraten.</w:t>
      </w:r>
    </w:p>
    <w:p>
      <w:pPr>
        <w:pStyle w:val="BodyText"/>
      </w:pPr>
      <w:r>
        <w:t xml:space="preserve">Secured Finance Network, „The Growing Impact of Supply Chain Finance: Insights from SFNet’s 2025 Market Sizing Study.” Die Studie schätzte, dass etwa 12 % der US-Handelsforderungen im Jahr 2024 über Lieferkettenfinanzierungsvereinbarungen finanziert wurden, was einem jährlichen Markt von etwa $2,56 Billionen entspricht.</w:t>
      </w:r>
    </w:p>
    <w:p>
      <w:pPr>
        <w:pStyle w:val="BodyText"/>
      </w:pPr>
      <w:r>
        <w:t xml:space="preserve">International Finance Corporation, „Scaling Up Supply Chain Finance Could Unlock Billions for SMEs,” September 2025. Die IFC schätzte, dass die globale Handelsfinanzierungslücke $2,5 Billionen erreicht hatte, und betonte die Working-Capital-Einschränkungen, mit denen kleinere Lieferanten konfrontiert sind.</w:t>
      </w:r>
    </w:p>
    <w:bookmarkEnd w:id="27"/>
    <w:bookmarkStart w:id="30" w:name="chatgpt-notizen"/>
    <w:p>
      <w:pPr>
        <w:pStyle w:val="Heading1"/>
      </w:pPr>
      <w:r>
        <w:t xml:space="preserve">ChatGPT-Notizen</w:t>
      </w:r>
    </w:p>
    <w:bookmarkStart w:id="28" w:name="prompt"/>
    <w:p>
      <w:pPr>
        <w:pStyle w:val="Heading2"/>
      </w:pPr>
      <w:r>
        <w:t xml:space="preserve">Prompt</w:t>
      </w:r>
    </w:p>
    <w:p>
      <w:pPr>
        <w:pStyle w:val="FirstParagraph"/>
      </w:pPr>
      <w:r>
        <w:t xml:space="preserve">Schreiben Sie eine 4-6-seitige Fallstudie basierend auf dem Material im Abschnitt unter https://warrenpowell.org/bridging-vol1/chapter-2/#supplychainfinance. Erstellen Sie einen Kontext basierend auf den Kennzahlen, Entscheidungen und Unsicherheiten im Abschnitt, jedoch ohne explizit darauf hinzuweisen. Begründen Sie Ihr Fallproblem mit Daten.</w:t>
      </w:r>
    </w:p>
    <w:bookmarkEnd w:id="28"/>
    <w:bookmarkStart w:id="29" w:name="zusammenfassung"/>
    <w:p>
      <w:pPr>
        <w:pStyle w:val="Heading2"/>
      </w:pPr>
      <w:r>
        <w:t xml:space="preserve">Zusammenfassung</w:t>
      </w:r>
    </w:p>
    <w:p>
      <w:pPr>
        <w:pStyle w:val="FirstParagraph"/>
      </w:pPr>
      <w:r>
        <w:t xml:space="preserve">Die Fallstudie folgt einem fiktiven Hersteller, dessen Lieferanten schnellere Zahlungen fordern, während das Unternehmen versucht, Barmittel zu bewahren, zollbedingte Kosten zu absorbieren, zusätzliche Lagerbestände zu finanzieren und seine Kreditposition aufrechtzuerhalten. Sie betrachtet Lieferantenfinanzierung, Vorabzahlungsabschläge, Zahlungsziele, Rechnungsgenehmigung, Versicherung, Währungsabsicherung, Barreserven und Unterstützung für finanziell verwundbare Lieferanten, ohne eine bevorzugte Lösung zu benennen.</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2" Target="https://warrenpowell.org/decision-framing-tool/#decision-prioritization-tool" TargetMode="External" /><Relationship Type="http://schemas.openxmlformats.org/officeDocument/2006/relationships/hyperlink" Id="rId21" Target="https://warrenpowell.org/decision-framing-tool/#metrics-pyramid-tool" TargetMode="External" /><Relationship Type="http://schemas.openxmlformats.org/officeDocument/2006/relationships/hyperlink" Id="rId24" Target="https://warrenpowell.org/decision-framing-tool/#uncertainty-prioritization-tool" TargetMode="External" /><Relationship Type="http://schemas.openxmlformats.org/officeDocument/2006/relationships/hyperlink" Id="rId23" Target="https://warrenpowell.org/decisionsdecisions/#types-of-decision-settings" TargetMode="External" /><Relationship Type="http://schemas.openxmlformats.org/officeDocument/2006/relationships/hyperlink" Id="rId2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2026-09-11T16:20:45Z</dcterms:created>
  <dcterms:modified xsi:type="dcterms:W3CDTF">2026-09-11T16:20:45Z</dcterms:modified>
</cp:coreProperties>
</file>

<file path=docProps/custom.xml><?xml version="1.0" encoding="utf-8"?>
<Properties xmlns="http://schemas.openxmlformats.org/officeDocument/2006/custom-properties" xmlns:vt="http://schemas.openxmlformats.org/officeDocument/2006/docPropsVTypes"/>
</file>