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Northstar Living: Die Bestandswette</w:t>
      </w:r>
    </w:p>
    <w:p>
      <w:pPr>
        <w:pStyle w:val="BodyText"/>
      </w:pPr>
      <w:r>
        <w:t xml:space="preserve">Ein Lehrfall zur Bestandsplanung bei langen Vorlaufzeiten</w:t>
      </w:r>
    </w:p>
    <w:p>
      <w:pPr>
        <w:pStyle w:val="BodyText"/>
      </w:pPr>
      <w:r>
        <w:t xml:space="preserve">Dieser Fall ist fiktiv und für den Unterrichtsgebrauch gedacht. Namen, Ereignisse, Organisationen und Betriebsdaten sind erfunden, obgleich der Branchenkontext durch öffentliche Quellen informiert ist.</w:t>
      </w:r>
    </w:p>
    <w:p>
      <w:pPr>
        <w:pStyle w:val="BodyText"/>
      </w:pPr>
      <w:r>
        <w:t xml:space="preserve">Ende Juli 2026 stand Maya Chen, Chief Operating Officer von Northstar Living, vor einer Entscheidung, die auf einer Tabellenkalkulation einfach erschien und in der Praxis zunehmend gefährlich wurde. Das Unternehmen musste sich zu Weihnachtseinkäufen seiner am schnellsten wachsenden Produkte verpflichten, bevor bekannt war, wie stark die Verbrauchernachfrage sein würde, ob Seefrachtsendungen pünktlich eintreffen würden oder wie aggressiv Wettbewerber ähnliche Produkte rabattieren würden.</w:t>
      </w:r>
    </w:p>
    <w:p>
      <w:pPr>
        <w:pStyle w:val="BodyText"/>
      </w:pPr>
      <w:r>
        <w:t xml:space="preserve">Northstar verkaufte kompakte Haushaltsgeräte über seine eigene Website, große Online-Marktplätze und 420 Fachhändler. Seine Produkte – Luftreiniger, Tischeismaschinen, smarte Ventilatoren und kompakte Induktionskochfelder – wurden in den Vereinigten Staaten entworfen, aber hauptsächlich von Vertragsherstellern in China, Vietnam und Polen bezogen. Typische Nachschub-Vorlaufzeiten betrugen 7 bis 11 Wochen von der Bestellung bis zur Verfügbarkeit des Bestands, und eine Störung in einem Hafen oder einer Fabrik konnte mehrere weitere Wochen hinzufügen.</w:t>
      </w:r>
    </w:p>
    <w:p>
      <w:pPr>
        <w:pStyle w:val="BodyText"/>
      </w:pPr>
      <w:r>
        <w:t xml:space="preserve">Der Einsatz wuchs. Die US-Einzelhandelsumsätze in Möbel-, Wohneinrichtungs-, Elektronik- und Gerätegeschäften erreichten im Mai 2026 rund 19,5 Milliarden $, während die Bestände in dieser Kategorie bei etwa 30,7 Milliarden $ lagen. Das entsprechende saisonbereinigte Verhältnis von Bestand zu Umsatz betrug 1,58. In der gesamten US-Wirtschaft hielten Hersteller und Handelsunternehmen im Mai 2026 Bestände von etwa 2,74 Billionen $. Diese Zahlen deuteten sowohl auf einen großen Markt als auch auf das anhaltende Risiko hin, erhebliches Kapital in Waren zu binden, die sich möglicherweise nicht wie erwartet verkaufen.</w:t>
      </w:r>
    </w:p>
    <w:bookmarkStart w:id="9" w:name="die-weihnachtsverpflichtung"/>
    <w:p>
      <w:pPr>
        <w:pStyle w:val="Heading1"/>
      </w:pPr>
      <w:r>
        <w:t xml:space="preserve">Die Weihnachtsverpflichtung</w:t>
      </w:r>
    </w:p>
    <w:p>
      <w:pPr>
        <w:pStyle w:val="FirstParagraph"/>
      </w:pPr>
      <w:r>
        <w:t xml:space="preserve">Northstar erwartete, dass November und Dezember 31 Prozent des Jahresumsatzes erwirtschaften würden. Einzelhandelspartner wollten feste Zuteilungen bis zum 1. September, während Lieferanten Anfang August Kaufverpflichtungen benötigten, um Produktionsplätze zu sichern. Das Finanzteam hatte bis zu 42 Millionen $ an neuen Bestandskäufen genehmigt, einschließlich Fracht und Zöllen. Der aktuelle Vorschlag des Managements erforderte 39,6 Millionen $, wodurch wenig Spielraum für Notfall-Luftfracht, unerwartete Zölle oder eine plötzliche Gelegenheit blieb, von einem alternativen Lieferanten zu kaufen.</w:t>
      </w:r>
    </w:p>
    <w:p>
      <w:pPr>
        <w:pStyle w:val="BodyText"/>
      </w:pPr>
      <w:r>
        <w:t xml:space="preserve">Das Unternehmen hatte die vorherige Weihnachtssaison mit zwei sehr unterschiedlichen Ergebnissen beendet. Es ging der Luftreiniger der Premiumklasse während einer Zeit starker Waldbrandrauchbelastung aus, was geschätzte Umsätze kostete und mehrere große Einzelhändler enttäuschte. Gleichzeitig trug es 46.000 überschüssige smarte Ventilatoren in den Januar und rabattierte sie schließlich um 35 Prozent. Der Engpass beim Luftreiniger half Wettbewerbern, Regalplatz zu gewinnen; der Ventilatorüberschuss verbrauchte Lagerkapazität und reduzierte die operative Marge.</w:t>
      </w:r>
    </w:p>
    <w:tbl>
      <w:tblPr>
        <w:tblStyle w:val="Table"/>
        <w:tblW w:type="pct" w:w="4932"/>
        <w:tblLayout w:type="fixed"/>
        <w:tblLook w:firstRow="1" w:lastRow="0" w:firstColumn="0" w:lastColumn="0" w:noHBand="0" w:noVBand="0" w:val="0020"/>
      </w:tblPr>
      <w:tblGrid>
        <w:gridCol w:w="1498"/>
        <w:gridCol w:w="1177"/>
        <w:gridCol w:w="1337"/>
        <w:gridCol w:w="963"/>
        <w:gridCol w:w="1712"/>
        <w:gridCol w:w="1123"/>
      </w:tblGrid>
      <w:tr>
        <w:trPr>
          <w:tblHeader w:val="on"/>
        </w:trPr>
        <w:tc>
          <w:tcPr/>
          <w:p>
            <w:pPr>
              <w:pStyle w:val="Compact"/>
              <w:jc w:val="left"/>
            </w:pPr>
            <w:r>
              <w:t xml:space="preserve">Produkt</w:t>
            </w:r>
          </w:p>
        </w:tc>
        <w:tc>
          <w:tcPr/>
          <w:p>
            <w:pPr>
              <w:pStyle w:val="Compact"/>
              <w:jc w:val="left"/>
            </w:pPr>
            <w:r>
              <w:t xml:space="preserve">Geplante Bestellung</w:t>
            </w:r>
          </w:p>
        </w:tc>
        <w:tc>
          <w:tcPr/>
          <w:p>
            <w:pPr>
              <w:pStyle w:val="Compact"/>
              <w:jc w:val="left"/>
            </w:pPr>
            <w:r>
              <w:t xml:space="preserve">Landkosten pro Einheit</w:t>
            </w:r>
          </w:p>
        </w:tc>
        <w:tc>
          <w:tcPr/>
          <w:p>
            <w:pPr>
              <w:pStyle w:val="Compact"/>
              <w:jc w:val="left"/>
            </w:pPr>
            <w:r>
              <w:t xml:space="preserve">Regulärer Preis</w:t>
            </w:r>
          </w:p>
        </w:tc>
        <w:tc>
          <w:tcPr/>
          <w:p>
            <w:pPr>
              <w:pStyle w:val="Compact"/>
              <w:jc w:val="left"/>
            </w:pPr>
            <w:r>
              <w:t xml:space="preserve">Erwartete Weihnachtsnachfrage</w:t>
            </w:r>
          </w:p>
        </w:tc>
        <w:tc>
          <w:tcPr/>
          <w:p>
            <w:pPr>
              <w:pStyle w:val="Compact"/>
              <w:jc w:val="left"/>
            </w:pPr>
            <w:r>
              <w:t xml:space="preserve">Aktueller Bestand</w:t>
            </w:r>
          </w:p>
        </w:tc>
      </w:tr>
      <w:tr>
        <w:tc>
          <w:tcPr/>
          <w:p>
            <w:pPr>
              <w:pStyle w:val="Compact"/>
              <w:jc w:val="left"/>
            </w:pPr>
            <w:r>
              <w:t xml:space="preserve">PureAir Pro Luftreiniger</w:t>
            </w:r>
          </w:p>
        </w:tc>
        <w:tc>
          <w:tcPr/>
          <w:p>
            <w:pPr>
              <w:pStyle w:val="Compact"/>
              <w:jc w:val="left"/>
            </w:pPr>
            <w:r>
              <w:t xml:space="preserve">92.000</w:t>
            </w:r>
          </w:p>
        </w:tc>
        <w:tc>
          <w:tcPr/>
          <w:p>
            <w:pPr>
              <w:pStyle w:val="Compact"/>
              <w:jc w:val="left"/>
            </w:pPr>
            <w:r>
              <w:t xml:space="preserve">142 $</w:t>
            </w:r>
          </w:p>
        </w:tc>
        <w:tc>
          <w:tcPr/>
          <w:p>
            <w:pPr>
              <w:pStyle w:val="Compact"/>
              <w:jc w:val="left"/>
            </w:pPr>
            <w:r>
              <w:t xml:space="preserve">299 $</w:t>
            </w:r>
          </w:p>
        </w:tc>
        <w:tc>
          <w:tcPr/>
          <w:p>
            <w:pPr>
              <w:pStyle w:val="Compact"/>
              <w:jc w:val="left"/>
            </w:pPr>
            <w:r>
              <w:t xml:space="preserve">105.000</w:t>
            </w:r>
          </w:p>
        </w:tc>
        <w:tc>
          <w:tcPr/>
          <w:p>
            <w:pPr>
              <w:pStyle w:val="Compact"/>
              <w:jc w:val="left"/>
            </w:pPr>
            <w:r>
              <w:t xml:space="preserve">18.000</w:t>
            </w:r>
          </w:p>
        </w:tc>
      </w:tr>
      <w:tr>
        <w:tc>
          <w:tcPr/>
          <w:p>
            <w:pPr>
              <w:pStyle w:val="Compact"/>
              <w:jc w:val="left"/>
            </w:pPr>
            <w:r>
              <w:t xml:space="preserve">FrostBox Eismaschine</w:t>
            </w:r>
          </w:p>
        </w:tc>
        <w:tc>
          <w:tcPr/>
          <w:p>
            <w:pPr>
              <w:pStyle w:val="Compact"/>
              <w:jc w:val="left"/>
            </w:pPr>
            <w:r>
              <w:t xml:space="preserve">74.000</w:t>
            </w:r>
          </w:p>
        </w:tc>
        <w:tc>
          <w:tcPr/>
          <w:p>
            <w:pPr>
              <w:pStyle w:val="Compact"/>
              <w:jc w:val="left"/>
            </w:pPr>
            <w:r>
              <w:t xml:space="preserve">118 $</w:t>
            </w:r>
          </w:p>
        </w:tc>
        <w:tc>
          <w:tcPr/>
          <w:p>
            <w:pPr>
              <w:pStyle w:val="Compact"/>
              <w:jc w:val="left"/>
            </w:pPr>
            <w:r>
              <w:t xml:space="preserve">249 $</w:t>
            </w:r>
          </w:p>
        </w:tc>
        <w:tc>
          <w:tcPr/>
          <w:p>
            <w:pPr>
              <w:pStyle w:val="Compact"/>
              <w:jc w:val="left"/>
            </w:pPr>
            <w:r>
              <w:t xml:space="preserve">82.000</w:t>
            </w:r>
          </w:p>
        </w:tc>
        <w:tc>
          <w:tcPr/>
          <w:p>
            <w:pPr>
              <w:pStyle w:val="Compact"/>
              <w:jc w:val="left"/>
            </w:pPr>
            <w:r>
              <w:t xml:space="preserve">13.500</w:t>
            </w:r>
          </w:p>
        </w:tc>
      </w:tr>
      <w:tr>
        <w:tc>
          <w:tcPr/>
          <w:p>
            <w:pPr>
              <w:pStyle w:val="Compact"/>
              <w:jc w:val="left"/>
            </w:pPr>
            <w:r>
              <w:t xml:space="preserve">BreezeIQ smarter Ventilator</w:t>
            </w:r>
          </w:p>
        </w:tc>
        <w:tc>
          <w:tcPr/>
          <w:p>
            <w:pPr>
              <w:pStyle w:val="Compact"/>
              <w:jc w:val="left"/>
            </w:pPr>
            <w:r>
              <w:t xml:space="preserve">65.000</w:t>
            </w:r>
          </w:p>
        </w:tc>
        <w:tc>
          <w:tcPr/>
          <w:p>
            <w:pPr>
              <w:pStyle w:val="Compact"/>
              <w:jc w:val="left"/>
            </w:pPr>
            <w:r>
              <w:t xml:space="preserve">61 $</w:t>
            </w:r>
          </w:p>
        </w:tc>
        <w:tc>
          <w:tcPr/>
          <w:p>
            <w:pPr>
              <w:pStyle w:val="Compact"/>
              <w:jc w:val="left"/>
            </w:pPr>
            <w:r>
              <w:t xml:space="preserve">139 $</w:t>
            </w:r>
          </w:p>
        </w:tc>
        <w:tc>
          <w:tcPr/>
          <w:p>
            <w:pPr>
              <w:pStyle w:val="Compact"/>
              <w:jc w:val="left"/>
            </w:pPr>
            <w:r>
              <w:t xml:space="preserve">52.000</w:t>
            </w:r>
          </w:p>
        </w:tc>
        <w:tc>
          <w:tcPr/>
          <w:p>
            <w:pPr>
              <w:pStyle w:val="Compact"/>
              <w:jc w:val="left"/>
            </w:pPr>
            <w:r>
              <w:t xml:space="preserve">21.000</w:t>
            </w:r>
          </w:p>
        </w:tc>
      </w:tr>
      <w:tr>
        <w:tc>
          <w:tcPr/>
          <w:p>
            <w:pPr>
              <w:pStyle w:val="Compact"/>
              <w:jc w:val="left"/>
            </w:pPr>
            <w:r>
              <w:t xml:space="preserve">HeatPoint Induktionsgerät</w:t>
            </w:r>
          </w:p>
        </w:tc>
        <w:tc>
          <w:tcPr/>
          <w:p>
            <w:pPr>
              <w:pStyle w:val="Compact"/>
              <w:jc w:val="left"/>
            </w:pPr>
            <w:r>
              <w:t xml:space="preserve">48.000</w:t>
            </w:r>
          </w:p>
        </w:tc>
        <w:tc>
          <w:tcPr/>
          <w:p>
            <w:pPr>
              <w:pStyle w:val="Compact"/>
              <w:jc w:val="left"/>
            </w:pPr>
            <w:r>
              <w:t xml:space="preserve">87 $</w:t>
            </w:r>
          </w:p>
        </w:tc>
        <w:tc>
          <w:tcPr/>
          <w:p>
            <w:pPr>
              <w:pStyle w:val="Compact"/>
              <w:jc w:val="left"/>
            </w:pPr>
            <w:r>
              <w:t xml:space="preserve">189 $</w:t>
            </w:r>
          </w:p>
        </w:tc>
        <w:tc>
          <w:tcPr/>
          <w:p>
            <w:pPr>
              <w:pStyle w:val="Compact"/>
              <w:jc w:val="left"/>
            </w:pPr>
            <w:r>
              <w:t xml:space="preserve">55.000</w:t>
            </w:r>
          </w:p>
        </w:tc>
        <w:tc>
          <w:tcPr/>
          <w:p>
            <w:pPr>
              <w:pStyle w:val="Compact"/>
              <w:jc w:val="left"/>
            </w:pPr>
            <w:r>
              <w:t xml:space="preserve">9.000</w:t>
            </w:r>
          </w:p>
        </w:tc>
      </w:tr>
    </w:tbl>
    <w:p>
      <w:pPr>
        <w:pStyle w:val="BodyText"/>
      </w:pPr>
      <w:r>
        <w:t xml:space="preserve">Die Nachfrageprognose war keine einzelne Zahl. Der Vertrieb glaubte, dass der Luftreiniger 125.000 Einheiten übersteigen könnte, falls sich die Rauchbedingungen verschlechterten oder eine geplante Influencer-Kampagne erfolgreich wäre. Die Finanzabteilung hielt 90.000 Einheiten für plausibel, falls sich die Verbraucherausgaben abschwächten. Einzelhändler konnten bis zu 20 Prozent der Vorbestellungen vier Wochen vor dem Versand stornieren. Die Online-Nachfrage traf ohne Vorwarnung ein, und Kunden warteten selten, wenn ein Artikel nicht verfügbar war.</w:t>
      </w:r>
    </w:p>
    <w:bookmarkEnd w:id="9"/>
    <w:bookmarkStart w:id="10" w:name="informationen-die-nicht-übereinstimmten"/>
    <w:p>
      <w:pPr>
        <w:pStyle w:val="Heading1"/>
      </w:pPr>
      <w:r>
        <w:t xml:space="preserve">Informationen, die nicht übereinstimmten</w:t>
      </w:r>
    </w:p>
    <w:p>
      <w:pPr>
        <w:pStyle w:val="FirstParagraph"/>
      </w:pPr>
      <w:r>
        <w:t xml:space="preserve">Das Prognosesystem des Unternehmens kombinierte historische Verkaufsdaten, Einzelhändlerbestellungen, Web-Traffic, Preise, Werbeaktionen, Wetterindikatoren und das Urteilsvermögen von Produktmanagern. Die Prognosegenauigkeit hatte sich auf Kategorieebene verbessert, aber die Fehler blieben nach Produkt und Woche hoch. Manager waren uneins darüber, ob die Prognose falsch war, weil das Modell schwach war, weil sich die Marketingpläne nach der Erstellung der Prognose geändert hatten, oder weil Bestandsengpässe die zur Schulung verwendete Verkaufshistorie verzerrten.</w:t>
      </w:r>
    </w:p>
    <w:tbl>
      <w:tblPr>
        <w:tblStyle w:val="Table"/>
        <w:tblW w:type="pct" w:w="4898"/>
        <w:tblLayout w:type="fixed"/>
        <w:tblLook w:firstRow="1" w:lastRow="0" w:firstColumn="0" w:lastColumn="0" w:noHBand="0" w:noVBand="0" w:val="0020"/>
      </w:tblPr>
      <w:tblGrid>
        <w:gridCol w:w="2909"/>
        <w:gridCol w:w="1212"/>
        <w:gridCol w:w="1212"/>
        <w:gridCol w:w="1212"/>
        <w:gridCol w:w="1212"/>
      </w:tblGrid>
      <w:tr>
        <w:trPr>
          <w:tblHeader w:val="on"/>
        </w:trPr>
        <w:tc>
          <w:tcPr/>
          <w:p>
            <w:pPr>
              <w:pStyle w:val="Compact"/>
            </w:pPr>
            <w:r>
              <w:t xml:space="preserve">Indikator P</w:t>
            </w:r>
          </w:p>
        </w:tc>
        <w:tc>
          <w:tcPr/>
          <w:p>
            <w:pPr>
              <w:pStyle w:val="Compact"/>
            </w:pPr>
            <w:r>
              <w:t xml:space="preserve">ureAir F</w:t>
            </w:r>
          </w:p>
        </w:tc>
        <w:tc>
          <w:tcPr/>
          <w:p>
            <w:pPr>
              <w:pStyle w:val="Compact"/>
            </w:pPr>
            <w:r>
              <w:t xml:space="preserve">rostBox B</w:t>
            </w:r>
          </w:p>
        </w:tc>
        <w:tc>
          <w:tcPr/>
          <w:p>
            <w:pPr>
              <w:pStyle w:val="Compact"/>
            </w:pPr>
            <w:r>
              <w:t xml:space="preserve">reezeIQ H</w:t>
            </w:r>
          </w:p>
        </w:tc>
        <w:tc>
          <w:tcPr/>
          <w:p>
            <w:pPr>
              <w:pStyle w:val="Compact"/>
              <w:jc w:val="left"/>
            </w:pPr>
            <w:r>
              <w:t xml:space="preserve">eatPoint</w:t>
            </w:r>
          </w:p>
        </w:tc>
      </w:tr>
      <w:tr>
        <w:tc>
          <w:tcPr/>
          <w:p>
            <w:pPr>
              <w:pStyle w:val="Compact"/>
            </w:pPr>
            <w:r>
              <w:t xml:space="preserve">Prognosefehler, vorherige 12 Monate</w:t>
            </w:r>
          </w:p>
        </w:tc>
        <w:tc>
          <w:tcPr/>
          <w:p>
            <w:pPr>
              <w:pStyle w:val="Compact"/>
            </w:pPr>
            <w:r>
              <w:t xml:space="preserve">24%</w:t>
            </w:r>
          </w:p>
        </w:tc>
        <w:tc>
          <w:tcPr/>
          <w:p>
            <w:pPr>
              <w:pStyle w:val="Compact"/>
            </w:pPr>
            <w:r>
              <w:t xml:space="preserve">31%</w:t>
            </w:r>
          </w:p>
        </w:tc>
        <w:tc>
          <w:tcPr/>
          <w:p>
            <w:pPr>
              <w:pStyle w:val="Compact"/>
            </w:pPr>
            <w:r>
              <w:t xml:space="preserve">38%</w:t>
            </w:r>
          </w:p>
        </w:tc>
        <w:tc>
          <w:tcPr/>
          <w:p>
            <w:pPr>
              <w:pStyle w:val="Compact"/>
              <w:jc w:val="left"/>
            </w:pPr>
            <w:r>
              <w:t xml:space="preserve">27%</w:t>
            </w:r>
          </w:p>
        </w:tc>
      </w:tr>
      <w:tr>
        <w:tc>
          <w:tcPr/>
          <w:p>
            <w:pPr>
              <w:pStyle w:val="Compact"/>
            </w:pPr>
            <w:r>
              <w:t xml:space="preserve">Vom Lieferanten angegebene Vorlaufze</w:t>
            </w:r>
          </w:p>
        </w:tc>
        <w:tc>
          <w:tcPr/>
          <w:p>
            <w:pPr>
              <w:pStyle w:val="Compact"/>
            </w:pPr>
            <w:r>
              <w:t xml:space="preserve">it 8 Wochen</w:t>
            </w:r>
          </w:p>
        </w:tc>
        <w:tc>
          <w:tcPr/>
          <w:p>
            <w:pPr>
              <w:pStyle w:val="Compact"/>
            </w:pPr>
            <w:r>
              <w:t xml:space="preserve">9 Wochen</w:t>
            </w:r>
          </w:p>
        </w:tc>
        <w:tc>
          <w:tcPr/>
          <w:p>
            <w:pPr>
              <w:pStyle w:val="Compact"/>
            </w:pPr>
            <w:r>
              <w:t xml:space="preserve">7 Wochen</w:t>
            </w:r>
          </w:p>
        </w:tc>
        <w:tc>
          <w:tcPr/>
          <w:p>
            <w:pPr>
              <w:pStyle w:val="Compact"/>
              <w:jc w:val="left"/>
            </w:pPr>
            <w:r>
              <w:t xml:space="preserve">10 Wochen</w:t>
            </w:r>
          </w:p>
        </w:tc>
      </w:tr>
      <w:tr>
        <w:tc>
          <w:tcPr/>
          <w:p>
            <w:pPr>
              <w:pStyle w:val="Compact"/>
            </w:pPr>
            <w:r>
              <w:t xml:space="preserve">Beobachteter Bereich im Vorjahr 7</w:t>
            </w:r>
          </w:p>
        </w:tc>
        <w:tc>
          <w:tcPr/>
          <w:p>
            <w:pPr>
              <w:pStyle w:val="Compact"/>
            </w:pPr>
            <w:r>
              <w:t xml:space="preserve">–14 Wochen 8</w:t>
            </w:r>
          </w:p>
        </w:tc>
        <w:tc>
          <w:tcPr/>
          <w:p>
            <w:pPr>
              <w:pStyle w:val="Compact"/>
            </w:pPr>
            <w:r>
              <w:t xml:space="preserve">–13 Wochen 6</w:t>
            </w:r>
          </w:p>
        </w:tc>
        <w:tc>
          <w:tcPr/>
          <w:p>
            <w:pPr>
              <w:pStyle w:val="Compact"/>
            </w:pPr>
            <w:r>
              <w:t xml:space="preserve">–11 Wochen 9</w:t>
            </w:r>
          </w:p>
        </w:tc>
        <w:tc>
          <w:tcPr/>
          <w:p>
            <w:pPr>
              <w:pStyle w:val="Compact"/>
              <w:jc w:val="left"/>
            </w:pPr>
            <w:r>
              <w:t xml:space="preserve">–16 Wochen</w:t>
            </w:r>
          </w:p>
        </w:tc>
      </w:tr>
      <w:tr>
        <w:tc>
          <w:tcPr/>
          <w:p>
            <w:pPr>
              <w:pStyle w:val="Compact"/>
            </w:pPr>
            <w:r>
              <w:t xml:space="preserve">Bruttomarge zum Listenpreis 5</w:t>
            </w:r>
          </w:p>
        </w:tc>
        <w:tc>
          <w:tcPr/>
          <w:p>
            <w:pPr>
              <w:pStyle w:val="Compact"/>
            </w:pPr>
            <w:r>
              <w:t xml:space="preserve">2% 4</w:t>
            </w:r>
          </w:p>
        </w:tc>
        <w:tc>
          <w:tcPr/>
          <w:p>
            <w:pPr>
              <w:pStyle w:val="Compact"/>
            </w:pPr>
            <w:r>
              <w:t xml:space="preserve">9% 5</w:t>
            </w:r>
          </w:p>
        </w:tc>
        <w:tc>
          <w:tcPr/>
          <w:p>
            <w:pPr>
              <w:pStyle w:val="Compact"/>
            </w:pPr>
            <w:r>
              <w:t xml:space="preserve">6% 5</w:t>
            </w:r>
          </w:p>
        </w:tc>
        <w:tc>
          <w:tcPr/>
          <w:p>
            <w:pPr>
              <w:pStyle w:val="Compact"/>
              <w:jc w:val="left"/>
            </w:pPr>
            <w:r>
              <w:t xml:space="preserve">0%</w:t>
            </w:r>
          </w:p>
        </w:tc>
      </w:tr>
      <w:tr>
        <w:tc>
          <w:tcPr/>
          <w:p>
            <w:pPr>
              <w:pStyle w:val="Compact"/>
            </w:pPr>
            <w:r>
              <w:t xml:space="preserve">Erwartete Rücksendequote</w:t>
            </w:r>
          </w:p>
        </w:tc>
        <w:tc>
          <w:tcPr/>
          <w:p>
            <w:pPr>
              <w:pStyle w:val="Compact"/>
            </w:pPr>
            <w:r>
              <w:t xml:space="preserve">5,1%</w:t>
            </w:r>
          </w:p>
        </w:tc>
        <w:tc>
          <w:tcPr/>
          <w:p>
            <w:pPr>
              <w:pStyle w:val="Compact"/>
            </w:pPr>
            <w:r>
              <w:t xml:space="preserve">7,8%</w:t>
            </w:r>
          </w:p>
        </w:tc>
        <w:tc>
          <w:tcPr/>
          <w:p>
            <w:pPr>
              <w:pStyle w:val="Compact"/>
            </w:pPr>
            <w:r>
              <w:t xml:space="preserve">4,2%</w:t>
            </w:r>
          </w:p>
        </w:tc>
        <w:tc>
          <w:tcPr/>
          <w:p>
            <w:pPr>
              <w:pStyle w:val="Compact"/>
              <w:jc w:val="left"/>
            </w:pPr>
            <w:r>
              <w:t xml:space="preserve">6,4%</w:t>
            </w:r>
          </w:p>
        </w:tc>
      </w:tr>
    </w:tbl>
    <w:p>
      <w:pPr>
        <w:pStyle w:val="BodyText"/>
      </w:pPr>
      <w:r>
        <w:t xml:space="preserve">Auch die Bestandsaufzeichnungen enthielten Rauschen. Vierteljährliche physische Zählungen hatten Abweichungen zwischen 1,3 und 3,8 Prozent je Lager gefunden. Einige Einheiten waren beschädigt, ohne ordnungsgemäße Klassifizierung zurückgesandt worden oder für später stornierte Einzelhändlerpromotionen reserviert. Die Betriebsgruppe wollte zusätzliche Scan- und Sendungssichtbarkeitstechnologie installieren, aber das 1,2-Millionen-$-Projekt würde die Einkaufsentscheidung im August nicht wesentlich beeinflussen.</w:t>
      </w:r>
    </w:p>
    <w:bookmarkEnd w:id="10"/>
    <w:bookmarkStart w:id="11" w:name="lieferoptionen"/>
    <w:p>
      <w:pPr>
        <w:pStyle w:val="Heading1"/>
      </w:pPr>
      <w:r>
        <w:t xml:space="preserve">Lieferoptionen</w:t>
      </w:r>
    </w:p>
    <w:p>
      <w:pPr>
        <w:pStyle w:val="FirstParagraph"/>
      </w:pPr>
      <w:r>
        <w:t xml:space="preserve">Northstars Hauptlieferanten boten die niedrigsten Stückkosten, verlangten jedoch große Bestellungen in vollen Containermengen. Ein alternativer Hersteller in Mexiko konnte zwei Produkte mit einer Vorlaufzeit von vier Wochen produzieren, aber seine Kosten waren 16 bis 22 Prozent höher, und die anfänglichen Qualitätsausbeuten waren ungewiss. Ein polnischer Lieferant bot einen Premium-Luftreiniger mit starker Qualitätsleistung an, aber Währungsschwankungen und europäische Transportstörungen konnten die Landkosten verändern.</w:t>
      </w:r>
    </w:p>
    <w:p>
      <w:pPr>
        <w:pStyle w:val="BodyText"/>
      </w:pPr>
      <w:r>
        <w:t xml:space="preserve">Die Transportwahl fügte eine weitere Ebene hinzu. Der Seefrachtdienst war am günstigsten, aber Hafenstaus, Stürme, Ausrüstungsausfälle, Arbeitskampfmaßnahmen und Zollkontrollen konnten die Ankunft verzögern. Der Schienentransport von der Westküste zum zentralen Distributionszentrum von Northstar war günstiger als der Lkw-Komplettladungsservice, aber langsamer und weniger vorhersehbar. Luftfracht konnte einen Engpass retten, obwohl sie 34 bis 57 $ pro Einheit hinzufügte und nicht in ausreichender Kapazität für eine gesamte Saisonbestellung verfügbar war.</w:t>
      </w:r>
    </w:p>
    <w:tbl>
      <w:tblPr>
        <w:tblStyle w:val="Table"/>
        <w:tblW w:type="pct" w:w="4921"/>
        <w:tblLayout w:type="fixed"/>
        <w:tblLook w:firstRow="1" w:lastRow="0" w:firstColumn="0" w:lastColumn="0" w:noHBand="0" w:noVBand="0" w:val="0020"/>
      </w:tblPr>
      <w:tblGrid>
        <w:gridCol w:w="2057"/>
        <w:gridCol w:w="1559"/>
        <w:gridCol w:w="1559"/>
        <w:gridCol w:w="2619"/>
      </w:tblGrid>
      <w:tr>
        <w:trPr>
          <w:tblHeader w:val="on"/>
        </w:trPr>
        <w:tc>
          <w:tcPr/>
          <w:p>
            <w:pPr>
              <w:pStyle w:val="Compact"/>
            </w:pPr>
            <w:r>
              <w:t xml:space="preserve">Option Z</w:t>
            </w:r>
          </w:p>
        </w:tc>
        <w:tc>
          <w:tcPr/>
          <w:p>
            <w:pPr>
              <w:pStyle w:val="Compact"/>
              <w:jc w:val="left"/>
            </w:pPr>
            <w:r>
              <w:t xml:space="preserve">usätzliche Kosten</w:t>
            </w:r>
          </w:p>
        </w:tc>
        <w:tc>
          <w:tcPr/>
          <w:p>
            <w:pPr>
              <w:pStyle w:val="Compact"/>
              <w:jc w:val="center"/>
            </w:pPr>
            <w:r>
              <w:t xml:space="preserve">Typischer Zeitrahmen</w:t>
            </w:r>
          </w:p>
        </w:tc>
        <w:tc>
          <w:tcPr/>
          <w:p>
            <w:pPr>
              <w:pStyle w:val="Compact"/>
              <w:jc w:val="center"/>
            </w:pPr>
            <w:r>
              <w:t xml:space="preserve">Hauptanliegen</w:t>
            </w:r>
          </w:p>
        </w:tc>
      </w:tr>
      <w:tr>
        <w:tc>
          <w:tcPr/>
          <w:p>
            <w:pPr>
              <w:pStyle w:val="Compact"/>
            </w:pPr>
            <w:r>
              <w:t xml:space="preserve">Primärer asiatischer Lieferant</w:t>
            </w:r>
          </w:p>
        </w:tc>
        <w:tc>
          <w:tcPr/>
          <w:p>
            <w:pPr>
              <w:pStyle w:val="Compact"/>
              <w:jc w:val="left"/>
            </w:pPr>
            <w:r>
              <w:t xml:space="preserve">Grundlinie</w:t>
            </w:r>
          </w:p>
        </w:tc>
        <w:tc>
          <w:tcPr/>
          <w:p>
            <w:pPr>
              <w:pStyle w:val="Compact"/>
              <w:jc w:val="center"/>
            </w:pPr>
            <w:r>
              <w:t xml:space="preserve">7–11 Wochen</w:t>
            </w:r>
          </w:p>
        </w:tc>
        <w:tc>
          <w:tcPr/>
          <w:p>
            <w:pPr>
              <w:pStyle w:val="Compact"/>
              <w:jc w:val="center"/>
            </w:pPr>
            <w:r>
              <w:t xml:space="preserve">Lange Verpflichtung und Störungsrisiko</w:t>
            </w:r>
          </w:p>
        </w:tc>
      </w:tr>
      <w:tr>
        <w:tc>
          <w:tcPr/>
          <w:p>
            <w:pPr>
              <w:pStyle w:val="Compact"/>
            </w:pPr>
            <w:r>
              <w:t xml:space="preserve">Mexikanischer Backup-Lieferant</w:t>
            </w:r>
          </w:p>
        </w:tc>
        <w:tc>
          <w:tcPr/>
          <w:p>
            <w:pPr>
              <w:pStyle w:val="Compact"/>
              <w:jc w:val="left"/>
            </w:pPr>
            <w:r>
              <w:t xml:space="preserve">+16% bis +22%</w:t>
            </w:r>
          </w:p>
        </w:tc>
        <w:tc>
          <w:tcPr/>
          <w:p>
            <w:pPr>
              <w:pStyle w:val="Compact"/>
              <w:jc w:val="center"/>
            </w:pPr>
            <w:r>
              <w:t xml:space="preserve">4–6 Wochen</w:t>
            </w:r>
          </w:p>
        </w:tc>
        <w:tc>
          <w:tcPr/>
          <w:p>
            <w:pPr>
              <w:pStyle w:val="Compact"/>
              <w:jc w:val="center"/>
            </w:pPr>
            <w:r>
              <w:t xml:space="preserve">Qualitätsausbeute und begrenzte Kapazität</w:t>
            </w:r>
          </w:p>
        </w:tc>
      </w:tr>
      <w:tr>
        <w:tc>
          <w:tcPr/>
          <w:p>
            <w:pPr>
              <w:pStyle w:val="Compact"/>
            </w:pPr>
            <w:r>
              <w:t xml:space="preserve">Luftfracht-Reserve</w:t>
            </w:r>
          </w:p>
        </w:tc>
        <w:tc>
          <w:tcPr/>
          <w:p>
            <w:pPr>
              <w:pStyle w:val="Compact"/>
              <w:jc w:val="left"/>
            </w:pPr>
            <w:r>
              <w:t xml:space="preserve">+34 $ bis +57 $/Einheit</w:t>
            </w:r>
          </w:p>
        </w:tc>
        <w:tc>
          <w:tcPr/>
          <w:p>
            <w:pPr>
              <w:pStyle w:val="Compact"/>
              <w:jc w:val="center"/>
            </w:pPr>
            <w:r>
              <w:t xml:space="preserve">4–8 Tage</w:t>
            </w:r>
          </w:p>
        </w:tc>
        <w:tc>
          <w:tcPr/>
          <w:p>
            <w:pPr>
              <w:pStyle w:val="Compact"/>
              <w:jc w:val="center"/>
            </w:pPr>
            <w:r>
              <w:t xml:space="preserve">Kosten und begrenzte Kapazität</w:t>
            </w:r>
          </w:p>
        </w:tc>
      </w:tr>
      <w:tr>
        <w:tc>
          <w:tcPr/>
          <w:p>
            <w:pPr>
              <w:pStyle w:val="Compact"/>
            </w:pPr>
            <w:r>
              <w:t xml:space="preserve">Zusätzlicher inländischer Pufferb</w:t>
            </w:r>
          </w:p>
        </w:tc>
        <w:tc>
          <w:tcPr/>
          <w:p>
            <w:pPr>
              <w:pStyle w:val="Compact"/>
              <w:jc w:val="left"/>
            </w:pPr>
            <w:r>
              <w:t xml:space="preserve">estand 5,8 Mio. $ Betri</w:t>
            </w:r>
          </w:p>
        </w:tc>
        <w:tc>
          <w:tcPr/>
          <w:p>
            <w:pPr>
              <w:pStyle w:val="Compact"/>
              <w:jc w:val="center"/>
            </w:pPr>
            <w:r>
              <w:t xml:space="preserve">ebskapital Sofortige Ver</w:t>
            </w:r>
          </w:p>
        </w:tc>
        <w:tc>
          <w:tcPr/>
          <w:p>
            <w:pPr>
              <w:pStyle w:val="Compact"/>
              <w:jc w:val="center"/>
            </w:pPr>
            <w:r>
              <w:t xml:space="preserve">fügbarkeit Veralterung und Lagerplatz</w:t>
            </w:r>
          </w:p>
        </w:tc>
      </w:tr>
      <w:tr>
        <w:tc>
          <w:tcPr/>
          <w:p>
            <w:pPr>
              <w:pStyle w:val="Compact"/>
            </w:pPr>
            <w:r>
              <w:t xml:space="preserve">Sendungssichtbarkeitsplattform</w:t>
            </w:r>
          </w:p>
        </w:tc>
        <w:tc>
          <w:tcPr/>
          <w:p>
            <w:pPr>
              <w:pStyle w:val="Compact"/>
              <w:jc w:val="left"/>
            </w:pPr>
            <w:r>
              <w:t xml:space="preserve">1,2 Mio. $ Einrichtung</w:t>
            </w:r>
          </w:p>
        </w:tc>
        <w:tc>
          <w:tcPr/>
          <w:p>
            <w:pPr>
              <w:pStyle w:val="Compact"/>
              <w:jc w:val="center"/>
            </w:pPr>
            <w:r>
              <w:t xml:space="preserve">+ Gebühren 6-monatige Um</w:t>
            </w:r>
          </w:p>
        </w:tc>
        <w:tc>
          <w:tcPr/>
          <w:p>
            <w:pPr>
              <w:pStyle w:val="Compact"/>
              <w:jc w:val="center"/>
            </w:pPr>
            <w:r>
              <w:t xml:space="preserve">setzung Nutzen kommt erst nach der Weihnachtsentscheidung</w:t>
            </w:r>
          </w:p>
        </w:tc>
      </w:tr>
    </w:tbl>
    <w:p>
      <w:pPr>
        <w:pStyle w:val="BodyText"/>
      </w:pPr>
      <w:r>
        <w:t xml:space="preserve">Der Einkauf schlug vor, Bestellungen auf mehrere Lieferanten aufzuteilen. Der Leiter der Qualitätssicherung warnte, dass zusätzliche Lieferanten Prüfaufwand, inkonsistente Komponenten und eine höhere Wahrscheinlichkeit von Rücksendungen schaffen würden. Finance argumentierte, dass Diversifikation nur dann einen Wert hätte, wenn die alternative Quelle während einer Störung tatsächlich verfügbar wäre. Das Vertriebsteam befürchtete, dass höhere Kosten Preiserhöhungen erzwingen würden, gerade wenn Wettbewerber ihre Weihnachtspromotionen vorbereiteten.</w:t>
      </w:r>
    </w:p>
    <w:bookmarkEnd w:id="11"/>
    <w:bookmarkStart w:id="12" w:name="nachfragesteuerung-oder-markenschädigung"/>
    <w:p>
      <w:pPr>
        <w:pStyle w:val="Heading1"/>
      </w:pPr>
      <w:r>
        <w:t xml:space="preserve">Nachfragesteuerung – oder Markenschädigung</w:t>
      </w:r>
    </w:p>
    <w:p>
      <w:pPr>
        <w:pStyle w:val="FirstParagraph"/>
      </w:pPr>
      <w:r>
        <w:t xml:space="preserve">Der Chief Marketing Officer schlug vor, Preise und Werbezeitpläne zu nutzen, um die Produktverfügbarkeit auszubalancieren. Wenn der Luftreinigerbestand knapp erschien, könnte Northstar die Werbung reduzieren, den Online-Preis erhöhen oder Einheiten für Einzelhändler mit den stärksten langfristigen Beziehungen reservieren. Wenn sich Ventilatoren anhäuften, könnte es Coupons, Bundles oder bezahlte Social-Media-Kampagnen anbieten. Doch jede Maßnahme hatte Konsequenzen. Höhere Preise könnten den Bestand schützen, aber den Marktanteil reduzieren; Rabatte könnten den Bestand räumen, aber Kunden lehren, auf Promotionen zu warten.</w:t>
      </w:r>
    </w:p>
    <w:p>
      <w:pPr>
        <w:pStyle w:val="BodyText"/>
      </w:pPr>
      <w:r>
        <w:t xml:space="preserve">Einzelhandelsverträge komplizierten die Zuteilung. Zwei nationale Ketten erwarteten mindestens 95 Prozent pünktliche und vollständige Lieferung und konnten bei Engpässen Strafen verhängen. Northstars Website erzeugte höhere Margen und sofortige Informationen über die Nachfrage, aber die Umleitung von Beständen zum Direktverkauf konnte die Einzelhändlerbeziehungen schädigen. Kleinere Händler argumentierten, dass ihnen routinemäßig beliebte Produkte vorenthalten würden, weil große Kunden Priorität erhielten.</w:t>
      </w:r>
    </w:p>
    <w:tbl>
      <w:tblPr>
        <w:tblStyle w:val="Table"/>
        <w:tblW w:type="pct" w:w="4909"/>
        <w:tblLayout w:type="fixed"/>
        <w:tblLook w:firstRow="1" w:lastRow="0" w:firstColumn="0" w:lastColumn="0" w:noHBand="0" w:noVBand="0" w:val="0020"/>
      </w:tblPr>
      <w:tblGrid>
        <w:gridCol w:w="2952"/>
        <w:gridCol w:w="2088"/>
        <w:gridCol w:w="2736"/>
      </w:tblGrid>
      <w:tr>
        <w:trPr>
          <w:tblHeader w:val="on"/>
        </w:trPr>
        <w:tc>
          <w:tcPr/>
          <w:p>
            <w:pPr>
              <w:pStyle w:val="Compact"/>
            </w:pPr>
            <w:r>
              <w:t xml:space="preserve">Mögliche Maßnahme G</w:t>
            </w:r>
          </w:p>
        </w:tc>
        <w:tc>
          <w:tcPr/>
          <w:p>
            <w:pPr>
              <w:pStyle w:val="Compact"/>
            </w:pPr>
            <w:r>
              <w:t xml:space="preserve">eschätzte kurzfristige Wirkun</w:t>
            </w:r>
          </w:p>
        </w:tc>
        <w:tc>
          <w:tcPr/>
          <w:p>
            <w:pPr>
              <w:pStyle w:val="Compact"/>
            </w:pPr>
            <w:r>
              <w:t xml:space="preserve">g Vom Management geäußerte Bedenken</w:t>
            </w:r>
          </w:p>
        </w:tc>
      </w:tr>
      <w:tr>
        <w:tc>
          <w:tcPr/>
          <w:p>
            <w:pPr>
              <w:pStyle w:val="Compact"/>
            </w:pPr>
            <w:r>
              <w:t xml:space="preserve">Luftreinigerpreis um 20 $ erhöhen</w:t>
            </w:r>
          </w:p>
        </w:tc>
        <w:tc>
          <w:tcPr/>
          <w:p>
            <w:pPr>
              <w:pStyle w:val="Compact"/>
            </w:pPr>
            <w:r>
              <w:t xml:space="preserve">Nachfrage –7% bis –15%</w:t>
            </w:r>
          </w:p>
        </w:tc>
        <w:tc>
          <w:tcPr/>
          <w:p>
            <w:pPr>
              <w:pStyle w:val="Compact"/>
            </w:pPr>
            <w:r>
              <w:t xml:space="preserve">Wettbewerber könnten Kunden gewinnen</w:t>
            </w:r>
          </w:p>
        </w:tc>
      </w:tr>
      <w:tr>
        <w:tc>
          <w:tcPr/>
          <w:p>
            <w:pPr>
              <w:pStyle w:val="Compact"/>
            </w:pPr>
            <w:r>
              <w:t xml:space="preserve">20%-Ventilator-Promotion anbieten</w:t>
            </w:r>
          </w:p>
        </w:tc>
        <w:tc>
          <w:tcPr/>
          <w:p>
            <w:pPr>
              <w:pStyle w:val="Compact"/>
            </w:pPr>
            <w:r>
              <w:t xml:space="preserve">Nachfrage +18% bis +35%</w:t>
            </w:r>
          </w:p>
        </w:tc>
        <w:tc>
          <w:tcPr/>
          <w:p>
            <w:pPr>
              <w:pStyle w:val="Compact"/>
            </w:pPr>
            <w:r>
              <w:t xml:space="preserve">Margenverlust; künftiger Referenzpreis</w:t>
            </w:r>
          </w:p>
        </w:tc>
      </w:tr>
      <w:tr>
        <w:tc>
          <w:tcPr/>
          <w:p>
            <w:pPr>
              <w:pStyle w:val="Compact"/>
            </w:pPr>
            <w:r>
              <w:t xml:space="preserve">Luftreiniger-Werbung reduzieren</w:t>
            </w:r>
          </w:p>
        </w:tc>
        <w:tc>
          <w:tcPr/>
          <w:p>
            <w:pPr>
              <w:pStyle w:val="Compact"/>
            </w:pPr>
            <w:r>
              <w:t xml:space="preserve">Nachfrage –5% bis –12%</w:t>
            </w:r>
          </w:p>
        </w:tc>
        <w:tc>
          <w:tcPr/>
          <w:p>
            <w:pPr>
              <w:pStyle w:val="Compact"/>
            </w:pPr>
            <w:r>
              <w:t xml:space="preserve">Verlust an Markenimpuls</w:t>
            </w:r>
          </w:p>
        </w:tc>
      </w:tr>
      <w:tr>
        <w:tc>
          <w:tcPr/>
          <w:p>
            <w:pPr>
              <w:pStyle w:val="Compact"/>
            </w:pPr>
            <w:r>
              <w:t xml:space="preserve">Bestand für große Einzelhändler reservier</w:t>
            </w:r>
          </w:p>
        </w:tc>
        <w:tc>
          <w:tcPr/>
          <w:p>
            <w:pPr>
              <w:pStyle w:val="Compact"/>
            </w:pPr>
            <w:r>
              <w:t xml:space="preserve">en Weniger Vertragsstrafen</w:t>
            </w:r>
          </w:p>
        </w:tc>
        <w:tc>
          <w:tcPr/>
          <w:p>
            <w:pPr>
              <w:pStyle w:val="Compact"/>
            </w:pPr>
            <w:r>
              <w:t xml:space="preserve">Geringere Marge im Direktkanal</w:t>
            </w:r>
          </w:p>
        </w:tc>
      </w:tr>
      <w:tr>
        <w:tc>
          <w:tcPr/>
          <w:p>
            <w:pPr>
              <w:pStyle w:val="Compact"/>
            </w:pPr>
            <w:r>
              <w:t xml:space="preserve">Teil der Lieferantenbestellung verzögern</w:t>
            </w:r>
          </w:p>
        </w:tc>
        <w:tc>
          <w:tcPr/>
          <w:p>
            <w:pPr>
              <w:pStyle w:val="Compact"/>
            </w:pPr>
            <w:r>
              <w:t xml:space="preserve">Geringeres Überschussrisiko</w:t>
            </w:r>
          </w:p>
        </w:tc>
        <w:tc>
          <w:tcPr/>
          <w:p>
            <w:pPr>
              <w:pStyle w:val="Compact"/>
            </w:pPr>
            <w:r>
              <w:t xml:space="preserve">Produktionsplatz könnte verloren gehen</w:t>
            </w:r>
          </w:p>
        </w:tc>
      </w:tr>
    </w:tbl>
    <w:bookmarkEnd w:id="12"/>
    <w:bookmarkStart w:id="13" w:name="X69019a2055ba23743ba5b878f88bd554a14f747"/>
    <w:p>
      <w:pPr>
        <w:pStyle w:val="Heading1"/>
      </w:pPr>
      <w:r>
        <w:t xml:space="preserve">Bargeld, Kapazität und organisatorische Anreize</w:t>
      </w:r>
    </w:p>
    <w:p>
      <w:pPr>
        <w:pStyle w:val="FirstParagraph"/>
      </w:pPr>
      <w:r>
        <w:t xml:space="preserve">Northstar finanzierte Bestände mit einer revolvierenden Kreditlinie zu einem variablen Zinssatz. Das Halten von Beständen umfasste mehr als Zinsen: Lagerhaltung, Handhabung, Versicherung, Beschädigung, Diebstahl, Rücksendungen und das Risiko, dass ein neues Modell alte Einheiten weniger attraktiv machte. Das Hauptdistributionszentrum des Unternehmens sollte nach dem vorgeschlagenen Plan im November 96 Prozent der nutzbaren Kapazität erreichen. Überlaufflächen waren verfügbar, allerdings zu fast doppelten normalen Handhabungskosten.</w:t>
      </w:r>
    </w:p>
    <w:p>
      <w:pPr>
        <w:pStyle w:val="BodyText"/>
      </w:pPr>
      <w:r>
        <w:t xml:space="preserve">Die internen Leistungskennzahlen zeigten nicht in dieselbe Richtung. Vertriebsleiter wurden für Umsatzwachstum und Servicelevel belohnt. Der Einkauf wurde teilweise nach Stückkosten bewertet. Von Operations wurde erwartet, Fehlbestände zu vermeiden und dabei den Bestand zu kontrollieren. Finance betonte Cash-Conversion und operative Marge. Marketing wurde an Traffic, Konversion und Kampagnenrenditen gemessen. Jede Gruppe konnte einen anderen Weihnachtsplan mit ihrer eigenen Kennzahlentabelle verteidigen.</w:t>
      </w:r>
    </w:p>
    <w:tbl>
      <w:tblPr>
        <w:tblStyle w:val="Table"/>
        <w:tblW w:type="pct" w:w="4881"/>
        <w:tblLayout w:type="fixed"/>
        <w:tblLook w:firstRow="1" w:lastRow="0" w:firstColumn="0" w:lastColumn="0" w:noHBand="0" w:noVBand="0" w:val="0020"/>
      </w:tblPr>
      <w:tblGrid>
        <w:gridCol w:w="2640"/>
        <w:gridCol w:w="1697"/>
        <w:gridCol w:w="1697"/>
        <w:gridCol w:w="1697"/>
      </w:tblGrid>
      <w:tr>
        <w:trPr>
          <w:tblHeader w:val="on"/>
        </w:trPr>
        <w:tc>
          <w:tcPr/>
          <w:p>
            <w:pPr>
              <w:pStyle w:val="Compact"/>
            </w:pPr>
            <w:r>
              <w:t xml:space="preserve">Kennzahl 2</w:t>
            </w:r>
          </w:p>
        </w:tc>
        <w:tc>
          <w:tcPr/>
          <w:p>
            <w:pPr>
              <w:pStyle w:val="Compact"/>
            </w:pPr>
            <w:r>
              <w:t xml:space="preserve">024 2</w:t>
            </w:r>
          </w:p>
        </w:tc>
        <w:tc>
          <w:tcPr/>
          <w:p>
            <w:pPr>
              <w:pStyle w:val="Compact"/>
            </w:pPr>
            <w:r>
              <w:t xml:space="preserve">025 2</w:t>
            </w:r>
          </w:p>
        </w:tc>
        <w:tc>
          <w:tcPr/>
          <w:p>
            <w:pPr>
              <w:pStyle w:val="Compact"/>
              <w:jc w:val="left"/>
            </w:pPr>
            <w:r>
              <w:t xml:space="preserve">026-Ziel</w:t>
            </w:r>
          </w:p>
        </w:tc>
      </w:tr>
      <w:tr>
        <w:tc>
          <w:tcPr/>
          <w:p>
            <w:pPr>
              <w:pStyle w:val="Compact"/>
            </w:pPr>
            <w:r>
              <w:t xml:space="preserve">Umsatz</w:t>
            </w:r>
          </w:p>
        </w:tc>
        <w:tc>
          <w:tcPr/>
          <w:p>
            <w:pPr>
              <w:pStyle w:val="Compact"/>
            </w:pPr>
            <w:r>
              <w:t xml:space="preserve">286 Mio. $</w:t>
            </w:r>
          </w:p>
        </w:tc>
        <w:tc>
          <w:tcPr/>
          <w:p>
            <w:pPr>
              <w:pStyle w:val="Compact"/>
            </w:pPr>
            <w:r>
              <w:t xml:space="preserve">337 Mio. $</w:t>
            </w:r>
          </w:p>
        </w:tc>
        <w:tc>
          <w:tcPr/>
          <w:p>
            <w:pPr>
              <w:pStyle w:val="Compact"/>
              <w:jc w:val="left"/>
            </w:pPr>
            <w:r>
              <w:t xml:space="preserve">392 Mio. $</w:t>
            </w:r>
          </w:p>
        </w:tc>
      </w:tr>
      <w:tr>
        <w:tc>
          <w:tcPr/>
          <w:p>
            <w:pPr>
              <w:pStyle w:val="Compact"/>
            </w:pPr>
            <w:r>
              <w:t xml:space="preserve">Jahresendbestand</w:t>
            </w:r>
          </w:p>
        </w:tc>
        <w:tc>
          <w:tcPr/>
          <w:p>
            <w:pPr>
              <w:pStyle w:val="Compact"/>
            </w:pPr>
            <w:r>
              <w:t xml:space="preserve">58 Mio. $</w:t>
            </w:r>
          </w:p>
        </w:tc>
        <w:tc>
          <w:tcPr/>
          <w:p>
            <w:pPr>
              <w:pStyle w:val="Compact"/>
            </w:pPr>
            <w:r>
              <w:t xml:space="preserve">76 Mio. $</w:t>
            </w:r>
          </w:p>
        </w:tc>
        <w:tc>
          <w:tcPr/>
          <w:p>
            <w:pPr>
              <w:pStyle w:val="Compact"/>
              <w:jc w:val="left"/>
            </w:pPr>
            <w:r>
              <w:t xml:space="preserve">≤ 82 Mio. $</w:t>
            </w:r>
          </w:p>
        </w:tc>
      </w:tr>
      <w:tr>
        <w:tc>
          <w:tcPr/>
          <w:p>
            <w:pPr>
              <w:pStyle w:val="Compact"/>
            </w:pPr>
            <w:r>
              <w:t xml:space="preserve">Bestandsumschlag</w:t>
            </w:r>
          </w:p>
        </w:tc>
        <w:tc>
          <w:tcPr/>
          <w:p>
            <w:pPr>
              <w:pStyle w:val="Compact"/>
            </w:pPr>
            <w:r>
              <w:t xml:space="preserve">4,7</w:t>
            </w:r>
          </w:p>
        </w:tc>
        <w:tc>
          <w:tcPr/>
          <w:p>
            <w:pPr>
              <w:pStyle w:val="Compact"/>
            </w:pPr>
            <w:r>
              <w:t xml:space="preserve">4,2</w:t>
            </w:r>
          </w:p>
        </w:tc>
        <w:tc>
          <w:tcPr/>
          <w:p>
            <w:pPr>
              <w:pStyle w:val="Compact"/>
              <w:jc w:val="left"/>
            </w:pPr>
            <w:r>
              <w:t xml:space="preserve">4,8</w:t>
            </w:r>
          </w:p>
        </w:tc>
      </w:tr>
      <w:tr>
        <w:tc>
          <w:tcPr/>
          <w:p>
            <w:pPr>
              <w:pStyle w:val="Compact"/>
            </w:pPr>
            <w:r>
              <w:t xml:space="preserve">Pünktliche, vollständige Lie</w:t>
            </w:r>
          </w:p>
        </w:tc>
        <w:tc>
          <w:tcPr/>
          <w:p>
            <w:pPr>
              <w:pStyle w:val="Compact"/>
            </w:pPr>
            <w:r>
              <w:t xml:space="preserve">ferung 91,4%</w:t>
            </w:r>
          </w:p>
        </w:tc>
        <w:tc>
          <w:tcPr/>
          <w:p>
            <w:pPr>
              <w:pStyle w:val="Compact"/>
            </w:pPr>
            <w:r>
              <w:t xml:space="preserve">89,7%</w:t>
            </w:r>
          </w:p>
        </w:tc>
        <w:tc>
          <w:tcPr/>
          <w:p>
            <w:pPr>
              <w:pStyle w:val="Compact"/>
              <w:jc w:val="left"/>
            </w:pPr>
            <w:r>
              <w:t xml:space="preserve">95,0%</w:t>
            </w:r>
          </w:p>
        </w:tc>
      </w:tr>
      <w:tr>
        <w:tc>
          <w:tcPr/>
          <w:p>
            <w:pPr>
              <w:pStyle w:val="Compact"/>
            </w:pPr>
            <w:r>
              <w:t xml:space="preserve">Bruttomarge</w:t>
            </w:r>
          </w:p>
        </w:tc>
        <w:tc>
          <w:tcPr/>
          <w:p>
            <w:pPr>
              <w:pStyle w:val="Compact"/>
            </w:pPr>
            <w:r>
              <w:t xml:space="preserve">47,8%</w:t>
            </w:r>
          </w:p>
        </w:tc>
        <w:tc>
          <w:tcPr/>
          <w:p>
            <w:pPr>
              <w:pStyle w:val="Compact"/>
            </w:pPr>
            <w:r>
              <w:t xml:space="preserve">45,9%</w:t>
            </w:r>
          </w:p>
        </w:tc>
        <w:tc>
          <w:tcPr/>
          <w:p>
            <w:pPr>
              <w:pStyle w:val="Compact"/>
              <w:jc w:val="left"/>
            </w:pPr>
            <w:r>
              <w:t xml:space="preserve">47,0%</w:t>
            </w:r>
          </w:p>
        </w:tc>
      </w:tr>
      <w:tr>
        <w:tc>
          <w:tcPr/>
          <w:p>
            <w:pPr>
              <w:pStyle w:val="Compact"/>
            </w:pPr>
            <w:r>
              <w:t xml:space="preserve">Notfallfracht</w:t>
            </w:r>
          </w:p>
        </w:tc>
        <w:tc>
          <w:tcPr/>
          <w:p>
            <w:pPr>
              <w:pStyle w:val="Compact"/>
            </w:pPr>
            <w:r>
              <w:t xml:space="preserve">2,1 Mio. $</w:t>
            </w:r>
          </w:p>
        </w:tc>
        <w:tc>
          <w:tcPr/>
          <w:p>
            <w:pPr>
              <w:pStyle w:val="Compact"/>
            </w:pPr>
            <w:r>
              <w:t xml:space="preserve">5,6 Mio. $</w:t>
            </w:r>
          </w:p>
        </w:tc>
        <w:tc>
          <w:tcPr/>
          <w:p>
            <w:pPr>
              <w:pStyle w:val="Compact"/>
              <w:jc w:val="left"/>
            </w:pPr>
            <w:r>
              <w:t xml:space="preserve">≤ 3,0 Mio. $</w:t>
            </w:r>
          </w:p>
        </w:tc>
      </w:tr>
    </w:tbl>
    <w:p>
      <w:pPr>
        <w:pStyle w:val="BodyText"/>
      </w:pPr>
      <w:r>
        <w:t xml:space="preserve">Der Vorstand hatte das Management auch gebeten, seltene, aber folgenschwere Ereignisse zu berücksichtigen. Eine langanhaltende Lieferantenschließung, ein Cyberangriff auf einen Logistikanbieter, eine Hafenschließung, eine plötzliche Zolländerung, ein größerer Produktrückruf oder eine starke Veränderung der Wechselkurse könnten normale Planungsannahmen überfordern. Einige Führungskräfte wollten expliziten Kontingenzbestand. Andere argumentierten, dass die Vorbereitung auf jede Störung Northstar dauerhaft wettbewerbsunfähig machen würde.</w:t>
      </w:r>
    </w:p>
    <w:bookmarkEnd w:id="13"/>
    <w:bookmarkStart w:id="14" w:name="das-augustmeeting"/>
    <w:p>
      <w:pPr>
        <w:pStyle w:val="Heading1"/>
      </w:pPr>
      <w:r>
        <w:t xml:space="preserve">Das Augustmeeting</w:t>
      </w:r>
    </w:p>
    <w:p>
      <w:pPr>
        <w:pStyle w:val="FirstParagraph"/>
      </w:pPr>
      <w:r>
        <w:t xml:space="preserve">Chen setzte für den 3. August ein vierstündiges Meeting an. Die Gruppe musste Bestellmengen, Lieferantenzuteilungen, Transportpläne und eine Reserve für Eilsendungen empfehlen. Sie musste auch entscheiden, ob Preise und Promotionen gleichzeitig festgelegt oder später angepasst werden sollten, sobald Informationen eintrafen.</w:t>
      </w:r>
    </w:p>
    <w:p>
      <w:pPr>
        <w:pStyle w:val="BodyText"/>
      </w:pPr>
      <w:r>
        <w:t xml:space="preserve">Der Chief Financial Officer bevorzugte eine niedrigere Anfangsverpflichtung mit der Befugnis, aus Mexiko nachzubestellen. Der Vertriebsleiter wollte genügend Bestand, um die optimistischste Einzelhändlerprognose zu unterstützen. Operations schlug größere Bestellungen für Luftreiniger und Induktionsgeräte, eine kleinere Ventilatorbestellung und ein geschütztes Luftfrachtbudget vor. Marketing widersetzte sich einer Reduzierung der Ventilatorbestellung, da eine unangekündigte Medienpartnerschaft die Nachfrage erheblich steigern könnte. Der Einkauf warnte, dass ein Warten von zwei Wochen mehrere Fabrikplätze vollständig eliminieren könnte.</w:t>
      </w:r>
    </w:p>
    <w:p>
      <w:pPr>
        <w:pStyle w:val="BodyText"/>
      </w:pPr>
      <w:r>
        <w:t xml:space="preserve">Chen war nicht überzeugt, dass das Unternehmen eine einzige „richtige“ Bestellung identifizieren könnte. Nachfrage, Vorlaufzeiten, Produktqualität, Kosten, Wettbewerberaktionen, Kundenstornierungen und selbst die Bestandsaufzeichnungen würden sich nach der Verpflichtung weiterentwickeln. Doch das Fehlen von Gewissheit beseitigte nicht die Notwendigkeit zu handeln. Bis Montagabend erwarteten die Lieferanten Bestellungen.</w:t>
      </w:r>
    </w:p>
    <w:bookmarkEnd w:id="14"/>
    <w:bookmarkStart w:id="15" w:name="X4e780638f829acce2e9c35ddf634eae2b24cf93"/>
    <w:p>
      <w:pPr>
        <w:pStyle w:val="Heading1"/>
      </w:pPr>
      <w:r>
        <w:t xml:space="preserve">Abbildung 1: Die Weihnachtsszenarien des Managements</w:t>
      </w:r>
    </w:p>
    <w:tbl>
      <w:tblPr>
        <w:tblStyle w:val="Table"/>
        <w:tblW w:type="pct" w:w="4924"/>
        <w:tblLayout w:type="fixed"/>
        <w:tblLook w:firstRow="1" w:lastRow="0" w:firstColumn="0" w:lastColumn="0" w:noHBand="0" w:noVBand="0" w:val="0020"/>
      </w:tblPr>
      <w:tblGrid>
        <w:gridCol w:w="1027"/>
        <w:gridCol w:w="1511"/>
        <w:gridCol w:w="1632"/>
        <w:gridCol w:w="1330"/>
        <w:gridCol w:w="2297"/>
      </w:tblGrid>
      <w:tr>
        <w:trPr>
          <w:tblHeader w:val="on"/>
        </w:trPr>
        <w:tc>
          <w:tcPr/>
          <w:p>
            <w:pPr>
              <w:pStyle w:val="Compact"/>
              <w:jc w:val="left"/>
            </w:pPr>
            <w:r>
              <w:t xml:space="preserve">Szenario</w:t>
            </w:r>
          </w:p>
        </w:tc>
        <w:tc>
          <w:tcPr/>
          <w:p>
            <w:pPr>
              <w:pStyle w:val="Compact"/>
            </w:pPr>
            <w:r>
              <w:t xml:space="preserve">Nachfrage gegenüber Progn</w:t>
            </w:r>
          </w:p>
        </w:tc>
        <w:tc>
          <w:tcPr/>
          <w:p>
            <w:pPr>
              <w:pStyle w:val="Compact"/>
            </w:pPr>
            <w:r>
              <w:t xml:space="preserve">ose Durchschnittliche Vorl</w:t>
            </w:r>
          </w:p>
        </w:tc>
        <w:tc>
          <w:tcPr/>
          <w:p>
            <w:pPr>
              <w:pStyle w:val="Compact"/>
            </w:pPr>
            <w:r>
              <w:t xml:space="preserve">aufzeitänderung Wettb</w:t>
            </w:r>
          </w:p>
        </w:tc>
        <w:tc>
          <w:tcPr/>
          <w:p>
            <w:pPr>
              <w:pStyle w:val="Compact"/>
            </w:pPr>
            <w:r>
              <w:t xml:space="preserve">ewerbspreisgestaltung Ungefähres Betriebsergebnis</w:t>
            </w:r>
          </w:p>
        </w:tc>
      </w:tr>
      <w:tr>
        <w:tc>
          <w:tcPr/>
          <w:p>
            <w:pPr>
              <w:pStyle w:val="Compact"/>
              <w:jc w:val="left"/>
            </w:pPr>
            <w:r>
              <w:t xml:space="preserve">Schwacher Markt</w:t>
            </w:r>
          </w:p>
        </w:tc>
        <w:tc>
          <w:tcPr/>
          <w:p>
            <w:pPr>
              <w:pStyle w:val="Compact"/>
            </w:pPr>
            <w:r>
              <w:t xml:space="preserve">−15%</w:t>
            </w:r>
          </w:p>
        </w:tc>
        <w:tc>
          <w:tcPr/>
          <w:p>
            <w:pPr>
              <w:pStyle w:val="Compact"/>
            </w:pPr>
            <w:r>
              <w:t xml:space="preserve">Keine Änderung</w:t>
            </w:r>
          </w:p>
        </w:tc>
        <w:tc>
          <w:tcPr/>
          <w:p>
            <w:pPr>
              <w:pStyle w:val="Compact"/>
            </w:pPr>
            <w:r>
              <w:t xml:space="preserve">Starke Rabattierung</w:t>
            </w:r>
          </w:p>
        </w:tc>
        <w:tc>
          <w:tcPr/>
          <w:p>
            <w:pPr>
              <w:pStyle w:val="Compact"/>
            </w:pPr>
            <w:r>
              <w:t xml:space="preserve">9 Mio. $ unter Plan</w:t>
            </w:r>
          </w:p>
        </w:tc>
      </w:tr>
      <w:tr>
        <w:tc>
          <w:tcPr/>
          <w:p>
            <w:pPr>
              <w:pStyle w:val="Compact"/>
              <w:jc w:val="left"/>
            </w:pPr>
            <w:r>
              <w:t xml:space="preserve">Basisfall</w:t>
            </w:r>
          </w:p>
        </w:tc>
        <w:tc>
          <w:tcPr/>
          <w:p>
            <w:pPr>
              <w:pStyle w:val="Compact"/>
            </w:pPr>
            <w:r>
              <w:t xml:space="preserve">Prognose</w:t>
            </w:r>
          </w:p>
        </w:tc>
        <w:tc>
          <w:tcPr/>
          <w:p>
            <w:pPr>
              <w:pStyle w:val="Compact"/>
            </w:pPr>
            <w:r>
              <w:t xml:space="preserve">+1 Woche</w:t>
            </w:r>
          </w:p>
        </w:tc>
        <w:tc>
          <w:tcPr/>
          <w:p>
            <w:pPr>
              <w:pStyle w:val="Compact"/>
            </w:pPr>
            <w:r>
              <w:t xml:space="preserve">Normale Promotionen</w:t>
            </w:r>
          </w:p>
        </w:tc>
        <w:tc>
          <w:tcPr/>
          <w:p>
            <w:pPr>
              <w:pStyle w:val="Compact"/>
            </w:pPr>
            <w:r>
              <w:t xml:space="preserve">Nahe am Plan</w:t>
            </w:r>
          </w:p>
        </w:tc>
      </w:tr>
      <w:tr>
        <w:tc>
          <w:tcPr/>
          <w:p>
            <w:pPr>
              <w:pStyle w:val="Compact"/>
              <w:jc w:val="left"/>
            </w:pPr>
            <w:r>
              <w:t xml:space="preserve">Starke Saison</w:t>
            </w:r>
          </w:p>
        </w:tc>
        <w:tc>
          <w:tcPr/>
          <w:p>
            <w:pPr>
              <w:pStyle w:val="Compact"/>
            </w:pPr>
            <w:r>
              <w:t xml:space="preserve">+18%</w:t>
            </w:r>
          </w:p>
        </w:tc>
        <w:tc>
          <w:tcPr/>
          <w:p>
            <w:pPr>
              <w:pStyle w:val="Compact"/>
            </w:pPr>
            <w:r>
              <w:t xml:space="preserve">+2 Wochen</w:t>
            </w:r>
          </w:p>
        </w:tc>
        <w:tc>
          <w:tcPr/>
          <w:p>
            <w:pPr>
              <w:pStyle w:val="Compact"/>
            </w:pPr>
            <w:r>
              <w:t xml:space="preserve">Stabile Preise</w:t>
            </w:r>
          </w:p>
        </w:tc>
        <w:tc>
          <w:tcPr/>
          <w:p>
            <w:pPr>
              <w:pStyle w:val="Compact"/>
            </w:pPr>
            <w:r>
              <w:t xml:space="preserve">13 Mio. $ über Plan, falls beliefert</w:t>
            </w:r>
          </w:p>
        </w:tc>
      </w:tr>
      <w:tr>
        <w:tc>
          <w:tcPr/>
          <w:p>
            <w:pPr>
              <w:pStyle w:val="Compact"/>
              <w:jc w:val="left"/>
            </w:pPr>
            <w:r>
              <w:t xml:space="preserve">Störung</w:t>
            </w:r>
          </w:p>
        </w:tc>
        <w:tc>
          <w:tcPr/>
          <w:p>
            <w:pPr>
              <w:pStyle w:val="Compact"/>
            </w:pPr>
            <w:r>
              <w:t xml:space="preserve">−3% insgesamt</w:t>
            </w:r>
          </w:p>
        </w:tc>
        <w:tc>
          <w:tcPr/>
          <w:p>
            <w:pPr>
              <w:pStyle w:val="Compact"/>
            </w:pPr>
            <w:r>
              <w:t xml:space="preserve">+5 Wochen bei asiatischer</w:t>
            </w:r>
          </w:p>
        </w:tc>
        <w:tc>
          <w:tcPr/>
          <w:p>
            <w:pPr>
              <w:pStyle w:val="Compact"/>
            </w:pPr>
            <w:r>
              <w:t xml:space="preserve">Beschaffung Gemischt</w:t>
            </w:r>
          </w:p>
        </w:tc>
        <w:tc>
          <w:tcPr/>
          <w:p>
            <w:pPr>
              <w:pStyle w:val="Compact"/>
            </w:pPr>
            <w:r>
              <w:t xml:space="preserve">17 Mio. $ unter Plan ohne Gegenmaßnahmen</w:t>
            </w:r>
          </w:p>
        </w:tc>
      </w:tr>
    </w:tbl>
    <w:bookmarkEnd w:id="15"/>
    <w:bookmarkStart w:id="16" w:name="diskussionsfragen"/>
    <w:p>
      <w:pPr>
        <w:pStyle w:val="Heading1"/>
      </w:pPr>
      <w:r>
        <w:t xml:space="preserve">Diskussionsfragen</w:t>
      </w:r>
    </w:p>
    <w:p>
      <w:pPr>
        <w:numPr>
          <w:ilvl w:val="0"/>
          <w:numId w:val="1001"/>
        </w:numPr>
      </w:pPr>
      <w:r>
        <w:t xml:space="preserve">Was ist das zentrale Problem, dem sich Northstar Living Anfang August gegenübersieht?</w:t>
      </w:r>
    </w:p>
    <w:p>
      <w:pPr>
        <w:numPr>
          <w:ilvl w:val="0"/>
          <w:numId w:val="1001"/>
        </w:numPr>
      </w:pPr>
      <w:r>
        <w:t xml:space="preserve">Welche Fakten im Fall verdienen die größte Aufmerksamkeit, bevor die Bestellungen freigegeben werden?</w:t>
      </w:r>
    </w:p>
    <w:p>
      <w:pPr>
        <w:numPr>
          <w:ilvl w:val="0"/>
          <w:numId w:val="1001"/>
        </w:numPr>
      </w:pPr>
      <w:r>
        <w:t xml:space="preserve">Wie sollte Northstar die Kosten überschüssiger Bestände gegen die Folgen ernsthafter Fehlbestände abwägen?</w:t>
      </w:r>
    </w:p>
    <w:p>
      <w:pPr>
        <w:numPr>
          <w:ilvl w:val="0"/>
          <w:numId w:val="1001"/>
        </w:numPr>
      </w:pPr>
      <w:r>
        <w:t xml:space="preserve">Sollte das Unternehmen Lieferanten diversifizieren, trotz höherer Kosten und ungewisser Qualität?</w:t>
      </w:r>
    </w:p>
    <w:p>
      <w:pPr>
        <w:numPr>
          <w:ilvl w:val="0"/>
          <w:numId w:val="1001"/>
        </w:numPr>
      </w:pPr>
      <w:r>
        <w:t xml:space="preserve">Wie sollten Transportmodi und Notfallfrachtkapazität in den Plan einbezogen werden?</w:t>
      </w:r>
    </w:p>
    <w:p>
      <w:pPr>
        <w:numPr>
          <w:ilvl w:val="0"/>
          <w:numId w:val="1001"/>
        </w:numPr>
      </w:pPr>
      <w:r>
        <w:t xml:space="preserve">Wann sollte Northstar Preisgestaltung, Promotionen und Werbung nutzen, um die Nachfrage zu beeinflussen?</w:t>
      </w:r>
    </w:p>
    <w:p>
      <w:pPr>
        <w:numPr>
          <w:ilvl w:val="0"/>
          <w:numId w:val="1001"/>
        </w:numPr>
      </w:pPr>
      <w:r>
        <w:t xml:space="preserve">Wie sollte knapper Bestand zwischen großen Einzelhändlern, kleineren Händlern und dem Direktkanal zugeteilt werden?</w:t>
      </w:r>
    </w:p>
    <w:p>
      <w:pPr>
        <w:numPr>
          <w:ilvl w:val="0"/>
          <w:numId w:val="1001"/>
        </w:numPr>
      </w:pPr>
      <w:r>
        <w:t xml:space="preserve">Welche Untersuchungen oder Informationsinvestitionen wären für die zukünftige Planung am wertvollsten?</w:t>
      </w:r>
    </w:p>
    <w:p>
      <w:pPr>
        <w:numPr>
          <w:ilvl w:val="0"/>
          <w:numId w:val="1001"/>
        </w:numPr>
      </w:pPr>
      <w:r>
        <w:t xml:space="preserve">Wie sollte sich das Unternehmen auf seltene Störungen vorbereiten, ohne übermäßige Bestände zu halten?</w:t>
      </w:r>
    </w:p>
    <w:p>
      <w:pPr>
        <w:numPr>
          <w:ilvl w:val="0"/>
          <w:numId w:val="1001"/>
        </w:numPr>
      </w:pPr>
      <w:r>
        <w:t xml:space="preserve">Was sollte Chen beim Meeting am 3. August empfehlen, und welche Bedingungen sollten spätere Überarbeitungen auslösen?</w:t>
      </w:r>
    </w:p>
    <w:bookmarkEnd w:id="16"/>
    <w:bookmarkStart w:id="22"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17">
        <w:r>
          <w:rPr>
            <w:rStyle w:val="Hyperlink"/>
          </w:rPr>
          <w:t xml:space="preserve">Metrikpyramiden-Werkzeug</w:t>
        </w:r>
      </w:hyperlink>
      <w:r>
        <w:t xml:space="preserve">, um die verschiedenen Leistungskennzahlen zu identifizieren und zu priorisieren. Klicken Sie auf das Oval, das die Kennzahl enthält, um zu kennzeichnen, ob es sich um eine zu maximierende Kennzahl (grün), eine zu minimierende Kennzahl (rot), ein Ziel handelt, das eine Untergrenze (hellgrün) oder eine Obergrenze (hellrot) darstellt, oder schließlich um ein Zielwert (violett).</w:t>
      </w:r>
    </w:p>
    <w:p>
      <w:pPr>
        <w:numPr>
          <w:ilvl w:val="0"/>
          <w:numId w:val="1002"/>
        </w:numPr>
      </w:pPr>
      <w:r>
        <w:t xml:space="preserve">Verwenden Sie das</w:t>
      </w:r>
      <w:r>
        <w:t xml:space="preserve"> </w:t>
      </w:r>
      <w:hyperlink r:id="rId18">
        <w:r>
          <w:rPr>
            <w:rStyle w:val="Hyperlink"/>
          </w:rPr>
          <w:t xml:space="preserve">Entscheidungspriorisierungs-Werkzeug</w:t>
        </w:r>
      </w:hyperlink>
      <w:r>
        <w:t xml:space="preserve">, um zunächst die verschiedenen Arten von Entscheidungen aufzulisten (verwenden Sie die</w:t>
      </w:r>
      <w:r>
        <w:t xml:space="preserve"> </w:t>
      </w:r>
      <w:hyperlink r:id="rId19">
        <w:r>
          <w:rPr>
            <w:rStyle w:val="Hyperlink"/>
          </w:rPr>
          <w:t xml:space="preserve">Arten von Entscheidungen</w:t>
        </w:r>
      </w:hyperlink>
      <w:r>
        <w:t xml:space="preserve"> </w:t>
      </w:r>
      <w:r>
        <w:t xml:space="preserve">als Leitfaden). Diese füllen dann die Zeilen der Matrix rechts aus, wobei die Spalten die Leistungskennzahlen sind, sortiert von links nach rechts nach der Priorität in der obigen Pyramide. Klicken Sie auf jede Zelle, um anzugeben, ob die Auswirkung der Entscheidung auf jede Kennzahl hoch (rot), mittel (orange), niedrig (gelb) oder keine (weiß) ist.</w:t>
      </w:r>
    </w:p>
    <w:p>
      <w:pPr>
        <w:numPr>
          <w:ilvl w:val="0"/>
          <w:numId w:val="1002"/>
        </w:numPr>
      </w:pPr>
      <w:r>
        <w:t xml:space="preserve">Sie können den Griff (drei Balken) ganz links in jeder Zeile nehmen, um sie nach oben oder unten zu verschieben. Sortieren Sie die Zeilen so, dass die Entscheidungen mit den größten Auswirkungen auf die wichtigsten Kennzahlen weiter oben stehen. Die Zellen in der oberen linken Ecke sollten die größte Konzentration an roten und orangefarbenen Zellen aufweisen. Identifizieren Sie an diesem Punkt die Entscheidungen, die in Ihrer Studie die meiste Aufmerksamkeit erhalten sollten. Wenn Sie keine Entscheidungen mit mittlerer oder hoher Auswirkung auf die wichtigsten Kennzahlen haben, überarbeiten Sie Ihre Liste der Entscheidungen.</w:t>
      </w:r>
    </w:p>
    <w:p>
      <w:pPr>
        <w:numPr>
          <w:ilvl w:val="0"/>
          <w:numId w:val="1002"/>
        </w:numPr>
      </w:pPr>
      <w:r>
        <w:t xml:space="preserve">Wiederholen Sie den Prozess, um die Unsicherheiten mithilfe des</w:t>
      </w:r>
      <w:r>
        <w:t xml:space="preserve"> </w:t>
      </w:r>
      <w:hyperlink r:id="rId20">
        <w:r>
          <w:rPr>
            <w:rStyle w:val="Hyperlink"/>
          </w:rPr>
          <w:t xml:space="preserve">Unsicherheitspriorisierungs-Werkzeugs</w:t>
        </w:r>
      </w:hyperlink>
      <w:r>
        <w:t xml:space="preserve"> </w:t>
      </w:r>
      <w:r>
        <w:t xml:space="preserve">aufzulisten und zu priorisieren. Verwenden Sie die</w:t>
      </w:r>
      <w:r>
        <w:t xml:space="preserve"> </w:t>
      </w:r>
      <w:hyperlink r:id="rId21">
        <w:r>
          <w:rPr>
            <w:rStyle w:val="Hyperlink"/>
          </w:rPr>
          <w:t xml:space="preserve">Kategorien von Unsicherheit</w:t>
        </w:r>
      </w:hyperlink>
      <w:r>
        <w:t xml:space="preserv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Leistung im Zeitverlauf erfasst?</w:t>
      </w:r>
    </w:p>
    <w:p>
      <w:pPr>
        <w:numPr>
          <w:ilvl w:val="1"/>
          <w:numId w:val="1003"/>
        </w:numPr>
      </w:pPr>
      <w:r>
        <w:t xml:space="preserve">Welche Unsicherheitsquellen stellen Formen von Risiko dar, die nicht angemessen durch Durchschnittswerte erfasst werden?</w:t>
      </w:r>
    </w:p>
    <w:p>
      <w:pPr>
        <w:numPr>
          <w:ilvl w:val="0"/>
          <w:numId w:val="1002"/>
        </w:numPr>
      </w:pPr>
      <w:r>
        <w:t xml:space="preserve">Wählen Sie die einzelne Entscheidung aus, die die größte Auswirkung auf die wichtigste Kennzahl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scheinen notwendig zu sein, um diese Entscheidung zu treffen, einschließlich der Berechnung etwaiger Leistungskennzahlen, auf die die Entscheidung eine hohe oder mittlere Auswirkung hätte.</w:t>
      </w:r>
    </w:p>
    <w:p>
      <w:pPr>
        <w:numPr>
          <w:ilvl w:val="0"/>
          <w:numId w:val="1002"/>
        </w:numPr>
      </w:pPr>
      <w:r>
        <w:t xml:space="preserve">Identifizieren Sie anhand derselben Entscheidung, die Sie in (7) identifiziert haben, die Personen, Abteilungen, Gruppen oder Organisationen, mit denen Sie zusammenarbeiten müssten, um die Entscheidung umzusetzen.</w:t>
      </w:r>
    </w:p>
    <w:bookmarkEnd w:id="22"/>
    <w:bookmarkStart w:id="23" w:name="datenhinweis"/>
    <w:p>
      <w:pPr>
        <w:pStyle w:val="Heading1"/>
      </w:pPr>
      <w:r>
        <w:t xml:space="preserve">Datenhinweis</w:t>
      </w:r>
    </w:p>
    <w:p>
      <w:pPr>
        <w:pStyle w:val="FirstParagraph"/>
      </w:pPr>
      <w:r>
        <w:t xml:space="preserve">Northstar Living, seine Führungskräfte, Lieferanten, Produkte und Betriebsdaten sind fiktiv. Der Marktkontext basiert auf öffentlichen US-Daten. Das U.S. Census Bureau meldete Gesamtbestände von Herstellern und Handel von etwa 2,736 Billionen $ und ein Verhältnis von Bestand zu Umsatz von 1,28 im Mai 2026. Census-Einzelhandelsdaten meldeten etwa 30,736 Milliarden $ an Beständen, 19,508 Milliarden $ an monatlichen Umsätzen und ein Verhältnis von Bestand zu Umsatz von 1,58 für Möbel-, Wohneinrichtungs-, Elektronik- und Gerätegeschäfte im Mai 2026. Der geschäftliche Kontext und die Planungsspannungen basieren auf der Diskussion zur Bestandsplanung in Warren B. Powell, Bridging Decision Problems, Volume I, Kapitel 2.</w:t>
      </w:r>
    </w:p>
    <w:p>
      <w:pPr>
        <w:pStyle w:val="BodyText"/>
      </w:pPr>
      <w:r>
        <w:t xml:space="preserve">Quellen: U.S. Census Bureau, Manufacturing and Trade Inventories and Sales, Mai 2026; U.S. Census Bureau Monthly Retail Trade-Daten, Mai 2026; Warren B. Powell, „Inventory Planning,” Bridging Decision Problems, Volume I, Kapitel 2. Abgerufen am 30. Juli 2026.</w:t>
      </w:r>
    </w:p>
    <w:bookmarkEnd w:id="23"/>
    <w:bookmarkStart w:id="26" w:name="chatgpt-notizen"/>
    <w:p>
      <w:pPr>
        <w:pStyle w:val="Heading1"/>
      </w:pPr>
      <w:r>
        <w:t xml:space="preserve">ChatGPT-Notizen</w:t>
      </w:r>
    </w:p>
    <w:bookmarkStart w:id="24" w:name="prompt"/>
    <w:p>
      <w:pPr>
        <w:pStyle w:val="Heading2"/>
      </w:pPr>
      <w:r>
        <w:t xml:space="preserve">Prompt:</w:t>
      </w:r>
    </w:p>
    <w:p>
      <w:pPr>
        <w:pStyle w:val="FirstParagraph"/>
      </w:pPr>
      <w:r>
        <w:t xml:space="preserve">Schreiben Sie einen 3-5-seitigen Fallstudie basierend auf dem Material im Abschnitt zur Bestandsplanung unter https://warrenpowell.org/bridging-vol1/chapter-2/#inventoryplanning. Erstellen Sie einen Kontext basierend auf den Kennzahlen, Entscheidungen und Unsicherheiten in diesem Abschnitt, ohne jedoch explizit darauf hinzuweisen. Motivieren Sie Ihr Geschäftsproblem mit Daten.</w:t>
      </w:r>
    </w:p>
    <w:bookmarkEnd w:id="24"/>
    <w:bookmarkStart w:id="25" w:name="zusammenfassung"/>
    <w:p>
      <w:pPr>
        <w:pStyle w:val="Heading2"/>
      </w:pPr>
      <w:r>
        <w:t xml:space="preserve">Zusammenfassung</w:t>
      </w:r>
    </w:p>
    <w:p>
      <w:pPr>
        <w:pStyle w:val="FirstParagraph"/>
      </w:pPr>
      <w:r>
        <w:t xml:space="preserve">Der Fall überträgt das Material zur Bestandsplanung in ein fiktives Unternehmen für kompakte Haushaltsgeräte, das sich auf die Weihnachtssaison vorbereitet. Er umfasst:</w:t>
      </w:r>
    </w:p>
    <w:p>
      <w:pPr>
        <w:numPr>
          <w:ilvl w:val="0"/>
          <w:numId w:val="1005"/>
        </w:numPr>
      </w:pPr>
      <w:r>
        <w:t xml:space="preserve">Lange internationale Nachschub-Vorlaufzeiten</w:t>
      </w:r>
    </w:p>
    <w:p>
      <w:pPr>
        <w:numPr>
          <w:ilvl w:val="0"/>
          <w:numId w:val="1005"/>
        </w:numPr>
      </w:pPr>
      <w:r>
        <w:t xml:space="preserve">Unsichere Produktnachfrage und Prognosefehler</w:t>
      </w:r>
    </w:p>
    <w:p>
      <w:pPr>
        <w:numPr>
          <w:ilvl w:val="0"/>
          <w:numId w:val="1005"/>
        </w:numPr>
      </w:pPr>
      <w:r>
        <w:t xml:space="preserve">Folgen von Fehlbeständen und Preisnachlässe bei Überschussbeständen</w:t>
      </w:r>
    </w:p>
    <w:p>
      <w:pPr>
        <w:numPr>
          <w:ilvl w:val="0"/>
          <w:numId w:val="1005"/>
        </w:numPr>
      </w:pPr>
      <w:r>
        <w:t xml:space="preserve">Lieferantenauswahl und Diversifikation</w:t>
      </w:r>
    </w:p>
    <w:p>
      <w:pPr>
        <w:numPr>
          <w:ilvl w:val="0"/>
          <w:numId w:val="1005"/>
        </w:numPr>
      </w:pPr>
      <w:r>
        <w:t xml:space="preserve">Wahlmöglichkeiten bei See-, Schienen-, Lkw- und Notfall-Luftfracht</w:t>
      </w:r>
    </w:p>
    <w:p>
      <w:pPr>
        <w:numPr>
          <w:ilvl w:val="0"/>
          <w:numId w:val="1005"/>
        </w:numPr>
      </w:pPr>
      <w:r>
        <w:t xml:space="preserve">Preisgestaltung, Werbung, Promotionen und Kanalzuteilung</w:t>
      </w:r>
    </w:p>
    <w:p>
      <w:pPr>
        <w:numPr>
          <w:ilvl w:val="0"/>
          <w:numId w:val="1005"/>
        </w:numPr>
      </w:pPr>
      <w:r>
        <w:t xml:space="preserve">Diskrepanzen in Bestandsaufzeichnungen und Sendungssichtbarkeit</w:t>
      </w:r>
    </w:p>
    <w:p>
      <w:pPr>
        <w:numPr>
          <w:ilvl w:val="0"/>
          <w:numId w:val="1005"/>
        </w:numPr>
      </w:pPr>
      <w:r>
        <w:t xml:space="preserve">Beschränkungen bei Betriebskapital und Lagerkapazität</w:t>
      </w:r>
    </w:p>
    <w:p>
      <w:pPr>
        <w:numPr>
          <w:ilvl w:val="0"/>
          <w:numId w:val="1005"/>
        </w:numPr>
      </w:pPr>
      <w:r>
        <w:t xml:space="preserve">Seltene Störungen, einschließlich Hafenschließungen, Zolländerungen, Cyberangriffe und Lieferantenschließungen</w:t>
      </w:r>
    </w:p>
    <w:p>
      <w:pPr>
        <w:numPr>
          <w:ilvl w:val="0"/>
          <w:numId w:val="1005"/>
        </w:numPr>
      </w:pPr>
      <w:r>
        <w:t xml:space="preserve">Quantitative Darstellungen und ungelöste Diskussionsfragen</w:t>
      </w:r>
    </w:p>
    <w:p>
      <w:pPr>
        <w:pStyle w:val="FirstParagraph"/>
      </w:pPr>
      <w:r>
        <w:t xml:space="preserve">Der Fall wird durch Census-Daten von Mai 2026 motiviert, die etwa</w:t>
      </w:r>
      <w:r>
        <w:t xml:space="preserve"> </w:t>
      </w:r>
      <w:r>
        <w:rPr>
          <w:b/>
          <w:bCs/>
        </w:rPr>
        <w:t xml:space="preserve">2,74 Billionen $</w:t>
      </w:r>
      <w:r>
        <w:t xml:space="preserve"> </w:t>
      </w:r>
      <w:r>
        <w:t xml:space="preserve">an gesamten US-Geschäftsbeständen und ein</w:t>
      </w:r>
      <w:r>
        <w:t xml:space="preserve"> </w:t>
      </w:r>
      <w:r>
        <w:rPr>
          <w:b/>
          <w:bCs/>
        </w:rPr>
        <w:t xml:space="preserve">Verhältnis von Bestand zu Umsatz von 1,58</w:t>
      </w:r>
      <w:r>
        <w:t xml:space="preserve"> </w:t>
      </w:r>
      <w:r>
        <w:t xml:space="preserve">für Möbel-, Wohneinrichtungs-, Elektronik- und Gerätehändler zeigen.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2026-09-11T16:22:18Z</dcterms:created>
  <dcterms:modified xsi:type="dcterms:W3CDTF">2026-09-11T16:22:18Z</dcterms:modified>
</cp:coreProperties>
</file>

<file path=docProps/custom.xml><?xml version="1.0" encoding="utf-8"?>
<Properties xmlns="http://schemas.openxmlformats.org/officeDocument/2006/custom-properties" xmlns:vt="http://schemas.openxmlformats.org/officeDocument/2006/docPropsVTypes"/>
</file>