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PRAIRIELINE FREIGHT</w:t>
      </w:r>
    </w:p>
    <w:p>
      <w:pPr>
        <w:pStyle w:val="BodyText"/>
      </w:pPr>
      <w:r>
        <w:t xml:space="preserve">Die Freitagnachmittag-Disposition</w:t>
      </w:r>
    </w:p>
    <w:p>
      <w:pPr>
        <w:pStyle w:val="BodyText"/>
      </w:pPr>
      <w:r>
        <w:t xml:space="preserve">Ein Fallstudie zum Flottenmanagement für Komplettladungen zu Frachtauswahl, Fahrerzuteilung, Heimatzeit und Netzwerkbalance</w:t>
      </w:r>
    </w:p>
    <w:p>
      <w:pPr>
        <w:pStyle w:val="BodyText"/>
      </w:pPr>
      <w:r>
        <w:t xml:space="preserve">Dieser Fall ist fiktiv und für den Einsatz in der Lehre gedacht. Namen, Ereignisse, Kunden und interne Zahlen sind erfunden, auch wenn das Branchenumfeld durch öffentliche Daten motiviert ist.</w:t>
      </w:r>
    </w:p>
    <w:bookmarkStart w:id="9" w:name="eine-flotte-an-den-falschen-orten"/>
    <w:p>
      <w:pPr>
        <w:pStyle w:val="Heading1"/>
      </w:pPr>
      <w:r>
        <w:t xml:space="preserve">Eine Flotte an den falschen Orten</w:t>
      </w:r>
    </w:p>
    <w:p>
      <w:pPr>
        <w:pStyle w:val="FirstParagraph"/>
      </w:pPr>
      <w:r>
        <w:t xml:space="preserve">Um 14:40 Uhr am Freitag, dem 18. September 2026, betrachtete Maya Chen, Vice President of Operations bei PrairieLine Freight, eine Karte mit 1.184 Sattelzugmaschinen, verstreut über die östlichen zwei Drittel der Vereinigten Staaten. Bis Mitternacht würden 167 Fahrer ihre Lieferungen abschließen. Weitere 94 würden am Samstagmorgen verfügbar werden. Das Dispositionsteam hatte 312 zugesagte Ladungen bis Montag abzudecken, 138 neu angebotene Ladungen, auf die noch eine Antwort ausstand, sowie eine wachsende Liste von Fahrern, die erwarteten, vor Ende des Wochenendes zu Hause zu sein.</w:t>
      </w:r>
    </w:p>
    <w:p>
      <w:pPr>
        <w:pStyle w:val="BodyText"/>
      </w:pPr>
      <w:r>
        <w:t xml:space="preserve">Das Problem war nicht ein Mangel an Fracht. Es war vielmehr, dass Fracht, Fahrer, Termine und Preise nicht zusammenpassten. Siebenundvierzig verfügbare Fahrer konzentrierten sich rund um Atlanta und das nördliche New Jersey, wo die Ausgangsraten schwach waren. Zugleich hatten mehrere langjährige Kunden attraktive Ladungen aus dem zentralen Ohio, dem östlichen Iowa und dem westlichen Tennessee angeboten. Fahrer leer in diese Märkte zu verlegen, würde Treibstoff, Fahrerstunden und Ausrüstungskapazität verbrauchen, bevor auch nur eine umsatzbringende Meile gefahren wäre.</w:t>
      </w:r>
    </w:p>
    <w:p>
      <w:pPr>
        <w:pStyle w:val="BodyText"/>
      </w:pPr>
      <w:r>
        <w:t xml:space="preserve">Der Einsatz war beträchtlich. Lkw transportierten 2024 11,27 Milliarden Tonnen US-Fracht und erwirtschafteten etwa 906 Milliarden $ an Branchenumsatz. Die Trucking-Branche unterstützte zudem 8,4 Millionen branchenbezogene Arbeitsplätze, darunter 3,58 Millionen Berufskraftfahrer. Doch der Markt war uneinheitlich gewesen: Die Frachtvolumina hatten sich nach der Pandemie abgeschwächt, die Vertragspreise standen unter Druck, und die Frachtführer mussten dennoch den Service für strategische Kunden aufrechterhalten, während sie auf kurzfristige Gelegenheiten reagierten.</w:t>
      </w:r>
    </w:p>
    <w:tbl>
      <w:tblPr>
        <w:tblStyle w:val="Table"/>
        <w:tblW w:type="auto" w:w="0"/>
        <w:tblLook w:firstRow="0" w:lastRow="0" w:firstColumn="0" w:lastColumn="0" w:noHBand="0" w:noVBand="0" w:val="0000"/>
      </w:tblPr>
      <w:tblGrid>
        <w:gridCol w:w="7920"/>
      </w:tblGrid>
      <w:tr>
        <w:tc>
          <w:tcPr/>
          <w:p>
            <w:pPr>
              <w:pStyle w:val="Compact"/>
            </w:pPr>
            <w:r>
              <w:t xml:space="preserve">PrairieLine könnte die Marge dieses Wochenendes verbessern, indem es Fahrer zu den bestbezahlten Ladungen schickt. Es könnte damit aber auch Kundenbeziehungen schädigen, Fahrer weit entfernt von zu Hause stranden lassen oder das Netzwerk für Montag schlecht positionieren.</w:t>
            </w:r>
          </w:p>
        </w:tc>
      </w:tr>
    </w:tbl>
    <w:p>
      <w:r>
        <w:pict>
          <v:rect style="width:0;height:1.5pt" o:hralign="center" o:hrstd="t" o:hr="t"/>
        </w:pict>
      </w:r>
    </w:p>
    <w:bookmarkEnd w:id="9"/>
    <w:bookmarkStart w:id="11" w:name="prairieline-freight"/>
    <w:p>
      <w:pPr>
        <w:pStyle w:val="Heading1"/>
      </w:pPr>
      <w:r>
        <w:t xml:space="preserve">PrairieLine Freight</w:t>
      </w:r>
    </w:p>
    <w:p>
      <w:pPr>
        <w:pStyle w:val="FirstParagraph"/>
      </w:pPr>
      <w:r>
        <w:t xml:space="preserve">PrairieLine war ein in Privatbesitz befindlicher Komplettladungs-Frachtführer mit Sitz in Indianapolis. Das Unternehmen betrieb 1.250 Sattelzugmaschinen und 3.800 Auflieger, mit Terminals in Indiana, Georgia, Pennsylvania, Texas und Missouri. Etwa 70 Prozent seiner Fracht wurden im Rahmen von Jahresverträgen mit Herstellern, Einzelhändlern, Lebensmittelunternehmen und Baustoffherstellern abgewickelt. Der Rest entfiel auf kurzfristige Kundenanfragen, Broker und öffentliche Frachtbörsen.</w:t>
      </w:r>
    </w:p>
    <w:p>
      <w:pPr>
        <w:pStyle w:val="BodyText"/>
      </w:pPr>
      <w:r>
        <w:t xml:space="preserve">Das Unternehmen beschäftigte regionale, dedizierte und Fernverkehrsfahrer. Regionale Fahrer erwarteten in der Regel, jedes Wochenende zu Hause zu sein. Dedizierte Fahrer bedienten festgelegte Kunden und folgten relativ vorhersehbaren Routen. Fernverkehrsfahrer akzeptierten breitere geografische Einsätze, hatten aber dennoch zugesagte Heimattermine. Das Unternehmen war teilweise dadurch gewachsen, dass es zuverlässige Heimatzeiten bewarb und den Fahrern eine gewisse Möglichkeit gab, Einsätze abzulehnen, die mit familiären Bedürfnissen, Sicherheitsbedenken oder bevorzugten Einsatzgebieten kollidierten.</w:t>
      </w:r>
    </w:p>
    <w:p>
      <w:pPr>
        <w:pStyle w:val="BodyText"/>
      </w:pPr>
      <w:r>
        <w:t xml:space="preserve">Ersatzkräfte zu rekrutieren war teuer. Das U.S. Bureau of Labor Statistics meldete 2025 mehr als zwei Millionen Fahrer schwerer Lkw und Sattelzugmaschinen, mit einem mittleren Jahresgehalt von nahezu 59.700 $. Es prognostizierte für das kommende Jahrzehnt jährlich etwa 237.600 offene Stellen, größtenteils weil Arbeitskräfte in den Ruhestand gehen oder den Beruf verlassen würden. PrairieLine schätzte, dass Rekrutierung, Einarbeitung und das Erreichen der normalen Produktivität eines neuen Fahrers 9.000 $ bis 14.000 $ kosteten, ohne die entgangenen Einnahmen zu berücksichtigen, während eine Sattelzugmaschine untätig stand.</w:t>
      </w:r>
    </w:p>
    <w:bookmarkStart w:id="10" w:name="Xfda784e4c5d6fda92060dda08be9c2c6425e433"/>
    <w:p>
      <w:pPr>
        <w:pStyle w:val="Heading2"/>
      </w:pPr>
      <w:r>
        <w:t xml:space="preserve">Exhibit 1. Betriebsprofil von PrairieLine</w:t>
      </w:r>
    </w:p>
    <w:tbl>
      <w:tblPr>
        <w:tblStyle w:val="Table"/>
        <w:tblW w:type="pct" w:w="4861"/>
        <w:tblLayout w:type="fixed"/>
        <w:tblLook w:firstRow="1" w:lastRow="0" w:firstColumn="0" w:lastColumn="0" w:noHBand="0" w:noVBand="0" w:val="0020"/>
      </w:tblPr>
      <w:tblGrid>
        <w:gridCol w:w="3960"/>
        <w:gridCol w:w="1210"/>
        <w:gridCol w:w="1210"/>
        <w:gridCol w:w="1320"/>
      </w:tblGrid>
      <w:tr>
        <w:trPr>
          <w:tblHeader w:val="on"/>
        </w:trPr>
        <w:tc>
          <w:tcPr/>
          <w:p>
            <w:pPr>
              <w:pStyle w:val="Compact"/>
              <w:jc w:val="left"/>
            </w:pPr>
            <w:r>
              <w:t xml:space="preserve">Kennzahl</w:t>
            </w:r>
          </w:p>
        </w:tc>
        <w:tc>
          <w:tcPr/>
          <w:p>
            <w:pPr>
              <w:pStyle w:val="Compact"/>
              <w:jc w:val="center"/>
            </w:pPr>
            <w:r>
              <w:t xml:space="preserve">2024</w:t>
            </w:r>
          </w:p>
        </w:tc>
        <w:tc>
          <w:tcPr/>
          <w:p>
            <w:pPr>
              <w:pStyle w:val="Compact"/>
              <w:jc w:val="center"/>
            </w:pPr>
            <w:r>
              <w:t xml:space="preserve">2025</w:t>
            </w:r>
          </w:p>
        </w:tc>
        <w:tc>
          <w:tcPr/>
          <w:p>
            <w:pPr>
              <w:pStyle w:val="Compact"/>
              <w:jc w:val="center"/>
            </w:pPr>
            <w:r>
              <w:t xml:space="preserve">2026 YTD</w:t>
            </w:r>
          </w:p>
        </w:tc>
      </w:tr>
      <w:tr>
        <w:tc>
          <w:tcPr/>
          <w:p>
            <w:pPr>
              <w:pStyle w:val="Compact"/>
              <w:jc w:val="left"/>
            </w:pPr>
            <w:r>
              <w:t xml:space="preserve">Durchschnittlich besetzte Zugmaschin</w:t>
            </w:r>
          </w:p>
        </w:tc>
        <w:tc>
          <w:tcPr/>
          <w:p>
            <w:pPr>
              <w:pStyle w:val="Compact"/>
              <w:jc w:val="center"/>
            </w:pPr>
            <w:r>
              <w:t xml:space="preserve">en 1.108</w:t>
            </w:r>
          </w:p>
        </w:tc>
        <w:tc>
          <w:tcPr/>
          <w:p>
            <w:pPr>
              <w:pStyle w:val="Compact"/>
              <w:jc w:val="center"/>
            </w:pPr>
            <w:r>
              <w:t xml:space="preserve">1.176</w:t>
            </w:r>
          </w:p>
        </w:tc>
        <w:tc>
          <w:tcPr/>
          <w:p>
            <w:pPr>
              <w:pStyle w:val="Compact"/>
              <w:jc w:val="center"/>
            </w:pPr>
            <w:r>
              <w:t xml:space="preserve">1.184</w:t>
            </w:r>
          </w:p>
        </w:tc>
      </w:tr>
      <w:tr>
        <w:tc>
          <w:tcPr/>
          <w:p>
            <w:pPr>
              <w:pStyle w:val="Compact"/>
              <w:jc w:val="left"/>
            </w:pPr>
            <w:r>
              <w:t xml:space="preserve">Umsatz pro beladener Meile</w:t>
            </w:r>
          </w:p>
        </w:tc>
        <w:tc>
          <w:tcPr/>
          <w:p>
            <w:pPr>
              <w:pStyle w:val="Compact"/>
              <w:jc w:val="center"/>
            </w:pPr>
            <w:r>
              <w:t xml:space="preserve">$2,49</w:t>
            </w:r>
          </w:p>
        </w:tc>
        <w:tc>
          <w:tcPr/>
          <w:p>
            <w:pPr>
              <w:pStyle w:val="Compact"/>
              <w:jc w:val="center"/>
            </w:pPr>
            <w:r>
              <w:t xml:space="preserve">$2,42</w:t>
            </w:r>
          </w:p>
        </w:tc>
        <w:tc>
          <w:tcPr/>
          <w:p>
            <w:pPr>
              <w:pStyle w:val="Compact"/>
              <w:jc w:val="center"/>
            </w:pPr>
            <w:r>
              <w:t xml:space="preserve">$2,46</w:t>
            </w:r>
          </w:p>
        </w:tc>
      </w:tr>
      <w:tr>
        <w:tc>
          <w:tcPr/>
          <w:p>
            <w:pPr>
              <w:pStyle w:val="Compact"/>
              <w:jc w:val="left"/>
            </w:pPr>
            <w:r>
              <w:t xml:space="preserve">Betriebskosten pro Gesamtmeile</w:t>
            </w:r>
          </w:p>
        </w:tc>
        <w:tc>
          <w:tcPr/>
          <w:p>
            <w:pPr>
              <w:pStyle w:val="Compact"/>
              <w:jc w:val="center"/>
            </w:pPr>
            <w:r>
              <w:t xml:space="preserve">$2,07</w:t>
            </w:r>
          </w:p>
        </w:tc>
        <w:tc>
          <w:tcPr/>
          <w:p>
            <w:pPr>
              <w:pStyle w:val="Compact"/>
              <w:jc w:val="center"/>
            </w:pPr>
            <w:r>
              <w:t xml:space="preserve">$2,10</w:t>
            </w:r>
          </w:p>
        </w:tc>
        <w:tc>
          <w:tcPr/>
          <w:p>
            <w:pPr>
              <w:pStyle w:val="Compact"/>
              <w:jc w:val="center"/>
            </w:pPr>
            <w:r>
              <w:t xml:space="preserve">$2,16</w:t>
            </w:r>
          </w:p>
        </w:tc>
      </w:tr>
      <w:tr>
        <w:tc>
          <w:tcPr/>
          <w:p>
            <w:pPr>
              <w:pStyle w:val="Compact"/>
              <w:jc w:val="left"/>
            </w:pPr>
            <w:r>
              <w:t xml:space="preserve">Leerkilometer als % der Gesamtmeilen</w:t>
            </w:r>
          </w:p>
        </w:tc>
        <w:tc>
          <w:tcPr/>
          <w:p>
            <w:pPr>
              <w:pStyle w:val="Compact"/>
              <w:jc w:val="center"/>
            </w:pPr>
            <w:r>
              <w:t xml:space="preserve">12,8%</w:t>
            </w:r>
          </w:p>
        </w:tc>
        <w:tc>
          <w:tcPr/>
          <w:p>
            <w:pPr>
              <w:pStyle w:val="Compact"/>
              <w:jc w:val="center"/>
            </w:pPr>
            <w:r>
              <w:t xml:space="preserve">13,6%</w:t>
            </w:r>
          </w:p>
        </w:tc>
        <w:tc>
          <w:tcPr/>
          <w:p>
            <w:pPr>
              <w:pStyle w:val="Compact"/>
              <w:jc w:val="center"/>
            </w:pPr>
            <w:r>
              <w:t xml:space="preserve">14,4%</w:t>
            </w:r>
          </w:p>
        </w:tc>
      </w:tr>
      <w:tr>
        <w:tc>
          <w:tcPr/>
          <w:p>
            <w:pPr>
              <w:pStyle w:val="Compact"/>
              <w:jc w:val="left"/>
            </w:pPr>
            <w:r>
              <w:t xml:space="preserve">Durchschnittliche Meilen pro Fahrer</w:t>
            </w:r>
          </w:p>
        </w:tc>
        <w:tc>
          <w:tcPr/>
          <w:p>
            <w:pPr>
              <w:pStyle w:val="Compact"/>
              <w:jc w:val="center"/>
            </w:pPr>
            <w:r>
              <w:t xml:space="preserve">pro Woche</w:t>
            </w:r>
          </w:p>
        </w:tc>
        <w:tc>
          <w:tcPr/>
          <w:p>
            <w:pPr>
              <w:pStyle w:val="Compact"/>
              <w:jc w:val="center"/>
            </w:pPr>
            <w:r>
              <w:t xml:space="preserve">2.216</w:t>
            </w:r>
          </w:p>
        </w:tc>
        <w:tc>
          <w:tcPr/>
          <w:p>
            <w:pPr>
              <w:pStyle w:val="Compact"/>
              <w:jc w:val="center"/>
            </w:pPr>
            <w:r>
              <w:t xml:space="preserve">2.162 2.118</w:t>
            </w:r>
          </w:p>
        </w:tc>
      </w:tr>
      <w:tr>
        <w:tc>
          <w:tcPr/>
          <w:p>
            <w:pPr>
              <w:pStyle w:val="Compact"/>
              <w:jc w:val="left"/>
            </w:pPr>
            <w:r>
              <w:t xml:space="preserve">Pünktliche Abholung und Zustellung</w:t>
            </w:r>
          </w:p>
        </w:tc>
        <w:tc>
          <w:tcPr/>
          <w:p>
            <w:pPr>
              <w:pStyle w:val="Compact"/>
              <w:jc w:val="center"/>
            </w:pPr>
            <w:r>
              <w:t xml:space="preserve">96,1%</w:t>
            </w:r>
          </w:p>
        </w:tc>
        <w:tc>
          <w:tcPr/>
          <w:p>
            <w:pPr>
              <w:pStyle w:val="Compact"/>
              <w:jc w:val="center"/>
            </w:pPr>
            <w:r>
              <w:t xml:space="preserve">95,4%</w:t>
            </w:r>
          </w:p>
        </w:tc>
        <w:tc>
          <w:tcPr/>
          <w:p>
            <w:pPr>
              <w:pStyle w:val="Compact"/>
              <w:jc w:val="center"/>
            </w:pPr>
            <w:r>
              <w:t xml:space="preserve">94,7%</w:t>
            </w:r>
          </w:p>
        </w:tc>
      </w:tr>
      <w:tr>
        <w:tc>
          <w:tcPr/>
          <w:p>
            <w:pPr>
              <w:pStyle w:val="Compact"/>
              <w:jc w:val="left"/>
            </w:pPr>
            <w:r>
              <w:t xml:space="preserve">Fahrer pünktlich zu Hause laut Zusag</w:t>
            </w:r>
          </w:p>
        </w:tc>
        <w:tc>
          <w:tcPr/>
          <w:p>
            <w:pPr>
              <w:pStyle w:val="Compact"/>
              <w:jc w:val="center"/>
            </w:pPr>
            <w:r>
              <w:t xml:space="preserve">e 91,8%</w:t>
            </w:r>
          </w:p>
        </w:tc>
        <w:tc>
          <w:tcPr/>
          <w:p>
            <w:pPr>
              <w:pStyle w:val="Compact"/>
              <w:jc w:val="center"/>
            </w:pPr>
            <w:r>
              <w:t xml:space="preserve">89,6%</w:t>
            </w:r>
          </w:p>
        </w:tc>
        <w:tc>
          <w:tcPr/>
          <w:p>
            <w:pPr>
              <w:pStyle w:val="Compact"/>
              <w:jc w:val="center"/>
            </w:pPr>
            <w:r>
              <w:t xml:space="preserve">87,9%</w:t>
            </w:r>
          </w:p>
        </w:tc>
      </w:tr>
      <w:tr>
        <w:tc>
          <w:tcPr/>
          <w:p>
            <w:pPr>
              <w:pStyle w:val="Compact"/>
              <w:jc w:val="left"/>
            </w:pPr>
            <w:r>
              <w:t xml:space="preserve">Annualisierte Fahrerfluktuation</w:t>
            </w:r>
          </w:p>
        </w:tc>
        <w:tc>
          <w:tcPr/>
          <w:p>
            <w:pPr>
              <w:pStyle w:val="Compact"/>
              <w:jc w:val="center"/>
            </w:pPr>
            <w:r>
              <w:t xml:space="preserve">63%</w:t>
            </w:r>
          </w:p>
        </w:tc>
        <w:tc>
          <w:tcPr/>
          <w:p>
            <w:pPr>
              <w:pStyle w:val="Compact"/>
              <w:jc w:val="center"/>
            </w:pPr>
            <w:r>
              <w:t xml:space="preserve">69%</w:t>
            </w:r>
          </w:p>
        </w:tc>
        <w:tc>
          <w:tcPr/>
          <w:p>
            <w:pPr>
              <w:pStyle w:val="Compact"/>
              <w:jc w:val="center"/>
            </w:pPr>
            <w:r>
              <w:t xml:space="preserve">74%</w:t>
            </w:r>
          </w:p>
        </w:tc>
      </w:tr>
    </w:tbl>
    <w:p>
      <w:pPr>
        <w:pStyle w:val="BodyText"/>
      </w:pPr>
      <w:r>
        <w:t xml:space="preserve">Quelle: interne Schätzungen von PrairieLine; alle Zahlen sind fiktiv.</w:t>
      </w:r>
    </w:p>
    <w:bookmarkEnd w:id="10"/>
    <w:bookmarkEnd w:id="11"/>
    <w:bookmarkStart w:id="13" w:name="die-geografie-des-gewinns"/>
    <w:p>
      <w:pPr>
        <w:pStyle w:val="Heading1"/>
      </w:pPr>
      <w:r>
        <w:t xml:space="preserve">Die Geografie des Gewinns</w:t>
      </w:r>
    </w:p>
    <w:p>
      <w:pPr>
        <w:pStyle w:val="FirstParagraph"/>
      </w:pPr>
      <w:r>
        <w:t xml:space="preserve">Fracht im Komplettladungsverkehr bewegte sich selten in ausgeglichenen Paaren. PrairieLine erzielte starke Raten beim Transport von Haushaltsgeräten und Industriegütern vom Mittleren Westen in Richtung Nordosten und Südosten. Die Rückfahrt war oft weniger attraktiv. Verbrauchermärkte rund um New York, Philadelphia, Atlanta und Florida erhielten große Frachtmengen, produzierten aber weniger gut bezahlte Ausgangsladungen. Ein Fahrer, der in eine dieser Regionen lieferte, musste möglicherweise warten, eine niedrig bezahlte Ladung annehmen oder leer in Richtung eines stärkeren Marktes fahren.</w:t>
      </w:r>
    </w:p>
    <w:p>
      <w:pPr>
        <w:pStyle w:val="BodyText"/>
      </w:pPr>
      <w:r>
        <w:t xml:space="preserve">Disponenten bewerteten daher mehr als nur die Marge einer einzelnen Ladung. Eine profitable Fahrt in ein schwaches Zielgebiet konnte den Umsatz des Fahrers für mehrere Tage verringern. Umgekehrt konnte eine niedrig bezahlte Ladung nützlich sein, wenn sie einen Fahrer in Richtung eines starken Marktes oder in Richtung Heimat brachte. Der Wert einer Ladung hing davon ab, was nach ihrer Zustellung geschah, doch die meiste zukünftige Fracht war noch gar nicht angeboten worden.</w:t>
      </w:r>
    </w:p>
    <w:p>
      <w:pPr>
        <w:pStyle w:val="BodyText"/>
      </w:pPr>
      <w:r>
        <w:t xml:space="preserve">Treibstoff verstärkte die Konsequenzen von Leerfahrten. Der US-Durchschnittspreis im Einzelhandel für Diesel im Straßenverkehr lag 2025 bei etwa 3,95 $ pro Gallone, nach durchschnittlich 5,21 $ im Jahr 2022 und 4,58 $ im Jahr 2023. Bei 6,8 Meilen pro Gallone kostete jede leer gefahrene 100-Meilen-Strecke PrairieLine beim Durchschnittswert von 2025 etwa 58 $ an Treibstoff, noch bevor Fahrerlohn, Wartung, Reifen, Versicherung und die Opportunitätskosten des Verbrauchs legaler Fahrstunden berücksichtigt wurden.</w:t>
      </w:r>
    </w:p>
    <w:bookmarkStart w:id="12" w:name="X088733d3b4d17be4e736cefc31072954162648c"/>
    <w:p>
      <w:pPr>
        <w:pStyle w:val="Heading2"/>
      </w:pPr>
      <w:r>
        <w:t xml:space="preserve">Exhibit 2. Ausgewählte am Freitagnachmittag verfügbare Fracht</w:t>
      </w:r>
    </w:p>
    <w:tbl>
      <w:tblPr>
        <w:tblStyle w:val="Table"/>
        <w:tblW w:type="pct" w:w="4910"/>
        <w:tblLayout w:type="fixed"/>
        <w:tblLook w:firstRow="1" w:lastRow="0" w:firstColumn="0" w:lastColumn="0" w:noHBand="0" w:noVBand="0" w:val="0020"/>
      </w:tblPr>
      <w:tblGrid>
        <w:gridCol w:w="499"/>
        <w:gridCol w:w="2497"/>
        <w:gridCol w:w="713"/>
        <w:gridCol w:w="1070"/>
        <w:gridCol w:w="1712"/>
        <w:gridCol w:w="1284"/>
      </w:tblGrid>
      <w:tr>
        <w:trPr>
          <w:tblHeader w:val="on"/>
        </w:trPr>
        <w:tc>
          <w:tcPr/>
          <w:p>
            <w:pPr>
              <w:pStyle w:val="Compact"/>
            </w:pPr>
            <w:r>
              <w:t xml:space="preserve">Ladung</w:t>
            </w:r>
          </w:p>
        </w:tc>
        <w:tc>
          <w:tcPr/>
          <w:p>
            <w:pPr>
              <w:pStyle w:val="Compact"/>
              <w:jc w:val="center"/>
            </w:pPr>
            <w:r>
              <w:t xml:space="preserve">Ursprung → Ziel</w:t>
            </w:r>
          </w:p>
        </w:tc>
        <w:tc>
          <w:tcPr/>
          <w:p>
            <w:pPr>
              <w:pStyle w:val="Compact"/>
              <w:jc w:val="right"/>
            </w:pPr>
            <w:r>
              <w:t xml:space="preserve">Umsatz</w:t>
            </w:r>
          </w:p>
        </w:tc>
        <w:tc>
          <w:tcPr/>
          <w:p>
            <w:pPr>
              <w:pStyle w:val="Compact"/>
              <w:jc w:val="right"/>
            </w:pPr>
            <w:r>
              <w:t xml:space="preserve">Beladene Mei</w:t>
            </w:r>
          </w:p>
        </w:tc>
        <w:tc>
          <w:tcPr/>
          <w:p>
            <w:pPr>
              <w:pStyle w:val="Compact"/>
            </w:pPr>
            <w:r>
              <w:t xml:space="preserve">len Leerkilometer bis A</w:t>
            </w:r>
          </w:p>
        </w:tc>
        <w:tc>
          <w:tcPr/>
          <w:p>
            <w:pPr>
              <w:pStyle w:val="Compact"/>
            </w:pPr>
            <w:r>
              <w:t xml:space="preserve">bholung Abholfrist</w:t>
            </w:r>
          </w:p>
        </w:tc>
      </w:tr>
      <w:tr>
        <w:tc>
          <w:tcPr/>
          <w:p>
            <w:pPr>
              <w:pStyle w:val="Compact"/>
            </w:pPr>
            <w:r>
              <w:t xml:space="preserve">A</w:t>
            </w:r>
          </w:p>
        </w:tc>
        <w:tc>
          <w:tcPr/>
          <w:p>
            <w:pPr>
              <w:pStyle w:val="Compact"/>
              <w:jc w:val="center"/>
            </w:pPr>
            <w:r>
              <w:t xml:space="preserve">Columbus, OH → Newark, NJ</w:t>
            </w:r>
          </w:p>
        </w:tc>
        <w:tc>
          <w:tcPr/>
          <w:p>
            <w:pPr>
              <w:pStyle w:val="Compact"/>
              <w:jc w:val="right"/>
            </w:pPr>
            <w:r>
              <w:t xml:space="preserve">$2.950</w:t>
            </w:r>
          </w:p>
        </w:tc>
        <w:tc>
          <w:tcPr/>
          <w:p>
            <w:pPr>
              <w:pStyle w:val="Compact"/>
              <w:jc w:val="right"/>
            </w:pPr>
            <w:r>
              <w:t xml:space="preserve">515</w:t>
            </w:r>
          </w:p>
        </w:tc>
        <w:tc>
          <w:tcPr/>
          <w:p>
            <w:pPr>
              <w:pStyle w:val="Compact"/>
            </w:pPr>
            <w:r>
              <w:t xml:space="preserve">42</w:t>
            </w:r>
          </w:p>
        </w:tc>
        <w:tc>
          <w:tcPr/>
          <w:p>
            <w:pPr>
              <w:pStyle w:val="Compact"/>
            </w:pPr>
            <w:r>
              <w:t xml:space="preserve">Fr. 20:00 Uhr</w:t>
            </w:r>
          </w:p>
        </w:tc>
      </w:tr>
      <w:tr>
        <w:tc>
          <w:tcPr/>
          <w:p>
            <w:pPr>
              <w:pStyle w:val="Compact"/>
            </w:pPr>
            <w:r>
              <w:t xml:space="preserve">B</w:t>
            </w:r>
          </w:p>
        </w:tc>
        <w:tc>
          <w:tcPr/>
          <w:p>
            <w:pPr>
              <w:pStyle w:val="Compact"/>
              <w:jc w:val="center"/>
            </w:pPr>
            <w:r>
              <w:t xml:space="preserve">Atlanta, GA → Jacksonville, FL</w:t>
            </w:r>
          </w:p>
        </w:tc>
        <w:tc>
          <w:tcPr/>
          <w:p>
            <w:pPr>
              <w:pStyle w:val="Compact"/>
              <w:jc w:val="right"/>
            </w:pPr>
            <w:r>
              <w:t xml:space="preserve">$1.080</w:t>
            </w:r>
          </w:p>
        </w:tc>
        <w:tc>
          <w:tcPr/>
          <w:p>
            <w:pPr>
              <w:pStyle w:val="Compact"/>
              <w:jc w:val="right"/>
            </w:pPr>
            <w:r>
              <w:t xml:space="preserve">346</w:t>
            </w:r>
          </w:p>
        </w:tc>
        <w:tc>
          <w:tcPr/>
          <w:p>
            <w:pPr>
              <w:pStyle w:val="Compact"/>
            </w:pPr>
            <w:r>
              <w:t xml:space="preserve">18</w:t>
            </w:r>
          </w:p>
        </w:tc>
        <w:tc>
          <w:tcPr/>
          <w:p>
            <w:pPr>
              <w:pStyle w:val="Compact"/>
            </w:pPr>
            <w:r>
              <w:t xml:space="preserve">Sa. 7:00 Uhr</w:t>
            </w:r>
          </w:p>
        </w:tc>
      </w:tr>
      <w:tr>
        <w:tc>
          <w:tcPr/>
          <w:p>
            <w:pPr>
              <w:pStyle w:val="Compact"/>
            </w:pPr>
            <w:r>
              <w:t xml:space="preserve">C</w:t>
            </w:r>
          </w:p>
        </w:tc>
        <w:tc>
          <w:tcPr/>
          <w:p>
            <w:pPr>
              <w:pStyle w:val="Compact"/>
              <w:jc w:val="center"/>
            </w:pPr>
            <w:r>
              <w:t xml:space="preserve">Cedar Rapids, IA → Nashville, TN</w:t>
            </w:r>
          </w:p>
        </w:tc>
        <w:tc>
          <w:tcPr/>
          <w:p>
            <w:pPr>
              <w:pStyle w:val="Compact"/>
              <w:jc w:val="right"/>
            </w:pPr>
            <w:r>
              <w:t xml:space="preserve">$2.720</w:t>
            </w:r>
          </w:p>
        </w:tc>
        <w:tc>
          <w:tcPr/>
          <w:p>
            <w:pPr>
              <w:pStyle w:val="Compact"/>
              <w:jc w:val="right"/>
            </w:pPr>
            <w:r>
              <w:t xml:space="preserve">620</w:t>
            </w:r>
          </w:p>
        </w:tc>
        <w:tc>
          <w:tcPr/>
          <w:p>
            <w:pPr>
              <w:pStyle w:val="Compact"/>
            </w:pPr>
            <w:r>
              <w:t xml:space="preserve">96</w:t>
            </w:r>
          </w:p>
        </w:tc>
        <w:tc>
          <w:tcPr/>
          <w:p>
            <w:pPr>
              <w:pStyle w:val="Compact"/>
            </w:pPr>
            <w:r>
              <w:t xml:space="preserve">Sa. Mittag</w:t>
            </w:r>
          </w:p>
        </w:tc>
      </w:tr>
      <w:tr>
        <w:tc>
          <w:tcPr/>
          <w:p>
            <w:pPr>
              <w:pStyle w:val="Compact"/>
            </w:pPr>
            <w:r>
              <w:t xml:space="preserve">D</w:t>
            </w:r>
          </w:p>
        </w:tc>
        <w:tc>
          <w:tcPr/>
          <w:p>
            <w:pPr>
              <w:pStyle w:val="Compact"/>
              <w:jc w:val="center"/>
            </w:pPr>
            <w:r>
              <w:t xml:space="preserve">Allentown, PA → Chicago, IL</w:t>
            </w:r>
          </w:p>
        </w:tc>
        <w:tc>
          <w:tcPr/>
          <w:p>
            <w:pPr>
              <w:pStyle w:val="Compact"/>
              <w:jc w:val="right"/>
            </w:pPr>
            <w:r>
              <w:t xml:space="preserve">$2.410</w:t>
            </w:r>
          </w:p>
        </w:tc>
        <w:tc>
          <w:tcPr/>
          <w:p>
            <w:pPr>
              <w:pStyle w:val="Compact"/>
              <w:jc w:val="right"/>
            </w:pPr>
            <w:r>
              <w:t xml:space="preserve">735</w:t>
            </w:r>
          </w:p>
        </w:tc>
        <w:tc>
          <w:tcPr/>
          <w:p>
            <w:pPr>
              <w:pStyle w:val="Compact"/>
            </w:pPr>
            <w:r>
              <w:t xml:space="preserve">21</w:t>
            </w:r>
          </w:p>
        </w:tc>
        <w:tc>
          <w:tcPr/>
          <w:p>
            <w:pPr>
              <w:pStyle w:val="Compact"/>
            </w:pPr>
            <w:r>
              <w:t xml:space="preserve">Fr. 23:00 Uhr</w:t>
            </w:r>
          </w:p>
        </w:tc>
      </w:tr>
      <w:tr>
        <w:tc>
          <w:tcPr/>
          <w:p>
            <w:pPr>
              <w:pStyle w:val="Compact"/>
            </w:pPr>
            <w:r>
              <w:t xml:space="preserve">E</w:t>
            </w:r>
          </w:p>
        </w:tc>
        <w:tc>
          <w:tcPr/>
          <w:p>
            <w:pPr>
              <w:pStyle w:val="Compact"/>
              <w:jc w:val="center"/>
            </w:pPr>
            <w:r>
              <w:t xml:space="preserve">Memphis, TN → Dallas, TX</w:t>
            </w:r>
          </w:p>
        </w:tc>
        <w:tc>
          <w:tcPr/>
          <w:p>
            <w:pPr>
              <w:pStyle w:val="Compact"/>
              <w:jc w:val="right"/>
            </w:pPr>
            <w:r>
              <w:t xml:space="preserve">$2.180</w:t>
            </w:r>
          </w:p>
        </w:tc>
        <w:tc>
          <w:tcPr/>
          <w:p>
            <w:pPr>
              <w:pStyle w:val="Compact"/>
              <w:jc w:val="right"/>
            </w:pPr>
            <w:r>
              <w:t xml:space="preserve">455</w:t>
            </w:r>
          </w:p>
        </w:tc>
        <w:tc>
          <w:tcPr/>
          <w:p>
            <w:pPr>
              <w:pStyle w:val="Compact"/>
            </w:pPr>
            <w:r>
              <w:t xml:space="preserve">64</w:t>
            </w:r>
          </w:p>
        </w:tc>
        <w:tc>
          <w:tcPr/>
          <w:p>
            <w:pPr>
              <w:pStyle w:val="Compact"/>
            </w:pPr>
            <w:r>
              <w:t xml:space="preserve">Sa. 9:00 Uhr</w:t>
            </w:r>
          </w:p>
        </w:tc>
      </w:tr>
      <w:tr>
        <w:tc>
          <w:tcPr/>
          <w:p>
            <w:pPr>
              <w:pStyle w:val="Compact"/>
            </w:pPr>
            <w:r>
              <w:t xml:space="preserve">F</w:t>
            </w:r>
          </w:p>
        </w:tc>
        <w:tc>
          <w:tcPr/>
          <w:p>
            <w:pPr>
              <w:pStyle w:val="Compact"/>
              <w:jc w:val="center"/>
            </w:pPr>
            <w:r>
              <w:t xml:space="preserve">Newark, NJ → Harrisburg, PA</w:t>
            </w:r>
          </w:p>
        </w:tc>
        <w:tc>
          <w:tcPr/>
          <w:p>
            <w:pPr>
              <w:pStyle w:val="Compact"/>
              <w:jc w:val="right"/>
            </w:pPr>
            <w:r>
              <w:t xml:space="preserve">$620</w:t>
            </w:r>
          </w:p>
        </w:tc>
        <w:tc>
          <w:tcPr/>
          <w:p>
            <w:pPr>
              <w:pStyle w:val="Compact"/>
              <w:jc w:val="right"/>
            </w:pPr>
            <w:r>
              <w:t xml:space="preserve">165</w:t>
            </w:r>
          </w:p>
        </w:tc>
        <w:tc>
          <w:tcPr/>
          <w:p>
            <w:pPr>
              <w:pStyle w:val="Compact"/>
            </w:pPr>
            <w:r>
              <w:t xml:space="preserve">11</w:t>
            </w:r>
          </w:p>
        </w:tc>
        <w:tc>
          <w:tcPr/>
          <w:p>
            <w:pPr>
              <w:pStyle w:val="Compact"/>
            </w:pPr>
            <w:r>
              <w:t xml:space="preserve">Sa. 6:00 Uhr</w:t>
            </w:r>
          </w:p>
        </w:tc>
      </w:tr>
      <w:tr>
        <w:tc>
          <w:tcPr/>
          <w:p>
            <w:pPr>
              <w:pStyle w:val="Compact"/>
            </w:pPr>
            <w:r>
              <w:t xml:space="preserve">G</w:t>
            </w:r>
          </w:p>
        </w:tc>
        <w:tc>
          <w:tcPr/>
          <w:p>
            <w:pPr>
              <w:pStyle w:val="Compact"/>
              <w:jc w:val="center"/>
            </w:pPr>
            <w:r>
              <w:t xml:space="preserve">Indianapolis, IN → Atlanta, GA</w:t>
            </w:r>
          </w:p>
        </w:tc>
        <w:tc>
          <w:tcPr/>
          <w:p>
            <w:pPr>
              <w:pStyle w:val="Compact"/>
              <w:jc w:val="right"/>
            </w:pPr>
            <w:r>
              <w:t xml:space="preserve">$2.060</w:t>
            </w:r>
          </w:p>
        </w:tc>
        <w:tc>
          <w:tcPr/>
          <w:p>
            <w:pPr>
              <w:pStyle w:val="Compact"/>
              <w:jc w:val="right"/>
            </w:pPr>
            <w:r>
              <w:t xml:space="preserve">535</w:t>
            </w:r>
          </w:p>
        </w:tc>
        <w:tc>
          <w:tcPr/>
          <w:p>
            <w:pPr>
              <w:pStyle w:val="Compact"/>
            </w:pPr>
            <w:r>
              <w:t xml:space="preserve">33</w:t>
            </w:r>
          </w:p>
        </w:tc>
        <w:tc>
          <w:tcPr/>
          <w:p>
            <w:pPr>
              <w:pStyle w:val="Compact"/>
            </w:pPr>
            <w:r>
              <w:t xml:space="preserve">Sa. 14:00 Uhr</w:t>
            </w:r>
          </w:p>
        </w:tc>
      </w:tr>
    </w:tbl>
    <w:p>
      <w:pPr>
        <w:pStyle w:val="BodyText"/>
      </w:pPr>
      <w:r>
        <w:t xml:space="preserve">Quelle: PrairieLine-Dispositionstafel; Zahlen sind fiktiv und schließen Treibstoffzuschläge aus.</w:t>
      </w:r>
    </w:p>
    <w:bookmarkEnd w:id="12"/>
    <w:bookmarkEnd w:id="13"/>
    <w:bookmarkStart w:id="15" w:name="die-kunden-die-spät-anriefen"/>
    <w:p>
      <w:pPr>
        <w:pStyle w:val="Heading1"/>
      </w:pPr>
      <w:r>
        <w:t xml:space="preserve">Die Kunden, die spät anriefen</w:t>
      </w:r>
    </w:p>
    <w:p>
      <w:pPr>
        <w:pStyle w:val="FirstParagraph"/>
      </w:pPr>
      <w:r>
        <w:t xml:space="preserve">Die größten Kunden von PrairieLine lieferten keine vollständigen Zeitpläne weit im Voraus. Manche Ladungen wurden fünf bis sieben Tage vor der Abholung angeboten, viele aber erst ein bis drei Tage im Voraus. Verkaufsaktionen, Produktionsverzögerungen, Wetter und Änderungen im Kundenbestand führten zu kurzfristigen Schwankungen. Ein großer Verlader konnte am Montag 40 Ladungen und in der folgenden Woche 75 auf derselben Strecke anbieten.</w:t>
      </w:r>
    </w:p>
    <w:p>
      <w:pPr>
        <w:pStyle w:val="BodyText"/>
      </w:pPr>
      <w:r>
        <w:t xml:space="preserve">Der Frachtführer musste schnell entscheiden, ob er jedes Angebot annahm. Zu viele Ladungen abzulehnen, konnte den Servicewert senken und die im nächsten Jahresausschreibungszyklus zugeteilte Fracht verringern. Zu viele anzunehmen, konnte einen Abdeckungsausfall verursachen und PrairieLine zwingen, teure externe Kapazität zu kaufen oder einen anderen Kunden zu enttäuschen. Manche Disponenten hielten Fahrer in der Nähe wichtiger Werke, weil sie zusätzliche Fracht erwarteten. Wenn die Ladungen nicht auftauchten, verloren die Fahrer Meilen und wurden zunehmend frustriert.</w:t>
      </w:r>
    </w:p>
    <w:p>
      <w:pPr>
        <w:pStyle w:val="BodyText"/>
      </w:pPr>
      <w:r>
        <w:t xml:space="preserve">Öffentliche Frachtbörsen boten ein Ventil. PrairieLine konnte über seine Brokerage-Gruppe Transportkapazität kaufen oder verkaufen oder einmalige Fracht finden, um einen Fahrer neu zu positionieren. Doch die Gelegenheiten auf den Frachtbörsen änderten sich minütlich. Eine Ladung, die um 14:45 Uhr sichtbar war, konnte bis 14:48 Uhr verschwunden sein. Die Gegenparteien waren unterschiedlich zuverlässig, und der auf dem Bildschirm angezeigte Satz verriet nichts über Standzeitrisiken, schwierige Annahmezeiten oder ob der Verlader stornieren würde.</w:t>
      </w:r>
    </w:p>
    <w:bookmarkStart w:id="14" w:name="exhibit-3.-ausgewählte-kundenzusagen"/>
    <w:p>
      <w:pPr>
        <w:pStyle w:val="Heading2"/>
      </w:pPr>
      <w:r>
        <w:t xml:space="preserve">Exhibit 3. Ausgewählte Kundenzusagen</w:t>
      </w:r>
    </w:p>
    <w:tbl>
      <w:tblPr>
        <w:tblStyle w:val="Table"/>
        <w:tblW w:type="pct" w:w="4918"/>
        <w:tblLayout w:type="fixed"/>
        <w:tblLook w:firstRow="1" w:lastRow="0" w:firstColumn="0" w:lastColumn="0" w:noHBand="0" w:noVBand="0" w:val="0020"/>
      </w:tblPr>
      <w:tblGrid>
        <w:gridCol w:w="1752"/>
        <w:gridCol w:w="1817"/>
        <w:gridCol w:w="1233"/>
        <w:gridCol w:w="1622"/>
        <w:gridCol w:w="1363"/>
      </w:tblGrid>
      <w:tr>
        <w:trPr>
          <w:tblHeader w:val="on"/>
        </w:trPr>
        <w:tc>
          <w:tcPr/>
          <w:p>
            <w:pPr>
              <w:pStyle w:val="Compact"/>
              <w:jc w:val="left"/>
            </w:pPr>
            <w:r>
              <w:t xml:space="preserve">Kundensegment</w:t>
            </w:r>
          </w:p>
        </w:tc>
        <w:tc>
          <w:tcPr/>
          <w:p>
            <w:pPr>
              <w:pStyle w:val="Compact"/>
              <w:jc w:val="center"/>
            </w:pPr>
            <w:r>
              <w:t xml:space="preserve">Anteil am Vertragsumsatz</w:t>
            </w:r>
          </w:p>
        </w:tc>
        <w:tc>
          <w:tcPr/>
          <w:p>
            <w:pPr>
              <w:pStyle w:val="Compact"/>
            </w:pPr>
            <w:r>
              <w:t xml:space="preserve">Angebotsvorlaufzeit</w:t>
            </w:r>
          </w:p>
        </w:tc>
        <w:tc>
          <w:tcPr/>
          <w:p>
            <w:pPr>
              <w:pStyle w:val="Compact"/>
              <w:jc w:val="right"/>
            </w:pPr>
            <w:r>
              <w:t xml:space="preserve">Akzeptanzziel 2026 A</w:t>
            </w:r>
          </w:p>
        </w:tc>
        <w:tc>
          <w:tcPr/>
          <w:p>
            <w:pPr>
              <w:pStyle w:val="Compact"/>
              <w:jc w:val="left"/>
            </w:pPr>
            <w:r>
              <w:t xml:space="preserve">ktuelle Akzeptanz</w:t>
            </w:r>
          </w:p>
        </w:tc>
      </w:tr>
      <w:tr>
        <w:tc>
          <w:tcPr/>
          <w:p>
            <w:pPr>
              <w:pStyle w:val="Compact"/>
              <w:jc w:val="left"/>
            </w:pPr>
            <w:r>
              <w:t xml:space="preserve">Industrielle Fertigung</w:t>
            </w:r>
          </w:p>
        </w:tc>
        <w:tc>
          <w:tcPr/>
          <w:p>
            <w:pPr>
              <w:pStyle w:val="Compact"/>
              <w:jc w:val="center"/>
            </w:pPr>
            <w:r>
              <w:t xml:space="preserve">27%</w:t>
            </w:r>
          </w:p>
        </w:tc>
        <w:tc>
          <w:tcPr/>
          <w:p>
            <w:pPr>
              <w:pStyle w:val="Compact"/>
            </w:pPr>
            <w:r>
              <w:t xml:space="preserve">1–3 Tage</w:t>
            </w:r>
          </w:p>
        </w:tc>
        <w:tc>
          <w:tcPr/>
          <w:p>
            <w:pPr>
              <w:pStyle w:val="Compact"/>
              <w:jc w:val="right"/>
            </w:pPr>
            <w:r>
              <w:t xml:space="preserve">95%</w:t>
            </w:r>
          </w:p>
        </w:tc>
        <w:tc>
          <w:tcPr/>
          <w:p>
            <w:pPr>
              <w:pStyle w:val="Compact"/>
              <w:jc w:val="left"/>
            </w:pPr>
            <w:r>
              <w:t xml:space="preserve">92%</w:t>
            </w:r>
          </w:p>
        </w:tc>
      </w:tr>
      <w:tr>
        <w:tc>
          <w:tcPr/>
          <w:p>
            <w:pPr>
              <w:pStyle w:val="Compact"/>
              <w:jc w:val="left"/>
            </w:pPr>
            <w:r>
              <w:t xml:space="preserve">Einzelhandelsvertrieb</w:t>
            </w:r>
          </w:p>
        </w:tc>
        <w:tc>
          <w:tcPr/>
          <w:p>
            <w:pPr>
              <w:pStyle w:val="Compact"/>
              <w:jc w:val="center"/>
            </w:pPr>
            <w:r>
              <w:t xml:space="preserve">21%</w:t>
            </w:r>
          </w:p>
        </w:tc>
        <w:tc>
          <w:tcPr/>
          <w:p>
            <w:pPr>
              <w:pStyle w:val="Compact"/>
            </w:pPr>
            <w:r>
              <w:t xml:space="preserve">2–5 Tage</w:t>
            </w:r>
          </w:p>
        </w:tc>
        <w:tc>
          <w:tcPr/>
          <w:p>
            <w:pPr>
              <w:pStyle w:val="Compact"/>
              <w:jc w:val="right"/>
            </w:pPr>
            <w:r>
              <w:t xml:space="preserve">93%</w:t>
            </w:r>
          </w:p>
        </w:tc>
        <w:tc>
          <w:tcPr/>
          <w:p>
            <w:pPr>
              <w:pStyle w:val="Compact"/>
              <w:jc w:val="left"/>
            </w:pPr>
            <w:r>
              <w:t xml:space="preserve">94%</w:t>
            </w:r>
          </w:p>
        </w:tc>
      </w:tr>
      <w:tr>
        <w:tc>
          <w:tcPr/>
          <w:p>
            <w:pPr>
              <w:pStyle w:val="Compact"/>
              <w:jc w:val="left"/>
            </w:pPr>
            <w:r>
              <w:t xml:space="preserve">Lebensmittel und Getränke</w:t>
            </w:r>
          </w:p>
        </w:tc>
        <w:tc>
          <w:tcPr/>
          <w:p>
            <w:pPr>
              <w:pStyle w:val="Compact"/>
              <w:jc w:val="center"/>
            </w:pPr>
            <w:r>
              <w:t xml:space="preserve">18%</w:t>
            </w:r>
          </w:p>
        </w:tc>
        <w:tc>
          <w:tcPr/>
          <w:p>
            <w:pPr>
              <w:pStyle w:val="Compact"/>
            </w:pPr>
            <w:r>
              <w:t xml:space="preserve">Gleicher Tag–2 Tag</w:t>
            </w:r>
          </w:p>
        </w:tc>
        <w:tc>
          <w:tcPr/>
          <w:p>
            <w:pPr>
              <w:pStyle w:val="Compact"/>
              <w:jc w:val="right"/>
            </w:pPr>
            <w:r>
              <w:t xml:space="preserve">e 97%</w:t>
            </w:r>
          </w:p>
        </w:tc>
        <w:tc>
          <w:tcPr/>
          <w:p>
            <w:pPr>
              <w:pStyle w:val="Compact"/>
              <w:jc w:val="left"/>
            </w:pPr>
            <w:r>
              <w:t xml:space="preserve">93%</w:t>
            </w:r>
          </w:p>
        </w:tc>
      </w:tr>
      <w:tr>
        <w:tc>
          <w:tcPr/>
          <w:p>
            <w:pPr>
              <w:pStyle w:val="Compact"/>
              <w:jc w:val="left"/>
            </w:pPr>
            <w:r>
              <w:t xml:space="preserve">Baustoffe</w:t>
            </w:r>
          </w:p>
        </w:tc>
        <w:tc>
          <w:tcPr/>
          <w:p>
            <w:pPr>
              <w:pStyle w:val="Compact"/>
              <w:jc w:val="center"/>
            </w:pPr>
            <w:r>
              <w:t xml:space="preserve">14%</w:t>
            </w:r>
          </w:p>
        </w:tc>
        <w:tc>
          <w:tcPr/>
          <w:p>
            <w:pPr>
              <w:pStyle w:val="Compact"/>
            </w:pPr>
            <w:r>
              <w:t xml:space="preserve">1–4 Tage</w:t>
            </w:r>
          </w:p>
        </w:tc>
        <w:tc>
          <w:tcPr/>
          <w:p>
            <w:pPr>
              <w:pStyle w:val="Compact"/>
              <w:jc w:val="right"/>
            </w:pPr>
            <w:r>
              <w:t xml:space="preserve">92%</w:t>
            </w:r>
          </w:p>
        </w:tc>
        <w:tc>
          <w:tcPr/>
          <w:p>
            <w:pPr>
              <w:pStyle w:val="Compact"/>
              <w:jc w:val="left"/>
            </w:pPr>
            <w:r>
              <w:t xml:space="preserve">89%</w:t>
            </w:r>
          </w:p>
        </w:tc>
      </w:tr>
      <w:tr>
        <w:tc>
          <w:tcPr/>
          <w:p>
            <w:pPr>
              <w:pStyle w:val="Compact"/>
              <w:jc w:val="left"/>
            </w:pPr>
            <w:r>
              <w:t xml:space="preserve">Konsumgüter</w:t>
            </w:r>
          </w:p>
        </w:tc>
        <w:tc>
          <w:tcPr/>
          <w:p>
            <w:pPr>
              <w:pStyle w:val="Compact"/>
              <w:jc w:val="center"/>
            </w:pPr>
            <w:r>
              <w:t xml:space="preserve">11%</w:t>
            </w:r>
          </w:p>
        </w:tc>
        <w:tc>
          <w:tcPr/>
          <w:p>
            <w:pPr>
              <w:pStyle w:val="Compact"/>
            </w:pPr>
            <w:r>
              <w:t xml:space="preserve">3–7 Tage</w:t>
            </w:r>
          </w:p>
        </w:tc>
        <w:tc>
          <w:tcPr/>
          <w:p>
            <w:pPr>
              <w:pStyle w:val="Compact"/>
              <w:jc w:val="right"/>
            </w:pPr>
            <w:r>
              <w:t xml:space="preserve">90%</w:t>
            </w:r>
          </w:p>
        </w:tc>
        <w:tc>
          <w:tcPr/>
          <w:p>
            <w:pPr>
              <w:pStyle w:val="Compact"/>
              <w:jc w:val="left"/>
            </w:pPr>
            <w:r>
              <w:t xml:space="preserve">91%</w:t>
            </w:r>
          </w:p>
        </w:tc>
      </w:tr>
      <w:tr>
        <w:tc>
          <w:tcPr/>
          <w:p>
            <w:pPr>
              <w:pStyle w:val="Compact"/>
              <w:jc w:val="left"/>
            </w:pPr>
            <w:r>
              <w:t xml:space="preserve">Sonstige</w:t>
            </w:r>
          </w:p>
        </w:tc>
        <w:tc>
          <w:tcPr/>
          <w:p>
            <w:pPr>
              <w:pStyle w:val="Compact"/>
              <w:jc w:val="center"/>
            </w:pPr>
            <w:r>
              <w:t xml:space="preserve">9%</w:t>
            </w:r>
          </w:p>
        </w:tc>
        <w:tc>
          <w:tcPr/>
          <w:p>
            <w:pPr>
              <w:pStyle w:val="Compact"/>
            </w:pPr>
            <w:r>
              <w:t xml:space="preserve">Variiert</w:t>
            </w:r>
          </w:p>
        </w:tc>
        <w:tc>
          <w:tcPr/>
          <w:p>
            <w:pPr>
              <w:pStyle w:val="Compact"/>
              <w:jc w:val="right"/>
            </w:pPr>
            <w:r>
              <w:t xml:space="preserve">—</w:t>
            </w:r>
          </w:p>
        </w:tc>
        <w:tc>
          <w:tcPr/>
          <w:p>
            <w:pPr>
              <w:pStyle w:val="Compact"/>
              <w:jc w:val="left"/>
            </w:pPr>
            <w:r>
              <w:t xml:space="preserve">—</w:t>
            </w:r>
          </w:p>
        </w:tc>
      </w:tr>
    </w:tbl>
    <w:p>
      <w:pPr>
        <w:pStyle w:val="BodyText"/>
      </w:pPr>
      <w:r>
        <w:t xml:space="preserve">Quelle: interne Kunden-Scorecard von PrairieLine; fiktiv.</w:t>
      </w:r>
    </w:p>
    <w:bookmarkEnd w:id="14"/>
    <w:bookmarkEnd w:id="15"/>
    <w:bookmarkStart w:id="17" w:name="die-fahreruhr"/>
    <w:p>
      <w:pPr>
        <w:pStyle w:val="Heading1"/>
      </w:pPr>
      <w:r>
        <w:t xml:space="preserve">Die Fahreruhr</w:t>
      </w:r>
    </w:p>
    <w:p>
      <w:pPr>
        <w:pStyle w:val="FirstParagraph"/>
      </w:pPr>
      <w:r>
        <w:t xml:space="preserve">Eine Sattelzugmaschine war nur nützlich, wenn sie mit einem verfügbaren Fahrer gepaart war. Die bundesstaatlichen Lenk- und Ruhezeitvorschriften erlaubten einem Fahrer im Güterverkehr im Allgemeinen, innerhalb eines 14-Stunden-Dienstfensters nach 10 aufeinanderfolgenden Stunden Dienstfreistellung bis zu 11 Stunden zu fahren. Das Warten bei einem Kunden konnte das Dienstfenster verbrauchen, selbst wenn der Lkw nicht fuhr. Ein verspäteter Beladungstermin konnte einen machbaren Einsatz in einen verwandeln, der einen Übernachtungsstopp oder einen Serviceausfall erforderte.</w:t>
      </w:r>
    </w:p>
    <w:p>
      <w:pPr>
        <w:pStyle w:val="BodyText"/>
      </w:pPr>
      <w:r>
        <w:t xml:space="preserve">Disponenten mussten außerdem Fahrerpräferenzen und Heimatverpflichtungen respektieren. Ein Fahrer in der Nähe von Atlanta hatte versprochen, am Sonntagnachmittag der Abschlussfeier seiner Tochter in Knoxville beizuwohnen. Ein anderer Fahrer in Pennsylvania war bereit, eine zusätzliche Woche unterwegs zu bleiben, wenn er nach Westen eingesetzt würde. Ein dritter hatte New-York-City-Fracht nach zwei schwierigen Zustellungen abgelehnt. Das Planungssystem zeigte legale Stunden und Heimatstandorte an, erfasste aber nicht immer die Intensität einer Fahrerpräferenz oder ein informelles Versprechen eines Disponenten.</w:t>
      </w:r>
    </w:p>
    <w:p>
      <w:pPr>
        <w:pStyle w:val="BodyText"/>
      </w:pPr>
      <w:r>
        <w:t xml:space="preserve">Das Management war sich uneinig darüber, wie viel Ermessensspielraum Disponenten ausüben sollten. Chen glaubte, dass inkonsistentes lokales Urteilsvermögen zu steigenden Leerkilometern beitrug. Der Vice President of Safety argumentierte, dass ein im System effizient erscheinender Einsatz unrealistisch werden könne, wenn Wetter, Parkplatzverfügbarkeit, Kundenverzögerungen und Fahrerermüdung berücksichtigt würden. Der Leiter der Rekrutierung warnte, dass erzwungene Einsätze zwar die Auslastung dieser Woche verbessern, die Fluktuation in den nächsten sechs Monaten jedoch verschlechtern könnten.</w:t>
      </w:r>
    </w:p>
    <w:bookmarkStart w:id="16" w:name="X4c8359b2c1660e58e129e49be059dbf596ae9c4"/>
    <w:p>
      <w:pPr>
        <w:pStyle w:val="Heading2"/>
      </w:pPr>
      <w:r>
        <w:t xml:space="preserve">Exhibit 4. Fahrerverfügbarkeit am Freitag in ausgewählten Märkten</w:t>
      </w:r>
    </w:p>
    <w:tbl>
      <w:tblPr>
        <w:tblStyle w:val="Table"/>
        <w:tblW w:type="pct" w:w="4935"/>
        <w:tblLayout w:type="fixed"/>
        <w:tblLook w:firstRow="1" w:lastRow="0" w:firstColumn="0" w:lastColumn="0" w:noHBand="0" w:noVBand="0" w:val="0020"/>
      </w:tblPr>
      <w:tblGrid>
        <w:gridCol w:w="1863"/>
        <w:gridCol w:w="1708"/>
        <w:gridCol w:w="931"/>
        <w:gridCol w:w="1397"/>
        <w:gridCol w:w="1915"/>
      </w:tblGrid>
      <w:tr>
        <w:trPr>
          <w:tblHeader w:val="on"/>
        </w:trPr>
        <w:tc>
          <w:tcPr/>
          <w:p>
            <w:pPr>
              <w:pStyle w:val="Compact"/>
              <w:jc w:val="left"/>
            </w:pPr>
            <w:r>
              <w:t xml:space="preserve">Markt</w:t>
            </w:r>
          </w:p>
        </w:tc>
        <w:tc>
          <w:tcPr/>
          <w:p>
            <w:pPr>
              <w:pStyle w:val="Compact"/>
              <w:jc w:val="right"/>
            </w:pPr>
            <w:r>
              <w:t xml:space="preserve">Fahrer verfügbar bis Sa. Mittag</w:t>
            </w:r>
          </w:p>
        </w:tc>
        <w:tc>
          <w:tcPr/>
          <w:p>
            <w:pPr>
              <w:pStyle w:val="Compact"/>
              <w:jc w:val="right"/>
            </w:pPr>
            <w:r>
              <w:t xml:space="preserve">Zugesagte Ladung</w:t>
            </w:r>
          </w:p>
        </w:tc>
        <w:tc>
          <w:tcPr/>
          <w:p>
            <w:pPr>
              <w:pStyle w:val="Compact"/>
            </w:pPr>
            <w:r>
              <w:t xml:space="preserve">en Nicht zugewiesene ange</w:t>
            </w:r>
          </w:p>
        </w:tc>
        <w:tc>
          <w:tcPr/>
          <w:p>
            <w:pPr>
              <w:pStyle w:val="Compact"/>
            </w:pPr>
            <w:r>
              <w:t xml:space="preserve">botene Ladungen Fahrer mit Heimattermin bis So.</w:t>
            </w:r>
          </w:p>
        </w:tc>
      </w:tr>
      <w:tr>
        <w:tc>
          <w:tcPr/>
          <w:p>
            <w:pPr>
              <w:pStyle w:val="Compact"/>
              <w:jc w:val="left"/>
            </w:pPr>
            <w:r>
              <w:t xml:space="preserve">Atlanta / Nord-Georgia</w:t>
            </w:r>
          </w:p>
        </w:tc>
        <w:tc>
          <w:tcPr/>
          <w:p>
            <w:pPr>
              <w:pStyle w:val="Compact"/>
              <w:jc w:val="right"/>
            </w:pPr>
            <w:r>
              <w:t xml:space="preserve">47</w:t>
            </w:r>
          </w:p>
        </w:tc>
        <w:tc>
          <w:tcPr/>
          <w:p>
            <w:pPr>
              <w:pStyle w:val="Compact"/>
              <w:jc w:val="right"/>
            </w:pPr>
            <w:r>
              <w:t xml:space="preserve">29</w:t>
            </w:r>
          </w:p>
        </w:tc>
        <w:tc>
          <w:tcPr/>
          <w:p>
            <w:pPr>
              <w:pStyle w:val="Compact"/>
            </w:pPr>
            <w:r>
              <w:t xml:space="preserve">18</w:t>
            </w:r>
          </w:p>
        </w:tc>
        <w:tc>
          <w:tcPr/>
          <w:p>
            <w:pPr>
              <w:pStyle w:val="Compact"/>
            </w:pPr>
            <w:r>
              <w:t xml:space="preserve">21</w:t>
            </w:r>
          </w:p>
        </w:tc>
      </w:tr>
      <w:tr>
        <w:tc>
          <w:tcPr/>
          <w:p>
            <w:pPr>
              <w:pStyle w:val="Compact"/>
              <w:jc w:val="left"/>
            </w:pPr>
            <w:r>
              <w:t xml:space="preserve">New Jersey / Ost-Pennsylvania</w:t>
            </w:r>
          </w:p>
        </w:tc>
        <w:tc>
          <w:tcPr/>
          <w:p>
            <w:pPr>
              <w:pStyle w:val="Compact"/>
              <w:jc w:val="right"/>
            </w:pPr>
            <w:r>
              <w:t xml:space="preserve">39</w:t>
            </w:r>
          </w:p>
        </w:tc>
        <w:tc>
          <w:tcPr/>
          <w:p>
            <w:pPr>
              <w:pStyle w:val="Compact"/>
              <w:jc w:val="right"/>
            </w:pPr>
            <w:r>
              <w:t xml:space="preserve">25</w:t>
            </w:r>
          </w:p>
        </w:tc>
        <w:tc>
          <w:tcPr/>
          <w:p>
            <w:pPr>
              <w:pStyle w:val="Compact"/>
            </w:pPr>
            <w:r>
              <w:t xml:space="preserve">12</w:t>
            </w:r>
          </w:p>
        </w:tc>
        <w:tc>
          <w:tcPr/>
          <w:p>
            <w:pPr>
              <w:pStyle w:val="Compact"/>
            </w:pPr>
            <w:r>
              <w:t xml:space="preserve">16</w:t>
            </w:r>
          </w:p>
        </w:tc>
      </w:tr>
      <w:tr>
        <w:tc>
          <w:tcPr/>
          <w:p>
            <w:pPr>
              <w:pStyle w:val="Compact"/>
              <w:jc w:val="left"/>
            </w:pPr>
            <w:r>
              <w:t xml:space="preserve">Zentral-Ohio</w:t>
            </w:r>
          </w:p>
        </w:tc>
        <w:tc>
          <w:tcPr/>
          <w:p>
            <w:pPr>
              <w:pStyle w:val="Compact"/>
              <w:jc w:val="right"/>
            </w:pPr>
            <w:r>
              <w:t xml:space="preserve">22</w:t>
            </w:r>
          </w:p>
        </w:tc>
        <w:tc>
          <w:tcPr/>
          <w:p>
            <w:pPr>
              <w:pStyle w:val="Compact"/>
              <w:jc w:val="right"/>
            </w:pPr>
            <w:r>
              <w:t xml:space="preserve">31</w:t>
            </w:r>
          </w:p>
        </w:tc>
        <w:tc>
          <w:tcPr/>
          <w:p>
            <w:pPr>
              <w:pStyle w:val="Compact"/>
            </w:pPr>
            <w:r>
              <w:t xml:space="preserve">27</w:t>
            </w:r>
          </w:p>
        </w:tc>
        <w:tc>
          <w:tcPr/>
          <w:p>
            <w:pPr>
              <w:pStyle w:val="Compact"/>
            </w:pPr>
            <w:r>
              <w:t xml:space="preserve">8</w:t>
            </w:r>
          </w:p>
        </w:tc>
      </w:tr>
      <w:tr>
        <w:tc>
          <w:tcPr/>
          <w:p>
            <w:pPr>
              <w:pStyle w:val="Compact"/>
              <w:jc w:val="left"/>
            </w:pPr>
            <w:r>
              <w:t xml:space="preserve">Iowa / Süd-Minnesota</w:t>
            </w:r>
          </w:p>
        </w:tc>
        <w:tc>
          <w:tcPr/>
          <w:p>
            <w:pPr>
              <w:pStyle w:val="Compact"/>
              <w:jc w:val="right"/>
            </w:pPr>
            <w:r>
              <w:t xml:space="preserve">14</w:t>
            </w:r>
          </w:p>
        </w:tc>
        <w:tc>
          <w:tcPr/>
          <w:p>
            <w:pPr>
              <w:pStyle w:val="Compact"/>
              <w:jc w:val="right"/>
            </w:pPr>
            <w:r>
              <w:t xml:space="preserve">21</w:t>
            </w:r>
          </w:p>
        </w:tc>
        <w:tc>
          <w:tcPr/>
          <w:p>
            <w:pPr>
              <w:pStyle w:val="Compact"/>
            </w:pPr>
            <w:r>
              <w:t xml:space="preserve">19</w:t>
            </w:r>
          </w:p>
        </w:tc>
        <w:tc>
          <w:tcPr/>
          <w:p>
            <w:pPr>
              <w:pStyle w:val="Compact"/>
            </w:pPr>
            <w:r>
              <w:t xml:space="preserve">4</w:t>
            </w:r>
          </w:p>
        </w:tc>
      </w:tr>
      <w:tr>
        <w:tc>
          <w:tcPr/>
          <w:p>
            <w:pPr>
              <w:pStyle w:val="Compact"/>
              <w:jc w:val="left"/>
            </w:pPr>
            <w:r>
              <w:t xml:space="preserve">Memphis / West-Tennessee</w:t>
            </w:r>
          </w:p>
        </w:tc>
        <w:tc>
          <w:tcPr/>
          <w:p>
            <w:pPr>
              <w:pStyle w:val="Compact"/>
              <w:jc w:val="right"/>
            </w:pPr>
            <w:r>
              <w:t xml:space="preserve">19</w:t>
            </w:r>
          </w:p>
        </w:tc>
        <w:tc>
          <w:tcPr/>
          <w:p>
            <w:pPr>
              <w:pStyle w:val="Compact"/>
              <w:jc w:val="right"/>
            </w:pPr>
            <w:r>
              <w:t xml:space="preserve">18</w:t>
            </w:r>
          </w:p>
        </w:tc>
        <w:tc>
          <w:tcPr/>
          <w:p>
            <w:pPr>
              <w:pStyle w:val="Compact"/>
            </w:pPr>
            <w:r>
              <w:t xml:space="preserve">23</w:t>
            </w:r>
          </w:p>
        </w:tc>
        <w:tc>
          <w:tcPr/>
          <w:p>
            <w:pPr>
              <w:pStyle w:val="Compact"/>
            </w:pPr>
            <w:r>
              <w:t xml:space="preserve">7</w:t>
            </w:r>
          </w:p>
        </w:tc>
      </w:tr>
      <w:tr>
        <w:tc>
          <w:tcPr/>
          <w:p>
            <w:pPr>
              <w:pStyle w:val="Compact"/>
              <w:jc w:val="left"/>
            </w:pPr>
            <w:r>
              <w:t xml:space="preserve">Dallas / Nord-Texas</w:t>
            </w:r>
          </w:p>
        </w:tc>
        <w:tc>
          <w:tcPr/>
          <w:p>
            <w:pPr>
              <w:pStyle w:val="Compact"/>
              <w:jc w:val="right"/>
            </w:pPr>
            <w:r>
              <w:t xml:space="preserve">31</w:t>
            </w:r>
          </w:p>
        </w:tc>
        <w:tc>
          <w:tcPr/>
          <w:p>
            <w:pPr>
              <w:pStyle w:val="Compact"/>
              <w:jc w:val="right"/>
            </w:pPr>
            <w:r>
              <w:t xml:space="preserve">28</w:t>
            </w:r>
          </w:p>
        </w:tc>
        <w:tc>
          <w:tcPr/>
          <w:p>
            <w:pPr>
              <w:pStyle w:val="Compact"/>
            </w:pPr>
            <w:r>
              <w:t xml:space="preserve">16</w:t>
            </w:r>
          </w:p>
        </w:tc>
        <w:tc>
          <w:tcPr/>
          <w:p>
            <w:pPr>
              <w:pStyle w:val="Compact"/>
            </w:pPr>
            <w:r>
              <w:t xml:space="preserve">11</w:t>
            </w:r>
          </w:p>
        </w:tc>
      </w:tr>
      <w:tr>
        <w:tc>
          <w:tcPr/>
          <w:p>
            <w:pPr>
              <w:pStyle w:val="Compact"/>
              <w:jc w:val="left"/>
            </w:pPr>
            <w:r>
              <w:t xml:space="preserve">Indianapolis / Louisville</w:t>
            </w:r>
          </w:p>
        </w:tc>
        <w:tc>
          <w:tcPr/>
          <w:p>
            <w:pPr>
              <w:pStyle w:val="Compact"/>
              <w:jc w:val="right"/>
            </w:pPr>
            <w:r>
              <w:t xml:space="preserve">28</w:t>
            </w:r>
          </w:p>
        </w:tc>
        <w:tc>
          <w:tcPr/>
          <w:p>
            <w:pPr>
              <w:pStyle w:val="Compact"/>
              <w:jc w:val="right"/>
            </w:pPr>
            <w:r>
              <w:t xml:space="preserve">34</w:t>
            </w:r>
          </w:p>
        </w:tc>
        <w:tc>
          <w:tcPr/>
          <w:p>
            <w:pPr>
              <w:pStyle w:val="Compact"/>
            </w:pPr>
            <w:r>
              <w:t xml:space="preserve">23</w:t>
            </w:r>
          </w:p>
        </w:tc>
        <w:tc>
          <w:tcPr/>
          <w:p>
            <w:pPr>
              <w:pStyle w:val="Compact"/>
            </w:pPr>
            <w:r>
              <w:t xml:space="preserve">13</w:t>
            </w:r>
          </w:p>
        </w:tc>
      </w:tr>
    </w:tbl>
    <w:p>
      <w:pPr>
        <w:pStyle w:val="BodyText"/>
      </w:pPr>
      <w:r>
        <w:t xml:space="preserve">Quelle: PrairieLine-Planungsschnappschuss um 14:40 Uhr; fiktiv.</w:t>
      </w:r>
    </w:p>
    <w:bookmarkEnd w:id="16"/>
    <w:bookmarkEnd w:id="17"/>
    <w:bookmarkStart w:id="19" w:name="ausschreibungssaison"/>
    <w:p>
      <w:pPr>
        <w:pStyle w:val="Heading1"/>
      </w:pPr>
      <w:r>
        <w:t xml:space="preserve">Ausschreibungssaison</w:t>
      </w:r>
    </w:p>
    <w:p>
      <w:pPr>
        <w:pStyle w:val="FirstParagraph"/>
      </w:pPr>
      <w:r>
        <w:t xml:space="preserve">Das unmittelbare Dispositionsproblem trat während der jährlichen Ausschreibungssaison auf. Verlader baten Frachtführer, für Tausende von Ursprungs-Ziel-Strecken für das kommende Jahr Preise anzubieten und erwartete Kapazität zuzusagen. Die Vergabe einer Strecke garantierte nicht, dass das prognostizierte Volumen tatsächlich eintreten würde, doch der Preis und das zugesagte Akzeptanzniveau würden das Netzwerk von PrairieLine über Monate hinweg prägen.</w:t>
      </w:r>
    </w:p>
    <w:p>
      <w:pPr>
        <w:pStyle w:val="BodyText"/>
      </w:pPr>
      <w:r>
        <w:t xml:space="preserve">Die Vertriebsgruppe wollte aggressive Angebote auf Strecken aus dem Mittleren Westen, wo sich die Kundennachfrage zu erholen schien. Der Betrieb befürchtete, dass die Gewinnung zu vieler ostwärts gerichteter Fracht noch mehr Fahrer in schwache Ausgangsmärkte bringen würde. Finanzen bevorzugten eine größere Brokerage-Rolle, die es dem Unternehmen erlauben würde, Kundenfracht anzunehmen, ohne genügend Sattelzugmaschinen zu besitzen, um jede Spitzenbelastung abzudecken. Die Fahrerrekrutierung schlug neue Standorte in Ohio und Tennessee vor, doch jeder Standort erforderte einen ausreichenden Ladungsfluss, der Fahrer zuverlässig nach Hause bringen würde.</w:t>
      </w:r>
    </w:p>
    <w:p>
      <w:pPr>
        <w:pStyle w:val="BodyText"/>
      </w:pPr>
      <w:r>
        <w:t xml:space="preserve">Das Unternehmen musste außerdem entscheiden, wie viele Sattelzugmaschinen und Auflieger es betreiben sollte. Neue Sattelzugmaschinen verbesserten den Kraftstoffverbrauch und die Zuverlässigkeit, erforderten aber Kapital zu einem Zeitpunkt, an dem die Margen gering waren. Überschüssige Sattelzugmaschinen stillzulegen bewahrte Flexibilität, verursachte aber Abschreibungs- und Finanzierungskosten. Die Reduzierung der Flotte könnte die Auslastung verbessern, PrairieLine aber ungeschützt lassen, falls die Frachtnachfrage unerwartet anziehen würde.</w:t>
      </w:r>
    </w:p>
    <w:bookmarkStart w:id="18" w:name="exhibit-5.-managementvorschläge-für-2027"/>
    <w:p>
      <w:pPr>
        <w:pStyle w:val="Heading2"/>
      </w:pPr>
      <w:r>
        <w:t xml:space="preserve">Exhibit 5. Managementvorschläge für 2027</w:t>
      </w:r>
    </w:p>
    <w:tbl>
      <w:tblPr>
        <w:tblStyle w:val="Table"/>
        <w:tblW w:type="pct" w:w="4944"/>
        <w:tblLayout w:type="fixed"/>
        <w:tblLook w:firstRow="1" w:lastRow="0" w:firstColumn="0" w:lastColumn="0" w:noHBand="0" w:noVBand="0" w:val="0020"/>
      </w:tblPr>
      <w:tblGrid>
        <w:gridCol w:w="1913"/>
        <w:gridCol w:w="1334"/>
        <w:gridCol w:w="2180"/>
        <w:gridCol w:w="2402"/>
      </w:tblGrid>
      <w:tr>
        <w:trPr>
          <w:tblHeader w:val="on"/>
        </w:trPr>
        <w:tc>
          <w:tcPr/>
          <w:p>
            <w:pPr>
              <w:pStyle w:val="Compact"/>
              <w:jc w:val="left"/>
            </w:pPr>
            <w:r>
              <w:t xml:space="preserve">Vorschlag</w:t>
            </w:r>
          </w:p>
        </w:tc>
        <w:tc>
          <w:tcPr/>
          <w:p>
            <w:pPr>
              <w:pStyle w:val="Compact"/>
              <w:jc w:val="right"/>
            </w:pPr>
            <w:r>
              <w:t xml:space="preserve">Geschätzte jährliche Verpfli</w:t>
            </w:r>
          </w:p>
        </w:tc>
        <w:tc>
          <w:tcPr/>
          <w:p>
            <w:pPr>
              <w:pStyle w:val="Compact"/>
              <w:jc w:val="left"/>
            </w:pPr>
            <w:r>
              <w:t xml:space="preserve">chtung Erwarteter Vorteil</w:t>
            </w:r>
          </w:p>
        </w:tc>
        <w:tc>
          <w:tcPr/>
          <w:p>
            <w:pPr>
              <w:pStyle w:val="Compact"/>
              <w:jc w:val="center"/>
            </w:pPr>
            <w:r>
              <w:t xml:space="preserve">Hauptbedenken</w:t>
            </w:r>
          </w:p>
        </w:tc>
      </w:tr>
      <w:tr>
        <w:tc>
          <w:tcPr/>
          <w:p>
            <w:pPr>
              <w:pStyle w:val="Compact"/>
              <w:jc w:val="left"/>
            </w:pPr>
            <w:r>
              <w:t xml:space="preserve">90 Fahrer in Ohio und Tennessee hinzufügen</w:t>
            </w:r>
          </w:p>
        </w:tc>
        <w:tc>
          <w:tcPr/>
          <w:p>
            <w:pPr>
              <w:pStyle w:val="Compact"/>
              <w:jc w:val="right"/>
            </w:pPr>
            <w:r>
              <w:t xml:space="preserve">$7,8 Millionen</w:t>
            </w:r>
          </w:p>
        </w:tc>
        <w:tc>
          <w:tcPr/>
          <w:p>
            <w:pPr>
              <w:pStyle w:val="Compact"/>
              <w:jc w:val="left"/>
            </w:pPr>
            <w:r>
              <w:t xml:space="preserve">Verbesserte Abdeckung in starken Ausgangsmärkt</w:t>
            </w:r>
          </w:p>
        </w:tc>
        <w:tc>
          <w:tcPr/>
          <w:p>
            <w:pPr>
              <w:pStyle w:val="Compact"/>
              <w:jc w:val="center"/>
            </w:pPr>
            <w:r>
              <w:t xml:space="preserve">en Erfolg der Rekrutierung und Rückfracht ungewiss</w:t>
            </w:r>
          </w:p>
        </w:tc>
      </w:tr>
      <w:tr>
        <w:tc>
          <w:tcPr/>
          <w:p>
            <w:pPr>
              <w:pStyle w:val="Compact"/>
              <w:jc w:val="left"/>
            </w:pPr>
            <w:r>
              <w:t xml:space="preserve">Brokerage-Kapazität erweitern</w:t>
            </w:r>
          </w:p>
        </w:tc>
        <w:tc>
          <w:tcPr/>
          <w:p>
            <w:pPr>
              <w:pStyle w:val="Compact"/>
              <w:jc w:val="right"/>
            </w:pPr>
            <w:r>
              <w:t xml:space="preserve">$3,2 Millionen</w:t>
            </w:r>
          </w:p>
        </w:tc>
        <w:tc>
          <w:tcPr/>
          <w:p>
            <w:pPr>
              <w:pStyle w:val="Compact"/>
              <w:jc w:val="left"/>
            </w:pPr>
            <w:r>
              <w:t xml:space="preserve">Spitzen abdecken, ohne alle Geräte zu besitz</w:t>
            </w:r>
          </w:p>
        </w:tc>
        <w:tc>
          <w:tcPr/>
          <w:p>
            <w:pPr>
              <w:pStyle w:val="Compact"/>
              <w:jc w:val="center"/>
            </w:pPr>
            <w:r>
              <w:t xml:space="preserve">en Weniger Kontrolle über Service und Einkaufspreise</w:t>
            </w:r>
          </w:p>
        </w:tc>
      </w:tr>
      <w:tr>
        <w:tc>
          <w:tcPr/>
          <w:p>
            <w:pPr>
              <w:pStyle w:val="Compact"/>
              <w:jc w:val="left"/>
            </w:pPr>
            <w:r>
              <w:t xml:space="preserve">Sattelzugmaschinenflotte um 75 reduzieren</w:t>
            </w:r>
          </w:p>
        </w:tc>
        <w:tc>
          <w:tcPr/>
          <w:p>
            <w:pPr>
              <w:pStyle w:val="Compact"/>
              <w:jc w:val="right"/>
            </w:pPr>
            <w:r>
              <w:t xml:space="preserve">$1,9 Millionen Einsparung</w:t>
            </w:r>
          </w:p>
        </w:tc>
        <w:tc>
          <w:tcPr/>
          <w:p>
            <w:pPr>
              <w:pStyle w:val="Compact"/>
              <w:jc w:val="left"/>
            </w:pPr>
            <w:r>
              <w:t xml:space="preserve">Verbesserte Auslastung und Cashflow</w:t>
            </w:r>
          </w:p>
        </w:tc>
        <w:tc>
          <w:tcPr/>
          <w:p>
            <w:pPr>
              <w:pStyle w:val="Compact"/>
              <w:jc w:val="center"/>
            </w:pPr>
            <w:r>
              <w:t xml:space="preserve">Weniger Kapazität, falls sich die Frachtnachfrage erholt</w:t>
            </w:r>
          </w:p>
        </w:tc>
      </w:tr>
      <w:tr>
        <w:tc>
          <w:tcPr/>
          <w:p>
            <w:pPr>
              <w:pStyle w:val="Compact"/>
              <w:jc w:val="left"/>
            </w:pPr>
            <w:r>
              <w:t xml:space="preserve">Investition in Dispositionsoptimierungsplat</w:t>
            </w:r>
          </w:p>
        </w:tc>
        <w:tc>
          <w:tcPr/>
          <w:p>
            <w:pPr>
              <w:pStyle w:val="Compact"/>
              <w:jc w:val="right"/>
            </w:pPr>
            <w:r>
              <w:t xml:space="preserve">tform $2,6 Millionen</w:t>
            </w:r>
          </w:p>
        </w:tc>
        <w:tc>
          <w:tcPr/>
          <w:p>
            <w:pPr>
              <w:pStyle w:val="Compact"/>
              <w:jc w:val="left"/>
            </w:pPr>
            <w:r>
              <w:t xml:space="preserve">Leerkilometer reduzieren und Einsätze standardi</w:t>
            </w:r>
          </w:p>
        </w:tc>
        <w:tc>
          <w:tcPr/>
          <w:p>
            <w:pPr>
              <w:pStyle w:val="Compact"/>
              <w:jc w:val="center"/>
            </w:pPr>
            <w:r>
              <w:t xml:space="preserve">sieren Akzeptanz durch Disponenten und Fahrer</w:t>
            </w:r>
          </w:p>
        </w:tc>
      </w:tr>
      <w:tr>
        <w:tc>
          <w:tcPr/>
          <w:p>
            <w:pPr>
              <w:pStyle w:val="Compact"/>
              <w:jc w:val="left"/>
            </w:pPr>
            <w:r>
              <w:t xml:space="preserve">Heimatzeitgarantie-Prämie anbieten</w:t>
            </w:r>
          </w:p>
        </w:tc>
        <w:tc>
          <w:tcPr/>
          <w:p>
            <w:pPr>
              <w:pStyle w:val="Compact"/>
              <w:jc w:val="right"/>
            </w:pPr>
            <w:r>
              <w:t xml:space="preserve">$4,1 Millionen</w:t>
            </w:r>
          </w:p>
        </w:tc>
        <w:tc>
          <w:tcPr/>
          <w:p>
            <w:pPr>
              <w:pStyle w:val="Compact"/>
              <w:jc w:val="left"/>
            </w:pPr>
            <w:r>
              <w:t xml:space="preserve">Verbesserte Rekrutierung und Bindung</w:t>
            </w:r>
          </w:p>
        </w:tc>
        <w:tc>
          <w:tcPr/>
          <w:p>
            <w:pPr>
              <w:pStyle w:val="Compact"/>
              <w:jc w:val="center"/>
            </w:pPr>
            <w:r>
              <w:t xml:space="preserve">Kann Ladungsauswahl einschränken und Leerkilometer erhöhen</w:t>
            </w:r>
          </w:p>
        </w:tc>
      </w:tr>
      <w:tr>
        <w:tc>
          <w:tcPr/>
          <w:p>
            <w:pPr>
              <w:pStyle w:val="Compact"/>
              <w:jc w:val="left"/>
            </w:pPr>
            <w:r>
              <w:t xml:space="preserve">Beteiligung am Spotmarkt erhöhen</w:t>
            </w:r>
          </w:p>
        </w:tc>
        <w:tc>
          <w:tcPr/>
          <w:p>
            <w:pPr>
              <w:pStyle w:val="Compact"/>
              <w:jc w:val="right"/>
            </w:pPr>
            <w:r>
              <w:t xml:space="preserve">Variabel</w:t>
            </w:r>
          </w:p>
        </w:tc>
        <w:tc>
          <w:tcPr/>
          <w:p>
            <w:pPr>
              <w:pStyle w:val="Compact"/>
              <w:jc w:val="left"/>
            </w:pPr>
            <w:r>
              <w:t xml:space="preserve">Erfassung hochpreisiger kurzfristiger Gelegenhei</w:t>
            </w:r>
          </w:p>
        </w:tc>
        <w:tc>
          <w:tcPr/>
          <w:p>
            <w:pPr>
              <w:pStyle w:val="Compact"/>
              <w:jc w:val="center"/>
            </w:pPr>
            <w:r>
              <w:t xml:space="preserve">ten Volatilität und schwächerer Vertragsservice</w:t>
            </w:r>
          </w:p>
        </w:tc>
      </w:tr>
    </w:tbl>
    <w:p>
      <w:pPr>
        <w:pStyle w:val="BodyText"/>
      </w:pPr>
      <w:r>
        <w:t xml:space="preserve">Quelle: vorläufige Planungsschätzungen von PrairieLine; fiktiv.</w:t>
      </w:r>
    </w:p>
    <w:bookmarkEnd w:id="18"/>
    <w:bookmarkEnd w:id="19"/>
    <w:bookmarkStart w:id="20" w:name="vier-sichtweisen-auf-das-problem"/>
    <w:p>
      <w:pPr>
        <w:pStyle w:val="Heading1"/>
      </w:pPr>
      <w:r>
        <w:t xml:space="preserve">Vier Sichtweisen auf das Problem</w:t>
      </w:r>
    </w:p>
    <w:p>
      <w:pPr>
        <w:pStyle w:val="FirstParagraph"/>
      </w:pPr>
      <w:r>
        <w:t xml:space="preserve">Chen sah ein Netzwerkkoordinationsproblem. Sie glaubte, dass PrairieLine Ladungen und Fahrer zu lokal bewertete, mit unzureichender Aufmerksamkeit dafür, wo jeder Einsatz die Flotte zurücklassen würde. Sie wollte, dass das Unternehmen einige Fahrer für wahrscheinliche zukünftige Fracht reservierte, Brokerage systematischer nutzte und den Disponenten ein gemeinsames Maß für den nachgelagerten Wert jedes Einsatzes gab.</w:t>
      </w:r>
    </w:p>
    <w:p>
      <w:pPr>
        <w:pStyle w:val="BodyText"/>
      </w:pPr>
      <w:r>
        <w:t xml:space="preserve">Chief Commercial Officer Rafael Torres sah ein Kundenproblem. Er argumentierte, dass der Frachtführer die Akzeptanz und die pünktliche Zustellung für die Kunden schützen müsse, die 2027 am wahrscheinlichsten profitable Fracht anbieten würden. Eine marginale Ladung heute abzulehnen, könnte im nächsten Ausschreibungszyklus eine ganze Strecke kosten. Er wollte, dass der Betrieb strategische Kundenfracht von opportunistischen Transaktionen unterscheidet, anstatt jede Ladung nach ihrer unmittelbaren Wirtschaftlichkeit zu behandeln.</w:t>
      </w:r>
    </w:p>
    <w:p>
      <w:pPr>
        <w:pStyle w:val="BodyText"/>
      </w:pPr>
      <w:r>
        <w:t xml:space="preserve">Chief People Officer Dana Wilkes sah ein Fahrerproblem. Das Versprechen von PrairieLine für vorhersehbare Heimatzeit hatte sich abgeschwächt, und die Fluktuation stieg. Sie befürwortete engere Einsatzregionen, klarere Heimatzeitzusagen und Vergütungsregelungen, die Fahrer für Wartezeiten und unerwünschte Einsätze entschädigten. Sie räumte ein, dass diese Politiken das Netzwerk unflexibler machen könnten, argumentierte aber, dass eine unbesetzte Sattelzugmaschine überhaupt keinen Umsatz erzeuge.</w:t>
      </w:r>
    </w:p>
    <w:p>
      <w:pPr>
        <w:pStyle w:val="BodyText"/>
      </w:pPr>
      <w:r>
        <w:t xml:space="preserve">Chief Financial Officer Evan Brooks sah ein Kapital- und Risikoproblem. Er stellte infrage, ob PrairieLine genug Ausrüstung besitzen sollte, um ungewisse Spitzen abzudecken. Er befürwortete die Reduzierung der Anzahl der Sattelzugmaschinen, die Erweiterung der Brokerage und die Nutzung kürzerer Kundenverpflichtungen, bis sich die Frachtvolumina deutlicher abzeichneten. Die anderen Führungskräfte befürchteten, dass eine kleinere eigene Flotte die Servicekontrolle untergraben und das Unternehmen genau dann Spotpreisen aussetzen würde, wenn sich die Kapazität verknappte.</w:t>
      </w:r>
    </w:p>
    <w:bookmarkEnd w:id="20"/>
    <w:bookmarkStart w:id="21" w:name="die-freitagsentscheidung"/>
    <w:p>
      <w:pPr>
        <w:pStyle w:val="Heading1"/>
      </w:pPr>
      <w:r>
        <w:t xml:space="preserve">Die Freitagsentscheidung</w:t>
      </w:r>
    </w:p>
    <w:p>
      <w:pPr>
        <w:pStyle w:val="FirstParagraph"/>
      </w:pPr>
      <w:r>
        <w:t xml:space="preserve">Um 15:15 Uhr war die Zahl der unbeantworteten Ladungsangebote auf 151 gestiegen. Ein Lebensmittelkunde fügte 11 gekühlte Ladungen von Iowa in den Südosten hinzu. Ein Baustoffkunde zog sechs Ohio-Ladungen zurück, weil sein Werk die Produktion eingestellt hatte. Der Preis für eine Frachtbörsen-Anzeige von New Jersey nach Ohio stieg um 250 $, doch die Ladung verschwand, bevor der Broker von PrairieLine den Anruf abgeschlossen hatte.</w:t>
      </w:r>
    </w:p>
    <w:p>
      <w:pPr>
        <w:pStyle w:val="BodyText"/>
      </w:pPr>
      <w:r>
        <w:t xml:space="preserve">Chen musste dem Abenddispositionsteam eine Richtung vorgeben. Sie konnte den höchsten Beitrag auf den sichtbaren Ladungen betonen, die besten Vertragskunden schützen, Einsätze priorisieren, die Fahrer in Richtung Heimat bewegten, oder Fahrer im Hinblick auf noch nicht erschienene Fracht zurückhalten. Jede Regel würde unterschiedliche Gewinner und Verlierer hervorbringen. Ein gemischter Ansatz klang vernünftig, doch niemand war sich über die Gewichtungen einig, und die Bedingungen änderten sich schneller, als das Meeting sie klären konnte.</w:t>
      </w:r>
    </w:p>
    <w:p>
      <w:pPr>
        <w:pStyle w:val="BodyText"/>
      </w:pPr>
      <w:r>
        <w:t xml:space="preserve">Am Montag würde das Führungsteam auch mit der Überprüfung der Streckenausschreibungen für 2027, der Standortänderungen, der Brokerage-Erweiterung, der Flottengröße und einer vorgeschlagenen Dispositionsplattform beginnen. Die Freitagseinsätze würden nur ein paar hundert Entscheidungen in einem Unternehmen sein, das jede Woche Tausende traf, doch sie legten die tiefer liegende Frage offen: Was wollte PrairieLine, dass sein Netzwerk werde, und wie viel kurzfristige Leistung war es bereit zu opfern, um dorthin zu gelangen?</w:t>
      </w:r>
    </w:p>
    <w:bookmarkEnd w:id="21"/>
    <w:bookmarkStart w:id="22" w:name="diskussionsfragen"/>
    <w:p>
      <w:pPr>
        <w:pStyle w:val="Heading1"/>
      </w:pPr>
      <w:r>
        <w:t xml:space="preserve">Diskussionsfragen</w:t>
      </w:r>
    </w:p>
    <w:p>
      <w:pPr>
        <w:numPr>
          <w:ilvl w:val="0"/>
          <w:numId w:val="1001"/>
        </w:numPr>
      </w:pPr>
      <w:r>
        <w:t xml:space="preserve">Was ist das zentrale Problem, dem sich PrairieLine am Freitagnachmittag gegenübersieht?</w:t>
      </w:r>
    </w:p>
    <w:p>
      <w:pPr>
        <w:numPr>
          <w:ilvl w:val="0"/>
          <w:numId w:val="1001"/>
        </w:numPr>
      </w:pPr>
      <w:r>
        <w:t xml:space="preserve">Wie sollte das Management eine Ladung bewerten, deren unmittelbare Marge attraktiv ist, deren Zielort aber eine schwache Ausgangsfracht aufweist?</w:t>
      </w:r>
    </w:p>
    <w:p>
      <w:pPr>
        <w:numPr>
          <w:ilvl w:val="0"/>
          <w:numId w:val="1001"/>
        </w:numPr>
      </w:pPr>
      <w:r>
        <w:t xml:space="preserve">Welche Kundenverpflichtungen sollten priorisiert werden, wenn die Kapazität nicht ausreicht, um jedes Angebot abzudecken?</w:t>
      </w:r>
    </w:p>
    <w:p>
      <w:pPr>
        <w:numPr>
          <w:ilvl w:val="0"/>
          <w:numId w:val="1001"/>
        </w:numPr>
      </w:pPr>
      <w:r>
        <w:t xml:space="preserve">Wie sollten Heimatzeitzusagen und Einsatzpräferenzen der Fahrer die Dispositionsentscheidungen beeinflussen?</w:t>
      </w:r>
    </w:p>
    <w:p>
      <w:pPr>
        <w:numPr>
          <w:ilvl w:val="0"/>
          <w:numId w:val="1001"/>
        </w:numPr>
      </w:pPr>
      <w:r>
        <w:t xml:space="preserve">Wann sollte PrairieLine einen Fahrer leer verlegen, anstatt eine niedrig bezahlte Umpositionierungsladung anzunehmen?</w:t>
      </w:r>
    </w:p>
    <w:p>
      <w:pPr>
        <w:numPr>
          <w:ilvl w:val="0"/>
          <w:numId w:val="1001"/>
        </w:numPr>
      </w:pPr>
      <w:r>
        <w:t xml:space="preserve">Welche Informationen fehlen auf der Freitags-Dispositionstafel, die eine Zuweisung erheblich verändern könnten?</w:t>
      </w:r>
    </w:p>
    <w:p>
      <w:pPr>
        <w:numPr>
          <w:ilvl w:val="0"/>
          <w:numId w:val="1001"/>
        </w:numPr>
      </w:pPr>
      <w:r>
        <w:t xml:space="preserve">Wie sollte das Unternehmen die Fracht zwischen eigenen Fahrern und externer Brokerage-Kapazität aufteilen?</w:t>
      </w:r>
    </w:p>
    <w:p>
      <w:pPr>
        <w:numPr>
          <w:ilvl w:val="0"/>
          <w:numId w:val="1001"/>
        </w:numPr>
      </w:pPr>
      <w:r>
        <w:t xml:space="preserve">Was sollte PrairieLine bei der Abgabe von Jahrespreisen und Kapazitätszusagen pro Strecke berücksichtigen?</w:t>
      </w:r>
    </w:p>
    <w:p>
      <w:pPr>
        <w:numPr>
          <w:ilvl w:val="0"/>
          <w:numId w:val="1001"/>
        </w:numPr>
      </w:pPr>
      <w:r>
        <w:t xml:space="preserve">Würde die Aufstockung der Fahrer in Ohio und Tennessee das Netzwerk verbessern, oder würde sie das Ungleichgewicht nur verlagern?</w:t>
      </w:r>
    </w:p>
    <w:p>
      <w:pPr>
        <w:numPr>
          <w:ilvl w:val="0"/>
          <w:numId w:val="1001"/>
        </w:numPr>
      </w:pPr>
      <w:r>
        <w:t xml:space="preserve">Wie sollte PrairieLine feststellen, ob die vorgeschlagene Dispositionsplattform tatsächlich die Leistung verbessert, anstatt lediglich Kosten zwischen Kunden, Fahrern und zukünftigen Perioden zu verschieben?</w:t>
      </w:r>
    </w:p>
    <w:bookmarkEnd w:id="22"/>
    <w:bookmarkStart w:id="28" w:name="fragen-zur-entscheidungsrahmung"/>
    <w:p>
      <w:pPr>
        <w:pStyle w:val="Heading1"/>
      </w:pPr>
      <w:r>
        <w:t xml:space="preserve">Fragen zur Entscheidungsrahmung</w:t>
      </w:r>
    </w:p>
    <w:p>
      <w:pPr>
        <w:numPr>
          <w:ilvl w:val="0"/>
          <w:numId w:val="1002"/>
        </w:numPr>
      </w:pPr>
      <w:r>
        <w:t xml:space="preserve">Identifizieren und beschreiben Sie die Verantwortlichkeiten des Entscheidungsträgers. Dies sollte den Umfang des Problems festlegen.</w:t>
      </w:r>
    </w:p>
    <w:p>
      <w:pPr>
        <w:numPr>
          <w:ilvl w:val="0"/>
          <w:numId w:val="1002"/>
        </w:numPr>
      </w:pPr>
      <w:r>
        <w:t xml:space="preserve">Verwenden Sie das</w:t>
      </w:r>
      <w:r>
        <w:t xml:space="preserve"> </w:t>
      </w:r>
      <w:hyperlink r:id="rId23">
        <w:r>
          <w:rPr>
            <w:rStyle w:val="Hyperlink"/>
          </w:rPr>
          <w:t xml:space="preserve">Metrik-Pyramiden-Tool</w:t>
        </w:r>
      </w:hyperlink>
      <w:r>
        <w:t xml:space="preserve">, um die verschiedenen Leistungskennzahlen zu identifizieren und zu priorisieren. Klicken Sie auf das Oval, das die Kennzahl enthält, um festzulegen, ob es sich um eine zu maximierende Kennzahl (grün), eine zu minimierende Kennzahl (rot), ein Ziel handelt, das eine Untergrenze darstellt (hellgrün) oder eine Obergrenze (hellrot), oder schließlich um einen Zielwert (violett).</w:t>
      </w:r>
    </w:p>
    <w:p>
      <w:pPr>
        <w:numPr>
          <w:ilvl w:val="0"/>
          <w:numId w:val="1002"/>
        </w:numPr>
      </w:pPr>
      <w:r>
        <w:t xml:space="preserve">Verwenden Sie das</w:t>
      </w:r>
      <w:r>
        <w:t xml:space="preserve"> </w:t>
      </w:r>
      <w:hyperlink r:id="rId24">
        <w:r>
          <w:rPr>
            <w:rStyle w:val="Hyperlink"/>
          </w:rPr>
          <w:t xml:space="preserve">Entscheidungspriorisierungs-Tool</w:t>
        </w:r>
      </w:hyperlink>
      <w:r>
        <w:t xml:space="preserve">, um zunächst die verschiedenen Arten von Entscheidungen aufzulisten (nutzen Sie die</w:t>
      </w:r>
      <w:r>
        <w:t xml:space="preserve"> </w:t>
      </w:r>
      <w:hyperlink r:id="rId25">
        <w:r>
          <w:rPr>
            <w:rStyle w:val="Hyperlink"/>
          </w:rPr>
          <w:t xml:space="preserve">Arten von Entscheidungen</w:t>
        </w:r>
      </w:hyperlink>
      <w:r>
        <w:t xml:space="preserve"> </w:t>
      </w:r>
      <w:r>
        <w:t xml:space="preserve">als Orientierung). Diese füllen dann die Zeilen der Matrix rechts, wobei die Spalten die Leistungskennzahlen sind, sortiert von links nach rechts nach ihrer Priorität in der Pyramide oben. Klicken Sie auf jede Zelle, um anzugeben, ob die Auswirkung der Entscheidung auf jede Kennzahl hoch (rot), mittel (orange), niedrig (gelb) oder keine (weiß) ist.</w:t>
      </w:r>
    </w:p>
    <w:p>
      <w:pPr>
        <w:numPr>
          <w:ilvl w:val="0"/>
          <w:numId w:val="1002"/>
        </w:numPr>
      </w:pPr>
      <w:r>
        <w:t xml:space="preserve">Sie können den Griff (drei Balken) ganz links in jeder Zeile fassen, um sie nach oben oder unten zu verschieben. Sortieren Sie die Zeilen so, dass die Entscheidungen mit der größten Auswirkung auf die wichtigsten Kennzahlen nach oben kommen. Die Zellen in der oberen linken Ecke sollten die größte Konzentration an roten und orangefarbenen Zellen aufweisen. Identifizieren Sie an diesem Punkt die Entscheidungen, die in Ihrer Studie die größte Aufmerksamkeit erhalten sollten. Wenn Sie keine Entscheidungen mit mittlerer oder hoher Auswirkung auf die wichtigsten Kennzahlen haben, überarbeiten Sie Ihre Liste der Entscheidungen.</w:t>
      </w:r>
    </w:p>
    <w:p>
      <w:pPr>
        <w:numPr>
          <w:ilvl w:val="0"/>
          <w:numId w:val="1002"/>
        </w:numPr>
      </w:pPr>
      <w:r>
        <w:t xml:space="preserve">Wiederholen Sie den Prozess, um die Unsicherheiten mithilfe des</w:t>
      </w:r>
      <w:r>
        <w:t xml:space="preserve"> </w:t>
      </w:r>
      <w:hyperlink r:id="rId26">
        <w:r>
          <w:rPr>
            <w:rStyle w:val="Hyperlink"/>
          </w:rPr>
          <w:t xml:space="preserve">Unsicherheitspriorisierungs-Tools</w:t>
        </w:r>
      </w:hyperlink>
      <w:r>
        <w:t xml:space="preserve"> </w:t>
      </w:r>
      <w:r>
        <w:t xml:space="preserve">aufzulisten und zu priorisieren. Nutzen Sie die</w:t>
      </w:r>
      <w:r>
        <w:t xml:space="preserve"> </w:t>
      </w:r>
      <w:hyperlink r:id="rId27">
        <w:r>
          <w:rPr>
            <w:rStyle w:val="Hyperlink"/>
          </w:rPr>
          <w:t xml:space="preserve">Kategorien von Unsicherheit</w:t>
        </w:r>
      </w:hyperlink>
      <w:r>
        <w:t xml:space="preserve"> </w:t>
      </w:r>
      <w:r>
        <w:t xml:space="preserve">als Hilfe, um diese zu identifizieren.</w:t>
      </w:r>
    </w:p>
    <w:p>
      <w:pPr>
        <w:numPr>
          <w:ilvl w:val="0"/>
          <w:numId w:val="1002"/>
        </w:numPr>
      </w:pPr>
      <w:r>
        <w:t xml:space="preserve">Es ist wichtig, Unsicherheiten zu unterscheiden, die im Durchschnitt oder als Risikoereignisse bewertet werden können:</w:t>
      </w:r>
    </w:p>
    <w:p>
      <w:pPr>
        <w:numPr>
          <w:ilvl w:val="1"/>
          <w:numId w:val="1003"/>
        </w:numPr>
      </w:pPr>
      <w:r>
        <w:t xml:space="preserve">Welche Unsicherheitsquellen würden durch die durchschnittliche Leistung über die Zeit erfasst?</w:t>
      </w:r>
    </w:p>
    <w:p>
      <w:pPr>
        <w:numPr>
          <w:ilvl w:val="1"/>
          <w:numId w:val="1003"/>
        </w:numPr>
      </w:pPr>
      <w:r>
        <w:t xml:space="preserve">Welche Unsicherheitsquellen stellen Formen von Risiko dar, die durch Durchschnittswerte nicht angemessen erfasst werden?</w:t>
      </w:r>
    </w:p>
    <w:p>
      <w:pPr>
        <w:numPr>
          <w:ilvl w:val="0"/>
          <w:numId w:val="1002"/>
        </w:numPr>
      </w:pPr>
      <w:r>
        <w:t xml:space="preserve">Wählen Sie die einzelne Entscheidung aus, die den größten Einfluss auf die wichtigste Kennzahl zu haben scheint.</w:t>
      </w:r>
    </w:p>
    <w:p>
      <w:pPr>
        <w:numPr>
          <w:ilvl w:val="1"/>
          <w:numId w:val="1004"/>
        </w:numPr>
      </w:pPr>
      <w:r>
        <w:t xml:space="preserve">Welchen Ansatz würden Sie Ihrer Meinung nach verwenden, um diese Entscheidung zu treffen?</w:t>
      </w:r>
    </w:p>
    <w:p>
      <w:pPr>
        <w:numPr>
          <w:ilvl w:val="1"/>
          <w:numId w:val="1004"/>
        </w:numPr>
      </w:pPr>
      <w:r>
        <w:t xml:space="preserve">Welche Daten scheinen notwendig zu sein, um diese Entscheidung zu treffen, einschließlich der Berechnung etwaiger Leistungskennzahlen, auf die die Entscheidung eine hohe oder mittlere Auswirkung hätte.</w:t>
      </w:r>
    </w:p>
    <w:p>
      <w:pPr>
        <w:numPr>
          <w:ilvl w:val="0"/>
          <w:numId w:val="1002"/>
        </w:numPr>
      </w:pPr>
      <w:r>
        <w:t xml:space="preserve">Identifizieren Sie anhand derselben Entscheidung, die Sie in (7) ermittelt haben, die Personen, Abteilungen, Gruppen oder Organisationen, mit denen Sie zur Umsetzung der Entscheidung zusammenarbeiten müssten.</w:t>
      </w:r>
    </w:p>
    <w:bookmarkEnd w:id="28"/>
    <w:bookmarkStart w:id="31" w:name="chatgpt-notizen"/>
    <w:p>
      <w:pPr>
        <w:pStyle w:val="Heading1"/>
      </w:pPr>
      <w:r>
        <w:t xml:space="preserve">ChatGPT-Notizen</w:t>
      </w:r>
    </w:p>
    <w:bookmarkStart w:id="29" w:name="prompt"/>
    <w:p>
      <w:pPr>
        <w:pStyle w:val="Heading2"/>
      </w:pPr>
      <w:r>
        <w:t xml:space="preserve">Prompt</w:t>
      </w:r>
    </w:p>
    <w:p>
      <w:pPr>
        <w:pStyle w:val="FirstParagraph"/>
      </w:pPr>
      <w:r>
        <w:t xml:space="preserve">Schreiben Sie eine 4-6-seitige Fallstudie basierend auf dem Material im Abschnitt unter https://warrenpowell.org/bridging-vol1/chapter-2/#truckload-fleet-management. Erstellen Sie einen Kontext basierend auf den Kennzahlen, Entscheidungen und Unsicherheiten im Abschnitt, jedoch ohne explizit darauf hinzuweisen. Motivieren Sie Ihren Fall. Bottom of Form</w:t>
      </w:r>
    </w:p>
    <w:bookmarkEnd w:id="29"/>
    <w:bookmarkStart w:id="30" w:name="zusammenfassung"/>
    <w:p>
      <w:pPr>
        <w:pStyle w:val="Heading2"/>
      </w:pPr>
      <w:r>
        <w:t xml:space="preserve">Zusammenfassung</w:t>
      </w:r>
    </w:p>
    <w:p>
      <w:pPr>
        <w:pStyle w:val="FirstParagraph"/>
      </w:pPr>
      <w:r>
        <w:t xml:space="preserve">Der Fall stellt einen fiktiven mittelgroßen Komplettladungs-Frachtführer vor, der versucht, die tägliche Ladungsannahme, Fahrerzuweisungen, Kundenverpflichtungen, Heimatzeitzusagen, Brokerage-Kapazität, jährliche Streckenausschreibungen und Flottengröße zu koordinieren.</w:t>
      </w:r>
    </w:p>
    <w:p>
      <w:pPr>
        <w:pStyle w:val="BodyText"/>
      </w:pPr>
      <w:r>
        <w:t xml:space="preserve">Das Umfeld ist motiviert durch Branchendaten, die zeigen, dass Lkw im Jahr 2024 11,27 Milliarden Tonnen US-Fracht transportierten und etwa 906 Milliarden $ an Umsatz erwirtschafteten. Der Fall stützt sich zudem auf bundesstaatliche Daten zu Fahrerbeschäftigung, Lenk- und Ruhezeiten sowie Dieselpreisen.</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2026-09-11T16:24:05Z</dcterms:created>
  <dcterms:modified xsi:type="dcterms:W3CDTF">2026-09-11T16:24:05Z</dcterms:modified>
</cp:coreProperties>
</file>

<file path=docProps/custom.xml><?xml version="1.0" encoding="utf-8"?>
<Properties xmlns="http://schemas.openxmlformats.org/officeDocument/2006/custom-properties" xmlns:vt="http://schemas.openxmlformats.org/officeDocument/2006/docPropsVTypes"/>
</file>