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Redwoods Finanzierungs-Nadelöhr</w:t>
      </w:r>
    </w:p>
    <w:p>
      <w:pPr>
        <w:pStyle w:val="BodyText"/>
      </w:pPr>
      <w:r>
        <w:t xml:space="preserve">Eine staatliche Suchthilfebehörde balanciert Naloxon, Behandlung, Genesung – und zweckgebundene Einnahmen</w:t>
      </w:r>
    </w:p>
    <w:p>
      <w:pPr>
        <w:pStyle w:val="BodyText"/>
      </w:pPr>
      <w:r>
        <w:t xml:space="preserve">Dieser Fall ist fiktiv. Öffentliche Statistiken und Beschreibungen von Bundesprogrammen stammen aus den am Ende aufgeführten Quellen.</w:t>
      </w:r>
    </w:p>
    <w:p>
      <w:pPr>
        <w:pStyle w:val="BodyText"/>
      </w:pPr>
      <w:r>
        <w:rPr>
          <w:b/>
          <w:bCs/>
        </w:rPr>
        <w:t xml:space="preserve">7. Oktober 2026 — 6:20 Uhr.</w:t>
      </w:r>
      <w:r>
        <w:t xml:space="preserve"> </w:t>
      </w:r>
      <w:r>
        <w:t xml:space="preserve">Dr. Elena Marquez, Kommissarin des Redwood Department of Recovery Services (RDRS), hatte drei Tabellenkalkulationen auf ihrem Küchentisch geöffnet. Eine zeigte eine sinkende landesweite Zahl an Überdosistoten. Eine zweite zeigte eine prognostizierte Finanzierungslücke von 18,6 Millionen $. Die dritte listete 126 Stellen auf, die über Juni hinaus nicht finanziert werden könnten, sofern nicht die Legislative, die Bundesregierung oder private Spender handelten.</w:t>
      </w:r>
    </w:p>
    <w:p>
      <w:pPr>
        <w:pStyle w:val="BodyText"/>
      </w:pPr>
      <w:r>
        <w:rPr>
          <w:b/>
          <w:bCs/>
        </w:rPr>
        <w:t xml:space="preserve">Die scheinbare Verbesserung der Sterblichkeit erschwerte das Problem, anstatt es zu vereinfachen.</w:t>
      </w:r>
      <w:r>
        <w:t xml:space="preserve"> </w:t>
      </w:r>
      <w:r>
        <w:t xml:space="preserve">Landesweit war die Zahl der Überdosistoten gegenüber dem Höchststand während der Pandemie stark zurückgegangen, doch starben weiterhin Zehntausende Menschen pro Jahr. Die vorläufige Schätzung der CDC für die 12 Monate bis Dezember 2025 lag bei etwa 69.973 Todesfällen, 13,9 % unter dem Vorjahreswert. Die endgültigen Daten für 2024 zeigten 54.045 opioidbezogene Todesfälle, darunter 47.735 mit Beteiligung synthetischer Opioide außer Methadon. Gleichzeitig schätzte die SAMHSA, dass 2024 4,8 Millionen Amerikaner ab 12 Jahren an einer Opioidgebrauchsstörung litten, aber nur 17 % Medikamente zur Behandlung der Opioidgebrauchsstörung erhielten.</w:t>
      </w:r>
    </w:p>
    <w:p>
      <w:pPr>
        <w:pStyle w:val="BodyText"/>
      </w:pPr>
      <w:r>
        <w:t xml:space="preserve">Redwoods Gouverneur wollte Belege dafür, dass Notfallinvestitionen nun reduziert werden könnten. Kreisbeamte wollten mehr Naloxon. Behandlungsanbieter wollten höhere Erstattungssätze. Genesungsorganisationen wollten Unterstützung bei Wohnraum und Beschäftigung. Bundeszuschüsse blieben umfangreich, doch jeder kam mit eigenen förderfähigen Bevölkerungsgruppen, vorgeschriebenen Aktivitäten, Berichtspflichten und Leistungskennzahlen. Lokale Spender waren flexibel, aber klein – und zunehmend an sichtbaren, kurzfristigen Projekten statt an dauerhaftem Personal interessiert.</w:t>
      </w:r>
    </w:p>
    <w:p>
      <w:pPr>
        <w:pStyle w:val="BodyText"/>
      </w:pPr>
      <w:r>
        <w:t xml:space="preserve">Um 9:00 Uhr sollte Marquez eine Haushaltsklausur leiten. Die Frage war nicht einfach, wie man Geld beschaffen könne. Es ging darum, wie ein Finanzierungsportfolio aufgebaut werden könnte, das eine landesweite Belegschaft zusammenhalten und dabei Bevölkerungsgruppen bedienen würde, deren Bedürfnisse nicht sauber in die mit den verfügbaren Mitteln verbundenen Beschränkungen passten.</w:t>
      </w:r>
    </w:p>
    <w:bookmarkStart w:id="9" w:name="das-redwood-system"/>
    <w:p>
      <w:pPr>
        <w:pStyle w:val="Heading1"/>
      </w:pPr>
      <w:r>
        <w:t xml:space="preserve">Das Redwood-System</w:t>
      </w:r>
    </w:p>
    <w:p>
      <w:pPr>
        <w:pStyle w:val="FirstParagraph"/>
      </w:pPr>
      <w:r>
        <w:t xml:space="preserve">Redwood war ein fiktiver Staat mit 6,8 Millionen Einwohnern, mit zwei großen Ballungsräumen, einem im Niedergang befindlichen Industriekorridor, landwirtschaftlichen Kreisen, Stammesgebieten und abgelegenen Bergsiedlungen. RDRS war fünf Jahre zuvor durch die Zusammenlegung des staatlichen Büros für Überdosisprävention, der Suchtbehandlungsbehörde und der Genesungsdiensteinheit entstanden. Die Zusammenlegung versprach ein</w:t>
      </w:r>
      <w:r>
        <w:t xml:space="preserve"> </w:t>
      </w:r>
      <w:r>
        <w:t xml:space="preserve">“einheitliches Versorgungskontinuum”</w:t>
      </w:r>
      <w:r>
        <w:t xml:space="preserve">, doch ihre Finanzierung blieb fragmentiert.</w:t>
      </w:r>
    </w:p>
    <w:p>
      <w:pPr>
        <w:pStyle w:val="BodyText"/>
      </w:pPr>
      <w:r>
        <w:t xml:space="preserve">RDRS betrieb keine Krankenhäuser. Die Behörde beschäftigte Kliniker, Apotheker, Epidemiologen, Peer-Recovery-Spezialisten, Zuschussverwalter, Beschaffungspersonal und regionale Koordinatoren. Sie schloss Verträge mit Gemeindeanbietern und Kreisbehörden ab, während sie direkt das landesweite Naloxon-Lager, die Überdosisüberwachung, die Behandlungszugangs-Hotline, mobile klinische Teams und das Genesungsnavigationsprogramm verwaltete.</w:t>
      </w:r>
    </w:p>
    <w:p>
      <w:pPr>
        <w:pStyle w:val="BodyText"/>
      </w:pPr>
      <w:r>
        <w:t xml:space="preserve">Personal war der dominierende Kostenfaktor der Behörde. Das Personal tat mehr als Dienstleistungen zu erbringen: Es schulte lokale Partner, pflegte Standardanweisungen, überwachte Unterempfänger, sammelte Bundesdaten, untersuchte Häufungen, verhandelte Anbieterkapazitäten und half Menschen, von der Notfallversorgung zu Behandlung, Wohnraum, Sozialleistungen und Beschäftigung überzugehen. Viele Stellen wurden durch Zuschüsse finanziert, die sie als vorübergehende Projektausgaben behandelten, obwohl die Arbeit zu einer dauerhaften operativen Verantwortung geworden war.</w:t>
      </w:r>
    </w:p>
    <w:p>
      <w:pPr>
        <w:pStyle w:val="BodyText"/>
      </w:pPr>
      <w:r>
        <w:t xml:space="preserve">Exhibit 1. RDRS-Betriebsprofil, GJ2026</w:t>
      </w:r>
    </w:p>
    <w:tbl>
      <w:tblPr>
        <w:tblStyle w:val="Table"/>
        <w:tblW w:type="pct" w:w="4930"/>
        <w:tblLayout w:type="fixed"/>
        <w:tblLook w:firstRow="1" w:lastRow="0" w:firstColumn="0" w:lastColumn="0" w:noHBand="0" w:noVBand="0" w:val="0020"/>
      </w:tblPr>
      <w:tblGrid>
        <w:gridCol w:w="2270"/>
        <w:gridCol w:w="664"/>
        <w:gridCol w:w="996"/>
        <w:gridCol w:w="3876"/>
      </w:tblGrid>
      <w:tr>
        <w:trPr>
          <w:tblHeader w:val="on"/>
        </w:trPr>
        <w:tc>
          <w:tcPr/>
          <w:p>
            <w:pPr>
              <w:pStyle w:val="Compact"/>
              <w:jc w:val="left"/>
            </w:pPr>
            <w:r>
              <w:t xml:space="preserve">Programmbereich</w:t>
            </w:r>
          </w:p>
        </w:tc>
        <w:tc>
          <w:tcPr/>
          <w:p>
            <w:pPr>
              <w:pStyle w:val="Compact"/>
            </w:pPr>
            <w:r>
              <w:t xml:space="preserve">Mitarbeiter</w:t>
            </w:r>
          </w:p>
        </w:tc>
        <w:tc>
          <w:tcPr/>
          <w:p>
            <w:pPr>
              <w:pStyle w:val="Compact"/>
              <w:jc w:val="left"/>
            </w:pPr>
            <w:r>
              <w:t xml:space="preserve">Jährliche Kosten</w:t>
            </w:r>
          </w:p>
        </w:tc>
        <w:tc>
          <w:tcPr/>
          <w:p>
            <w:pPr>
              <w:pStyle w:val="Compact"/>
              <w:jc w:val="left"/>
            </w:pPr>
            <w:r>
              <w:t xml:space="preserve">Ausgewählte GJ2026-Ergebnisse</w:t>
            </w:r>
          </w:p>
        </w:tc>
      </w:tr>
      <w:tr>
        <w:tc>
          <w:tcPr/>
          <w:p>
            <w:pPr>
              <w:pStyle w:val="Compact"/>
              <w:jc w:val="left"/>
            </w:pPr>
            <w:r>
              <w:t xml:space="preserve">Naloxon und Schadensminderung</w:t>
            </w:r>
          </w:p>
        </w:tc>
        <w:tc>
          <w:tcPr/>
          <w:p>
            <w:pPr>
              <w:pStyle w:val="Compact"/>
            </w:pPr>
            <w:r>
              <w:t xml:space="preserve">94</w:t>
            </w:r>
          </w:p>
        </w:tc>
        <w:tc>
          <w:tcPr/>
          <w:p>
            <w:pPr>
              <w:pStyle w:val="Compact"/>
              <w:jc w:val="left"/>
            </w:pPr>
            <w:r>
              <w:t xml:space="preserve">18,9 Mio. $</w:t>
            </w:r>
          </w:p>
        </w:tc>
        <w:tc>
          <w:tcPr/>
          <w:p>
            <w:pPr>
              <w:pStyle w:val="Compact"/>
              <w:jc w:val="left"/>
            </w:pPr>
            <w:r>
              <w:t xml:space="preserve">428.000 Zweidosen-Kits verteilt; 31.400 Personen geschult</w:t>
            </w:r>
          </w:p>
        </w:tc>
      </w:tr>
      <w:tr>
        <w:tc>
          <w:tcPr/>
          <w:p>
            <w:pPr>
              <w:pStyle w:val="Compact"/>
              <w:jc w:val="left"/>
            </w:pPr>
            <w:r>
              <w:t xml:space="preserve">Behandlungszugang und klinische Dienste</w:t>
            </w:r>
          </w:p>
        </w:tc>
        <w:tc>
          <w:tcPr/>
          <w:p>
            <w:pPr>
              <w:pStyle w:val="Compact"/>
            </w:pPr>
            <w:r>
              <w:t xml:space="preserve">171</w:t>
            </w:r>
          </w:p>
        </w:tc>
        <w:tc>
          <w:tcPr/>
          <w:p>
            <w:pPr>
              <w:pStyle w:val="Compact"/>
              <w:jc w:val="left"/>
            </w:pPr>
            <w:r>
              <w:t xml:space="preserve">43,7 Mio. $</w:t>
            </w:r>
          </w:p>
        </w:tc>
        <w:tc>
          <w:tcPr/>
          <w:p>
            <w:pPr>
              <w:pStyle w:val="Compact"/>
              <w:jc w:val="left"/>
            </w:pPr>
            <w:r>
              <w:t xml:space="preserve">21.800 Behandlungsbeginne; 7.600 MOUD-Initiierungen</w:t>
            </w:r>
          </w:p>
        </w:tc>
      </w:tr>
      <w:tr>
        <w:tc>
          <w:tcPr/>
          <w:p>
            <w:pPr>
              <w:pStyle w:val="Compact"/>
              <w:jc w:val="left"/>
            </w:pPr>
            <w:r>
              <w:t xml:space="preserve">Genesung und Stabilisierung</w:t>
            </w:r>
          </w:p>
        </w:tc>
        <w:tc>
          <w:tcPr/>
          <w:p>
            <w:pPr>
              <w:pStyle w:val="Compact"/>
            </w:pPr>
            <w:r>
              <w:t xml:space="preserve">116</w:t>
            </w:r>
          </w:p>
        </w:tc>
        <w:tc>
          <w:tcPr/>
          <w:p>
            <w:pPr>
              <w:pStyle w:val="Compact"/>
              <w:jc w:val="left"/>
            </w:pPr>
            <w:r>
              <w:t xml:space="preserve">25,4 Mio. $</w:t>
            </w:r>
          </w:p>
        </w:tc>
        <w:tc>
          <w:tcPr/>
          <w:p>
            <w:pPr>
              <w:pStyle w:val="Compact"/>
              <w:jc w:val="left"/>
            </w:pPr>
            <w:r>
              <w:t xml:space="preserve">12.900 Klienten mit Navigations-, Wohnraum- oder Beschäftigungsunterstützung</w:t>
            </w:r>
          </w:p>
        </w:tc>
      </w:tr>
      <w:tr>
        <w:tc>
          <w:tcPr/>
          <w:p>
            <w:pPr>
              <w:pStyle w:val="Compact"/>
              <w:jc w:val="left"/>
            </w:pPr>
            <w:r>
              <w:t xml:space="preserve">Überwachung, Evaluierung und Zuschüsse</w:t>
            </w:r>
          </w:p>
        </w:tc>
        <w:tc>
          <w:tcPr/>
          <w:p>
            <w:pPr>
              <w:pStyle w:val="Compact"/>
            </w:pPr>
            <w:r>
              <w:t xml:space="preserve">73</w:t>
            </w:r>
          </w:p>
        </w:tc>
        <w:tc>
          <w:tcPr/>
          <w:p>
            <w:pPr>
              <w:pStyle w:val="Compact"/>
              <w:jc w:val="left"/>
            </w:pPr>
            <w:r>
              <w:t xml:space="preserve">16,8 Mio. $</w:t>
            </w:r>
          </w:p>
        </w:tc>
        <w:tc>
          <w:tcPr/>
          <w:p>
            <w:pPr>
              <w:pStyle w:val="Compact"/>
              <w:jc w:val="left"/>
            </w:pPr>
            <w:r>
              <w:t xml:space="preserve">62 überwachte Unterzuschüsse; wöchentliches Überdosis-Dashboard</w:t>
            </w:r>
          </w:p>
        </w:tc>
      </w:tr>
      <w:tr>
        <w:tc>
          <w:tcPr/>
          <w:p>
            <w:pPr>
              <w:pStyle w:val="Compact"/>
              <w:jc w:val="left"/>
            </w:pPr>
            <w:r>
              <w:t xml:space="preserve">Verwaltung und gemeinsame Dienste</w:t>
            </w:r>
          </w:p>
        </w:tc>
        <w:tc>
          <w:tcPr/>
          <w:p>
            <w:pPr>
              <w:pStyle w:val="Compact"/>
            </w:pPr>
            <w:r>
              <w:t xml:space="preserve">52</w:t>
            </w:r>
          </w:p>
        </w:tc>
        <w:tc>
          <w:tcPr/>
          <w:p>
            <w:pPr>
              <w:pStyle w:val="Compact"/>
              <w:jc w:val="left"/>
            </w:pPr>
            <w:r>
              <w:t xml:space="preserve">13,2 Mio. $</w:t>
            </w:r>
          </w:p>
        </w:tc>
        <w:tc>
          <w:tcPr/>
          <w:p>
            <w:pPr>
              <w:pStyle w:val="Compact"/>
              <w:jc w:val="left"/>
            </w:pPr>
            <w:r>
              <w:t xml:space="preserve">Beschaffung, Finanzen, IT, Recht, Personalwesen</w:t>
            </w:r>
          </w:p>
        </w:tc>
      </w:tr>
      <w:tr>
        <w:tc>
          <w:tcPr/>
          <w:p>
            <w:pPr>
              <w:pStyle w:val="Compact"/>
              <w:jc w:val="left"/>
            </w:pPr>
            <w:r>
              <w:t xml:space="preserve">Gesamt</w:t>
            </w:r>
          </w:p>
        </w:tc>
        <w:tc>
          <w:tcPr/>
          <w:p>
            <w:pPr>
              <w:pStyle w:val="Compact"/>
            </w:pPr>
            <w:r>
              <w:t xml:space="preserve">506</w:t>
            </w:r>
          </w:p>
        </w:tc>
        <w:tc>
          <w:tcPr/>
          <w:p>
            <w:pPr>
              <w:pStyle w:val="Compact"/>
              <w:jc w:val="left"/>
            </w:pPr>
            <w:r>
              <w:t xml:space="preserve">118,0 Mio. $ L</w:t>
            </w:r>
          </w:p>
        </w:tc>
        <w:tc>
          <w:tcPr/>
          <w:p>
            <w:pPr>
              <w:pStyle w:val="Compact"/>
              <w:jc w:val="left"/>
            </w:pPr>
            <w:r>
              <w:t xml:space="preserve">andesweiter Betrieb</w:t>
            </w:r>
          </w:p>
        </w:tc>
      </w:tr>
    </w:tbl>
    <w:p>
      <w:pPr>
        <w:pStyle w:val="BodyText"/>
      </w:pPr>
      <w:r>
        <w:t xml:space="preserve">Hinweis: Alle Redwood-Daten sind fiktiv.</w:t>
      </w:r>
      <w:r>
        <w:t xml:space="preserve"> </w:t>
      </w:r>
      <w:r>
        <w:t xml:space="preserve">“Jährliche Kosten”</w:t>
      </w:r>
      <w:r>
        <w:t xml:space="preserve"> </w:t>
      </w:r>
      <w:r>
        <w:t xml:space="preserve">umfassen Personal, Sozialleistungen, Verträge, Sachmittel und zugewiesene Gemeinkosten.</w:t>
      </w:r>
    </w:p>
    <w:bookmarkEnd w:id="9"/>
    <w:bookmarkStart w:id="10" w:name="X7c5ed155730aa43c9b189b7bf911e7e118c42c3"/>
    <w:p>
      <w:pPr>
        <w:pStyle w:val="Heading1"/>
      </w:pPr>
      <w:r>
        <w:t xml:space="preserve">Ein besseres Jahr – oder eine fragile Verbesserung?</w:t>
      </w:r>
    </w:p>
    <w:p>
      <w:pPr>
        <w:pStyle w:val="FirstParagraph"/>
      </w:pPr>
      <w:r>
        <w:t xml:space="preserve">Redwoods vorläufige Überdosistodesfälle waren von 2.180 im Jahr 2023 auf 1.640 im Jahr 2025 gesunken. Auch die Überdosisbesuche in Notaufnahmen gingen zurück, wenn auch weniger dramatisch. Die landesweiten Gesamtzahlen verbargen anhaltende Unterschiede: Städtische Todesfälle gingen schneller zurück als ländliche; Todesfälle bei Erwachsenen über 45 Jahren gingen nur langsam zurück; und stimulanzienbedingte Überdosen machten einen wachsenden Anteil der Fallzahlen aus. Mehrere Kreise berichteten, dass Naloxon während eines einzelnen Vorfalls mehr als einmal eingesetzt wurde.</w:t>
      </w:r>
    </w:p>
    <w:p>
      <w:pPr>
        <w:pStyle w:val="BodyText"/>
      </w:pPr>
      <w:r>
        <w:t xml:space="preserve">Marquez’ Epidemiologen warnten davor, den Rückgang als Beweis dafür zu betrachten, dass die Krise vorüber sei. Nationale Analysen führten die jüngsten Verbesserungen auf mehrere Faktoren zurück, darunter eine breitere Naloxon-Verteilung, besseren Behandlungszugang, Veränderungen im illegalen Drogenangebot, wiederhergestellte Präventionsaktivitäten nach der Pandemie und anhaltende öffentliche Investitionen. Würde die Finanzierung aufgrund verbesserter Ergebnisse reduziert, könnte der Staat einen Teil der Kapazität abbauen, die zu diesen Ergebnissen beigetragen hatte.</w:t>
      </w:r>
    </w:p>
    <w:bookmarkEnd w:id="10"/>
    <w:bookmarkStart w:id="11" w:name="die-einnahmenarchitektur"/>
    <w:p>
      <w:pPr>
        <w:pStyle w:val="Heading1"/>
      </w:pPr>
      <w:r>
        <w:t xml:space="preserve">Die Einnahmenarchitektur</w:t>
      </w:r>
    </w:p>
    <w:p>
      <w:pPr>
        <w:pStyle w:val="FirstParagraph"/>
      </w:pPr>
      <w:r>
        <w:t xml:space="preserve">RDRS’ Haushalt wirkte aus der Ferne diversifiziert. In der Praxis war ein Großteil davon zweckgebunden. Das Bundesprogramm State Opioid Response (SOR) unterstützte Prävention, Schadensminderung, Behandlung und Genesungsdienste, doch die Fortsetzungsfinanzierung hing von Bewilligungen des Kongresses, Fortschritten bei den Zielen, fristgerechter Berichterstattung und der Einhaltung von Zuschussbedingungen ab. Die SOR-Ausschreibung für GJ2024 sah landesweit 1,4805 Milliarden $ für bis zu 59 Bewilligungen vor; das HHS gab später mehr als 1,5 Milliarden $ an Fortsetzungsbewilligungen für GJ2025 für die staatliche und Stammes-Opioid-Reaktion bekannt. Die scheinbare Stabilität beseitigte nicht die jährliche Unsicherheit auf staatlicher Ebene.</w:t>
      </w:r>
    </w:p>
    <w:p>
      <w:pPr>
        <w:pStyle w:val="BodyText"/>
      </w:pPr>
      <w:r>
        <w:t xml:space="preserve">Andere Bundesmittel konzentrierten sich auf Überwachung, Blockzuschuss-Bevölkerungsgruppen, straffällig gewordene Personen, Schwangere und Eltern, Jugendprävention oder bestimmte evidenzbasierte Praktiken. Staatliche Mittelzuweisungen waren flexibler, aber dem jährlichen Haushaltszyklus ausgesetzt. Erlöse aus Opioid-Vergleichen konnten die Schadensbehebung unterstützen, unterlagen jedoch rechtlichen Vereinbarungen und politischer Aufsicht. Medicaid erstattete klinische Kontakte, zahlte jedoch in der Regel nicht für breit angelegte Aufsuchende Arbeit, an öffentlichen Orten bereitgestelltes Naloxon, Einhaltung von Zuschussauflagen oder Beschäftigungsnavigation. Private Spender bevorzugten oft benannte Initiativen mit messbaren, sichtbaren Ergebnissen.</w:t>
      </w:r>
    </w:p>
    <w:p>
      <w:pPr>
        <w:pStyle w:val="BodyText"/>
      </w:pPr>
      <w:r>
        <w:t xml:space="preserve">Exhibit 2. Prognostizierte Finanzierung nach Quelle, GJ2027</w:t>
      </w:r>
    </w:p>
    <w:tbl>
      <w:tblPr>
        <w:tblStyle w:val="Table"/>
        <w:tblW w:type="pct" w:w="4939"/>
        <w:tblLayout w:type="fixed"/>
        <w:tblLook w:firstRow="1" w:lastRow="0" w:firstColumn="0" w:lastColumn="0" w:noHBand="0" w:noVBand="0" w:val="0020"/>
      </w:tblPr>
      <w:tblGrid>
        <w:gridCol w:w="1488"/>
        <w:gridCol w:w="528"/>
        <w:gridCol w:w="1104"/>
        <w:gridCol w:w="4704"/>
      </w:tblGrid>
      <w:tr>
        <w:trPr>
          <w:tblHeader w:val="on"/>
        </w:trPr>
        <w:tc>
          <w:tcPr/>
          <w:p>
            <w:pPr>
              <w:pStyle w:val="Compact"/>
              <w:jc w:val="left"/>
            </w:pPr>
            <w:r>
              <w:t xml:space="preserve">Quelle</w:t>
            </w:r>
          </w:p>
        </w:tc>
        <w:tc>
          <w:tcPr/>
          <w:p>
            <w:pPr>
              <w:pStyle w:val="Compact"/>
              <w:jc w:val="center"/>
            </w:pPr>
            <w:r>
              <w:t xml:space="preserve">GJ2026</w:t>
            </w:r>
          </w:p>
        </w:tc>
        <w:tc>
          <w:tcPr/>
          <w:p>
            <w:pPr>
              <w:pStyle w:val="Compact"/>
              <w:jc w:val="center"/>
            </w:pPr>
            <w:r>
              <w:t xml:space="preserve">Planungsfall GJ2027</w:t>
            </w:r>
          </w:p>
        </w:tc>
        <w:tc>
          <w:tcPr/>
          <w:p>
            <w:pPr>
              <w:pStyle w:val="Compact"/>
              <w:jc w:val="center"/>
            </w:pPr>
            <w:r>
              <w:t xml:space="preserve">Wesentliche Beschränkungen oder Unsicherheiten</w:t>
            </w:r>
          </w:p>
        </w:tc>
      </w:tr>
      <w:tr>
        <w:tc>
          <w:tcPr/>
          <w:p>
            <w:pPr>
              <w:pStyle w:val="Compact"/>
              <w:jc w:val="left"/>
            </w:pPr>
            <w:r>
              <w:t xml:space="preserve">Bundes-SOR-Zuschuss</w:t>
            </w:r>
          </w:p>
        </w:tc>
        <w:tc>
          <w:tcPr/>
          <w:p>
            <w:pPr>
              <w:pStyle w:val="Compact"/>
              <w:jc w:val="center"/>
            </w:pPr>
            <w:r>
              <w:t xml:space="preserve">38,4 Mio.</w:t>
            </w:r>
          </w:p>
        </w:tc>
        <w:tc>
          <w:tcPr/>
          <w:p>
            <w:pPr>
              <w:pStyle w:val="Compact"/>
              <w:jc w:val="center"/>
            </w:pPr>
            <w:r>
              <w:t xml:space="preserve">$ 31,0–39,2 Mio.</w:t>
            </w:r>
            <w:r>
              <w:br/>
            </w:r>
          </w:p>
        </w:tc>
        <w:tc>
          <w:tcPr/>
          <w:p>
            <w:pPr>
              <w:pStyle w:val="Compact"/>
              <w:jc w:val="center"/>
            </w:pPr>
            <w:r>
              <w:t xml:space="preserve">$ Jährliche Fortsetzung; Opioid-/Stimulanzien-Ziele; detaillierte Berichterstattung; Anforderungen an Unterempfänger</w:t>
            </w:r>
          </w:p>
        </w:tc>
      </w:tr>
      <w:tr>
        <w:tc>
          <w:tcPr/>
          <w:p>
            <w:pPr>
              <w:pStyle w:val="Compact"/>
              <w:jc w:val="left"/>
            </w:pPr>
            <w:r>
              <w:t xml:space="preserve">Andere Bundeszuschüsse</w:t>
            </w:r>
          </w:p>
        </w:tc>
        <w:tc>
          <w:tcPr/>
          <w:p>
            <w:pPr>
              <w:pStyle w:val="Compact"/>
              <w:jc w:val="center"/>
            </w:pPr>
            <w:r>
              <w:t xml:space="preserve">19,6 Mio.</w:t>
            </w:r>
          </w:p>
        </w:tc>
        <w:tc>
          <w:tcPr/>
          <w:p>
            <w:pPr>
              <w:pStyle w:val="Compact"/>
              <w:jc w:val="center"/>
            </w:pPr>
            <w:r>
              <w:t xml:space="preserve">$ 15,1–20,4 Mio.</w:t>
            </w:r>
          </w:p>
        </w:tc>
        <w:tc>
          <w:tcPr/>
          <w:p>
            <w:pPr>
              <w:pStyle w:val="Compact"/>
              <w:jc w:val="center"/>
            </w:pPr>
            <w:r>
              <w:t xml:space="preserve">$ Enge Bevölkerungsgruppen oder Aktivitäten; unterschiedliche Zuschusszeiträume und Regeln zu indirekten Kosten</w:t>
            </w:r>
          </w:p>
        </w:tc>
      </w:tr>
      <w:tr>
        <w:tc>
          <w:tcPr/>
          <w:p>
            <w:pPr>
              <w:pStyle w:val="Compact"/>
              <w:jc w:val="left"/>
            </w:pPr>
            <w:r>
              <w:t xml:space="preserve">Staatlicher allgemeiner Fonds</w:t>
            </w:r>
          </w:p>
        </w:tc>
        <w:tc>
          <w:tcPr/>
          <w:p>
            <w:pPr>
              <w:pStyle w:val="Compact"/>
              <w:jc w:val="center"/>
            </w:pPr>
            <w:r>
              <w:t xml:space="preserve">25,0 Mio.</w:t>
            </w:r>
          </w:p>
        </w:tc>
        <w:tc>
          <w:tcPr/>
          <w:p>
            <w:pPr>
              <w:pStyle w:val="Compact"/>
              <w:jc w:val="center"/>
            </w:pPr>
            <w:r>
              <w:t xml:space="preserve">$ 21,0–30,0 Mio.</w:t>
            </w:r>
            <w:r>
              <w:br/>
            </w:r>
          </w:p>
        </w:tc>
        <w:tc>
          <w:tcPr/>
          <w:p>
            <w:pPr>
              <w:pStyle w:val="Compact"/>
              <w:jc w:val="center"/>
            </w:pPr>
            <w:r>
              <w:t xml:space="preserve">$ Jährliche Mittelzuweisung; konkurrierende Haushaltsprioritäten</w:t>
            </w:r>
          </w:p>
        </w:tc>
      </w:tr>
      <w:tr>
        <w:tc>
          <w:tcPr/>
          <w:p>
            <w:pPr>
              <w:pStyle w:val="Compact"/>
              <w:jc w:val="left"/>
            </w:pPr>
            <w:r>
              <w:t xml:space="preserve">Opioid-Vergleichszuweisung 14</w:t>
            </w:r>
          </w:p>
        </w:tc>
        <w:tc>
          <w:tcPr/>
          <w:p>
            <w:pPr>
              <w:pStyle w:val="Compact"/>
              <w:jc w:val="center"/>
            </w:pPr>
            <w:r>
              <w:t xml:space="preserve">,5 Mio. $</w:t>
            </w:r>
          </w:p>
        </w:tc>
        <w:tc>
          <w:tcPr/>
          <w:p>
            <w:pPr>
              <w:pStyle w:val="Compact"/>
              <w:jc w:val="center"/>
            </w:pPr>
            <w:r>
              <w:t xml:space="preserve">11,0–16,0 Mio. $</w:t>
            </w:r>
          </w:p>
        </w:tc>
        <w:tc>
          <w:tcPr/>
          <w:p>
            <w:pPr>
              <w:pStyle w:val="Compact"/>
              <w:jc w:val="center"/>
            </w:pPr>
            <w:r>
              <w:t xml:space="preserve">Muss als Opioid-Schadensbehebung qualifizieren; öffentliche und rechtliche Aufsicht</w:t>
            </w:r>
          </w:p>
        </w:tc>
      </w:tr>
      <w:tr>
        <w:tc>
          <w:tcPr/>
          <w:p>
            <w:pPr>
              <w:pStyle w:val="Compact"/>
              <w:jc w:val="left"/>
            </w:pPr>
            <w:r>
              <w:t xml:space="preserve">Medicaid und Dienstleistungsein</w:t>
            </w:r>
          </w:p>
        </w:tc>
        <w:tc>
          <w:tcPr/>
          <w:p>
            <w:pPr>
              <w:pStyle w:val="Compact"/>
              <w:jc w:val="center"/>
            </w:pPr>
            <w:r>
              <w:t xml:space="preserve">nahmen 13</w:t>
            </w:r>
          </w:p>
        </w:tc>
        <w:tc>
          <w:tcPr/>
          <w:p>
            <w:pPr>
              <w:pStyle w:val="Compact"/>
              <w:jc w:val="center"/>
            </w:pPr>
            <w:r>
              <w:t xml:space="preserve">,1 Mio. $ 13,8–16</w:t>
            </w:r>
          </w:p>
        </w:tc>
        <w:tc>
          <w:tcPr/>
          <w:p>
            <w:pPr>
              <w:pStyle w:val="Compact"/>
              <w:jc w:val="center"/>
            </w:pPr>
            <w:r>
              <w:t xml:space="preserve">,5 Mio. $ Abhängig von abrechenbaren Kontakten, Einschreibung, Sätzen und Anbieterkapazität</w:t>
            </w:r>
          </w:p>
        </w:tc>
      </w:tr>
      <w:tr>
        <w:tc>
          <w:tcPr/>
          <w:p>
            <w:pPr>
              <w:pStyle w:val="Compact"/>
              <w:jc w:val="left"/>
            </w:pPr>
            <w:r>
              <w:t xml:space="preserve">Stiftungen und lokale Spender</w:t>
            </w:r>
          </w:p>
        </w:tc>
        <w:tc>
          <w:tcPr/>
          <w:p>
            <w:pPr>
              <w:pStyle w:val="Compact"/>
              <w:jc w:val="center"/>
            </w:pPr>
            <w:r>
              <w:t xml:space="preserve">4,6 Mio.</w:t>
            </w:r>
            <w:r>
              <w:br/>
            </w:r>
          </w:p>
        </w:tc>
        <w:tc>
          <w:tcPr/>
          <w:p>
            <w:pPr>
              <w:pStyle w:val="Compact"/>
              <w:jc w:val="center"/>
            </w:pPr>
            <w:r>
              <w:t xml:space="preserve">$ 3,0–8,0 Mio. $</w:t>
            </w:r>
          </w:p>
        </w:tc>
        <w:tc>
          <w:tcPr/>
          <w:p>
            <w:pPr>
              <w:pStyle w:val="Compact"/>
              <w:jc w:val="center"/>
            </w:pPr>
            <w:r>
              <w:t xml:space="preserve">Kleine Zuschüsse; Spenderpräferenzen; begrenzte Bereitschaft für dauerhafte Gehaltszahlungen</w:t>
            </w:r>
          </w:p>
        </w:tc>
      </w:tr>
      <w:tr>
        <w:tc>
          <w:tcPr/>
          <w:p>
            <w:pPr>
              <w:pStyle w:val="Compact"/>
              <w:jc w:val="left"/>
            </w:pPr>
            <w:r>
              <w:t xml:space="preserve">Sonstiges</w:t>
            </w:r>
          </w:p>
        </w:tc>
        <w:tc>
          <w:tcPr/>
          <w:p>
            <w:pPr>
              <w:pStyle w:val="Compact"/>
              <w:jc w:val="center"/>
            </w:pPr>
            <w:r>
              <w:t xml:space="preserve">2,8 Mio</w:t>
            </w:r>
          </w:p>
        </w:tc>
        <w:tc>
          <w:tcPr/>
          <w:p>
            <w:pPr>
              <w:pStyle w:val="Compact"/>
              <w:jc w:val="center"/>
            </w:pPr>
            <w:r>
              <w:t xml:space="preserve">. $ 2,5–3,0 Mio.</w:t>
            </w:r>
          </w:p>
        </w:tc>
        <w:tc>
          <w:tcPr/>
          <w:p>
            <w:pPr>
              <w:pStyle w:val="Compact"/>
              <w:jc w:val="center"/>
            </w:pPr>
            <w:r>
              <w:t xml:space="preserve">$ Gebühren, Schulungen, Vereinbarungen zwischen Behörden</w:t>
            </w:r>
          </w:p>
        </w:tc>
      </w:tr>
      <w:tr>
        <w:tc>
          <w:tcPr/>
          <w:p>
            <w:pPr>
              <w:pStyle w:val="Compact"/>
              <w:jc w:val="left"/>
            </w:pPr>
            <w:r>
              <w:t xml:space="preserve">Gesamt</w:t>
            </w:r>
          </w:p>
        </w:tc>
        <w:tc>
          <w:tcPr/>
          <w:p>
            <w:pPr>
              <w:pStyle w:val="Compact"/>
              <w:jc w:val="center"/>
            </w:pPr>
            <w:r>
              <w:t xml:space="preserve">118,0 Mio.</w:t>
            </w:r>
          </w:p>
        </w:tc>
        <w:tc>
          <w:tcPr/>
          <w:p>
            <w:pPr>
              <w:pStyle w:val="Compact"/>
              <w:jc w:val="center"/>
            </w:pPr>
            <w:r>
              <w:t xml:space="preserve">$ 97,4–133,1 Mio.</w:t>
            </w:r>
          </w:p>
        </w:tc>
        <w:tc>
          <w:tcPr/>
          <w:p>
            <w:pPr>
              <w:pStyle w:val="Compact"/>
              <w:jc w:val="center"/>
            </w:pPr>
            <w:r>
              <w:t xml:space="preserve">$ Große Spannbreite; Zeitpunkt und Beschränkungen sind ebenso wichtig wie die Gesamtsumme</w:t>
            </w:r>
          </w:p>
        </w:tc>
      </w:tr>
    </w:tbl>
    <w:p>
      <w:pPr>
        <w:pStyle w:val="BodyText"/>
      </w:pPr>
      <w:r>
        <w:t xml:space="preserve">Der GAO hatte kürzlich berichtet, dass Empfänger von Bundesmitteln zur Opioid-Reaktion mit Belastungen durch sich ändernde Berichtspflichten, Finanzierungsverzögerungen, staatliche Beschaffungsprozesse und verkürzte Umsetzungsfenster konfrontiert waren. Eine neue gesetzliche Anforderung verlangte Informationen zu den</w:t>
      </w:r>
      <w:r>
        <w:t xml:space="preserve"> </w:t>
      </w:r>
      <w:r>
        <w:t xml:space="preserve">“letztendlichen Empfängern”</w:t>
      </w:r>
      <w:r>
        <w:t xml:space="preserve"> </w:t>
      </w:r>
      <w:r>
        <w:t xml:space="preserve">von Opioid-Reaktionsmitteln. RDRS’ Zuschussdirektor schätzte, dass Compliance und Überwachung von Unterempfängern das Äquivalent von 29 Vollzeitstellen beanspruchten – Stellen, die Spender selten finanzieren wollten.</w:t>
      </w:r>
    </w:p>
    <w:bookmarkEnd w:id="11"/>
    <w:bookmarkStart w:id="12" w:name="wer-sollte-bedient-werden"/>
    <w:p>
      <w:pPr>
        <w:pStyle w:val="Heading1"/>
      </w:pPr>
      <w:r>
        <w:t xml:space="preserve">Wer sollte bedient werden?</w:t>
      </w:r>
    </w:p>
    <w:p>
      <w:pPr>
        <w:pStyle w:val="FirstParagraph"/>
      </w:pPr>
      <w:r>
        <w:t xml:space="preserve">Das Finanzierungsproblem ließ sich nicht vom Verteilungsproblem trennen. RDRS konnte nicht jeder Gruppe identischen Zugang versprechen. Jede zusätzliche Verpflichtung schuf Personalpflichten, die über die Laufzeit des Zuschusses hinausgingen, der sie ausgelöst hatte.</w:t>
      </w:r>
    </w:p>
    <w:p>
      <w:pPr>
        <w:pStyle w:val="BodyText"/>
      </w:pPr>
      <w:r>
        <w:t xml:space="preserve">Kreisgesundheitsämter argumentierten, Naloxon solle universell und kostenlos bleiben. Sie wollten Kits in Bibliotheken, Schulen, Unterkünften, Verkehrsstationen, Justizvollzugsanstalten, Behandlungszentren und in den Händen von Drogenkonsumenten und ihren Familien. Naloxon konnte eine Opioidüberdosis rückgängig machen, wenn es rechtzeitig verabreicht wurde, und die CDC betonte die Verteilung über Gemeindeorganisationen. Doch universelle Verfügbarkeit erforderte Beschaffung, Lagerhaltung, Verfallsmanagement, Schulung, Datensysteme und lokale technische Unterstützung – nicht nur den Kauf von Medikamenten.</w:t>
      </w:r>
    </w:p>
    <w:p>
      <w:pPr>
        <w:pStyle w:val="BodyText"/>
      </w:pPr>
      <w:r>
        <w:t xml:space="preserve">Führungskräfte im Behandlungsbereich betonten die Lücke zwischen Krankheitsprävalenz und evidenzbasierter Versorgung. Sie wollten mobile MOUD-Teams, Sofort-Termine, Transport, Telemedizin und bessere Übergänge aus Notaufnahmen und Gefängnissen. Genesungsorganisationen argumentierten, dass Behandlung ohne Wohnraum, Ausweisdokumente, Beschäftigung, Kinderbetreuung und nachhaltige Peer-Unterstützung zu viele Menschen zurück in die Krise führe. Ländliche Kreise wollten Reiseteams, selbst wenn die Kosten pro Person hoch waren. Abgeordnete aus vorstädtischen Wahlkreisen wollten Jugendprävention und Unterstützung für von Sucht betroffene Familien.</w:t>
      </w:r>
    </w:p>
    <w:p>
      <w:pPr>
        <w:pStyle w:val="BodyText"/>
      </w:pPr>
      <w:r>
        <w:t xml:space="preserve">Exhibit 3. Beispielhafte Vorschläge zur Dienstleistungserweiterung</w:t>
      </w:r>
    </w:p>
    <w:tbl>
      <w:tblPr>
        <w:tblStyle w:val="Table"/>
        <w:tblW w:type="pct" w:w="4945"/>
        <w:tblLayout w:type="fixed"/>
        <w:tblLook w:firstRow="1" w:lastRow="0" w:firstColumn="0" w:lastColumn="0" w:noHBand="0" w:noVBand="0" w:val="0020"/>
      </w:tblPr>
      <w:tblGrid>
        <w:gridCol w:w="1881"/>
        <w:gridCol w:w="612"/>
        <w:gridCol w:w="743"/>
        <w:gridCol w:w="1575"/>
        <w:gridCol w:w="3019"/>
      </w:tblGrid>
      <w:tr>
        <w:trPr>
          <w:tblHeader w:val="on"/>
        </w:trPr>
        <w:tc>
          <w:tcPr/>
          <w:p>
            <w:pPr>
              <w:pStyle w:val="Compact"/>
              <w:jc w:val="left"/>
            </w:pPr>
            <w:r>
              <w:t xml:space="preserve">Vorschlag</w:t>
            </w:r>
          </w:p>
        </w:tc>
        <w:tc>
          <w:tcPr/>
          <w:p>
            <w:pPr>
              <w:pStyle w:val="Compact"/>
              <w:jc w:val="right"/>
            </w:pPr>
            <w:r>
              <w:t xml:space="preserve">Jährliche Kos</w:t>
            </w:r>
          </w:p>
        </w:tc>
        <w:tc>
          <w:tcPr/>
          <w:p>
            <w:pPr>
              <w:pStyle w:val="Compact"/>
            </w:pPr>
            <w:r>
              <w:t xml:space="preserve">ten Benötigtes</w:t>
            </w:r>
          </w:p>
        </w:tc>
        <w:tc>
          <w:tcPr/>
          <w:p>
            <w:pPr>
              <w:pStyle w:val="Compact"/>
            </w:pPr>
            <w:r>
              <w:t xml:space="preserve">Personal Geschätzte jährliche Reic</w:t>
            </w:r>
          </w:p>
        </w:tc>
        <w:tc>
          <w:tcPr/>
          <w:p>
            <w:pPr>
              <w:pStyle w:val="Compact"/>
              <w:jc w:val="left"/>
            </w:pPr>
            <w:r>
              <w:t xml:space="preserve">hweite Passung zur Finanzierung</w:t>
            </w:r>
          </w:p>
        </w:tc>
      </w:tr>
      <w:tr>
        <w:tc>
          <w:tcPr/>
          <w:p>
            <w:pPr>
              <w:pStyle w:val="Compact"/>
              <w:jc w:val="left"/>
            </w:pPr>
            <w:r>
              <w:t xml:space="preserve">Universelle Naloxon-Verfügbarkeit aufrechte</w:t>
            </w:r>
          </w:p>
        </w:tc>
        <w:tc>
          <w:tcPr/>
          <w:p>
            <w:pPr>
              <w:pStyle w:val="Compact"/>
              <w:jc w:val="right"/>
            </w:pPr>
            <w:r>
              <w:t xml:space="preserve">rhalten 7,2</w:t>
            </w:r>
          </w:p>
        </w:tc>
        <w:tc>
          <w:tcPr/>
          <w:p>
            <w:pPr>
              <w:pStyle w:val="Compact"/>
            </w:pPr>
            <w:r>
              <w:t xml:space="preserve">Mio. $ 31</w:t>
            </w:r>
          </w:p>
        </w:tc>
        <w:tc>
          <w:tcPr/>
          <w:p>
            <w:pPr>
              <w:pStyle w:val="Compact"/>
            </w:pPr>
            <w:r>
              <w:t xml:space="preserve">Zusätzliche 160.000 K</w:t>
            </w:r>
          </w:p>
        </w:tc>
        <w:tc>
          <w:tcPr/>
          <w:p>
            <w:pPr>
              <w:pStyle w:val="Compact"/>
              <w:jc w:val="left"/>
            </w:pPr>
            <w:r>
              <w:t xml:space="preserve">its Starke SOR-/Vergleichspassung; schwache Medicaid-Passung</w:t>
            </w:r>
          </w:p>
        </w:tc>
      </w:tr>
      <w:tr>
        <w:tc>
          <w:tcPr/>
          <w:p>
            <w:pPr>
              <w:pStyle w:val="Compact"/>
              <w:jc w:val="left"/>
            </w:pPr>
            <w:r>
              <w:t xml:space="preserve">Sofortigen MOUD-Zugang ausweiten</w:t>
            </w:r>
          </w:p>
        </w:tc>
        <w:tc>
          <w:tcPr/>
          <w:p>
            <w:pPr>
              <w:pStyle w:val="Compact"/>
              <w:jc w:val="right"/>
            </w:pPr>
            <w:r>
              <w:t xml:space="preserve">10,8 Mio.</w:t>
            </w:r>
          </w:p>
        </w:tc>
        <w:tc>
          <w:tcPr/>
          <w:p>
            <w:pPr>
              <w:pStyle w:val="Compact"/>
            </w:pPr>
            <w:r>
              <w:t xml:space="preserve">$ 49</w:t>
            </w:r>
          </w:p>
        </w:tc>
        <w:tc>
          <w:tcPr/>
          <w:p>
            <w:pPr>
              <w:pStyle w:val="Compact"/>
            </w:pPr>
            <w:r>
              <w:t xml:space="preserve">3.200 zusätzliche Behandlu</w:t>
            </w:r>
          </w:p>
        </w:tc>
        <w:tc>
          <w:tcPr/>
          <w:p>
            <w:pPr>
              <w:pStyle w:val="Compact"/>
              <w:jc w:val="left"/>
            </w:pPr>
            <w:r>
              <w:t xml:space="preserve">ngsbeginne SOR und Medicaid; klinisches Abrechnungsrisiko</w:t>
            </w:r>
          </w:p>
        </w:tc>
      </w:tr>
      <w:tr>
        <w:tc>
          <w:tcPr/>
          <w:p>
            <w:pPr>
              <w:pStyle w:val="Compact"/>
              <w:jc w:val="left"/>
            </w:pPr>
            <w:r>
              <w:t xml:space="preserve">Mobile ländliche Genesungsteams</w:t>
            </w:r>
          </w:p>
        </w:tc>
        <w:tc>
          <w:tcPr/>
          <w:p>
            <w:pPr>
              <w:pStyle w:val="Compact"/>
              <w:jc w:val="right"/>
            </w:pPr>
            <w:r>
              <w:t xml:space="preserve">8,6 Mio. $</w:t>
            </w:r>
          </w:p>
        </w:tc>
        <w:tc>
          <w:tcPr/>
          <w:p>
            <w:pPr>
              <w:pStyle w:val="Compact"/>
            </w:pPr>
            <w:r>
              <w:t xml:space="preserve">42</w:t>
            </w:r>
          </w:p>
        </w:tc>
        <w:tc>
          <w:tcPr/>
          <w:p>
            <w:pPr>
              <w:pStyle w:val="Compact"/>
            </w:pPr>
            <w:r>
              <w:t xml:space="preserve">2.100 Klienten in 19 Kreisen</w:t>
            </w:r>
          </w:p>
        </w:tc>
        <w:tc>
          <w:tcPr/>
          <w:p>
            <w:pPr>
              <w:pStyle w:val="Compact"/>
              <w:jc w:val="left"/>
            </w:pPr>
            <w:r>
              <w:t xml:space="preserve">Mögliche Bundes-/Staatsunterstützung; hohe Stückkosten</w:t>
            </w:r>
          </w:p>
        </w:tc>
      </w:tr>
      <w:tr>
        <w:tc>
          <w:tcPr/>
          <w:p>
            <w:pPr>
              <w:pStyle w:val="Compact"/>
              <w:jc w:val="left"/>
            </w:pPr>
            <w:r>
              <w:t xml:space="preserve">Wohnraum- und Beschäftigungsstabilisierung</w:t>
            </w:r>
          </w:p>
        </w:tc>
        <w:tc>
          <w:tcPr/>
          <w:p>
            <w:pPr>
              <w:pStyle w:val="Compact"/>
              <w:jc w:val="right"/>
            </w:pPr>
            <w:r>
              <w:t xml:space="preserve">9,4 Mio.</w:t>
            </w:r>
          </w:p>
        </w:tc>
        <w:tc>
          <w:tcPr/>
          <w:p>
            <w:pPr>
              <w:pStyle w:val="Compact"/>
            </w:pPr>
            <w:r>
              <w:t xml:space="preserve">$ 37</w:t>
            </w:r>
          </w:p>
        </w:tc>
        <w:tc>
          <w:tcPr/>
          <w:p>
            <w:pPr>
              <w:pStyle w:val="Compact"/>
            </w:pPr>
            <w:r>
              <w:t xml:space="preserve">1.850 Klienten</w:t>
            </w:r>
          </w:p>
        </w:tc>
        <w:tc>
          <w:tcPr/>
          <w:p>
            <w:pPr>
              <w:pStyle w:val="Compact"/>
              <w:jc w:val="left"/>
            </w:pPr>
            <w:r>
              <w:t xml:space="preserve">Genesungszuschüsse/Spender; Fragen zu Förderfähigkeit und Ergebniszuordnung</w:t>
            </w:r>
          </w:p>
        </w:tc>
      </w:tr>
      <w:tr>
        <w:tc>
          <w:tcPr/>
          <w:p>
            <w:pPr>
              <w:pStyle w:val="Compact"/>
              <w:jc w:val="left"/>
            </w:pPr>
            <w:r>
              <w:t xml:space="preserve">Übergänge von der Justiz zur Behandlung</w:t>
            </w:r>
          </w:p>
        </w:tc>
        <w:tc>
          <w:tcPr/>
          <w:p>
            <w:pPr>
              <w:pStyle w:val="Compact"/>
              <w:jc w:val="right"/>
            </w:pPr>
            <w:r>
              <w:t xml:space="preserve">6,1 Mi</w:t>
            </w:r>
          </w:p>
        </w:tc>
        <w:tc>
          <w:tcPr/>
          <w:p>
            <w:pPr>
              <w:pStyle w:val="Compact"/>
            </w:pPr>
            <w:r>
              <w:t xml:space="preserve">o. $ 28</w:t>
            </w:r>
          </w:p>
        </w:tc>
        <w:tc>
          <w:tcPr/>
          <w:p>
            <w:pPr>
              <w:pStyle w:val="Compact"/>
            </w:pPr>
            <w:r>
              <w:t xml:space="preserve">2.600 Gefängnisentlassu</w:t>
            </w:r>
          </w:p>
        </w:tc>
        <w:tc>
          <w:tcPr/>
          <w:p>
            <w:pPr>
              <w:pStyle w:val="Compact"/>
              <w:jc w:val="left"/>
            </w:pPr>
            <w:r>
              <w:t xml:space="preserve">ngen Zielgerichtete Zuschüsse; Abhängigkeit zwischen Behörden</w:t>
            </w:r>
          </w:p>
        </w:tc>
      </w:tr>
      <w:tr>
        <w:tc>
          <w:tcPr/>
          <w:p>
            <w:pPr>
              <w:pStyle w:val="Compact"/>
              <w:jc w:val="left"/>
            </w:pPr>
            <w:r>
              <w:t xml:space="preserve">Jugend- und Familienpräventionsinitiative</w:t>
            </w:r>
          </w:p>
        </w:tc>
        <w:tc>
          <w:tcPr/>
          <w:p>
            <w:pPr>
              <w:pStyle w:val="Compact"/>
              <w:jc w:val="right"/>
            </w:pPr>
            <w:r>
              <w:t xml:space="preserve">5,3 Mio. $</w:t>
            </w:r>
          </w:p>
        </w:tc>
        <w:tc>
          <w:tcPr/>
          <w:p>
            <w:pPr>
              <w:pStyle w:val="Compact"/>
            </w:pPr>
            <w:r>
              <w:t xml:space="preserve">24</w:t>
            </w:r>
          </w:p>
        </w:tc>
        <w:tc>
          <w:tcPr/>
          <w:p>
            <w:pPr>
              <w:pStyle w:val="Compact"/>
            </w:pPr>
            <w:r>
              <w:t xml:space="preserve">35.000 Schüler/Familienmitgl</w:t>
            </w:r>
          </w:p>
        </w:tc>
        <w:tc>
          <w:tcPr/>
          <w:p>
            <w:pPr>
              <w:pStyle w:val="Compact"/>
              <w:jc w:val="left"/>
            </w:pPr>
            <w:r>
              <w:t xml:space="preserve">ieder Präventionszuschüsse und Spender; Nutzen entsteht langsam</w:t>
            </w:r>
          </w:p>
        </w:tc>
      </w:tr>
    </w:tbl>
    <w:p>
      <w:pPr>
        <w:pStyle w:val="BodyText"/>
      </w:pPr>
      <w:r>
        <w:t xml:space="preserve">Die Vorschläge schlossen sich nicht gegenseitig aus, doch die Behörde konnte gemäß ihrer zentralen Prognose nicht alle personell abdecken. Zudem konnte ein Dollar nicht immer von einem Programm auf ein anderes übertragen werden. Ein zweckgebundener Zuschuss konnte unausgegeben bleiben, während die Behörde gleichzeitig Personal entließ, das wesentliche, aber nicht förderfähige Arbeit leistete.</w:t>
      </w:r>
    </w:p>
    <w:bookmarkEnd w:id="12"/>
    <w:bookmarkStart w:id="13" w:name="das-finanzierungs-nadelöhr"/>
    <w:p>
      <w:pPr>
        <w:pStyle w:val="Heading1"/>
      </w:pPr>
      <w:r>
        <w:t xml:space="preserve">Das Finanzierungs-Nadelöhr</w:t>
      </w:r>
    </w:p>
    <w:p>
      <w:pPr>
        <w:pStyle w:val="FirstParagraph"/>
      </w:pPr>
      <w:r>
        <w:t xml:space="preserve">Marquez bat ihr Team, Optionen zu entwickeln. Keine davon war einfach eine Spendenkampagne.</w:t>
      </w:r>
    </w:p>
    <w:p>
      <w:pPr>
        <w:pStyle w:val="BodyText"/>
      </w:pPr>
      <w:r>
        <w:rPr>
          <w:b/>
          <w:bCs/>
        </w:rPr>
        <w:t xml:space="preserve">1. Die Kernbelegschaft schützen.</w:t>
      </w:r>
      <w:r>
        <w:t xml:space="preserve"> </w:t>
      </w:r>
      <w:r>
        <w:t xml:space="preserve">Staatliche allgemeine Mittel und Vergleichsgelder zuerst für dauerhaftes Personal einsetzen, während Bundes- und philanthropische Mittel variablen Programmausgaben zugewiesen werden. Dies könnte die Kontinuität verbessern, könnte aber kritisiert werden, weil flexibles Geld für Verwaltung statt für sichtbare Dienstleistungen verwendet wird.</w:t>
      </w:r>
    </w:p>
    <w:p>
      <w:pPr>
        <w:pStyle w:val="BodyText"/>
      </w:pPr>
      <w:r>
        <w:rPr>
          <w:b/>
          <w:bCs/>
        </w:rPr>
        <w:t xml:space="preserve">2. Um zuschussfinanzierte Initiativen herum organisieren.</w:t>
      </w:r>
      <w:r>
        <w:t xml:space="preserve"> </w:t>
      </w:r>
      <w:r>
        <w:t xml:space="preserve">Teams so umstrukturieren, dass Stellen und Aktivitäten direkt den Bundesausschreibungen entsprechen. Dies könnte die Wettbewerbsfähigkeit von Bewilligungen maximieren, könnte aber das Versorgungskontinuum fragmentieren und dazu führen, dass sich Prioritäten immer dann ändern, wenn sich die Bundesvorgaben ändern.</w:t>
      </w:r>
    </w:p>
    <w:p>
      <w:pPr>
        <w:pStyle w:val="BodyText"/>
      </w:pPr>
      <w:r>
        <w:rPr>
          <w:b/>
          <w:bCs/>
        </w:rPr>
        <w:t xml:space="preserve">3. Ein geflochtenes Finanzierungsmodell aufbauen.</w:t>
      </w:r>
      <w:r>
        <w:t xml:space="preserve"> </w:t>
      </w:r>
      <w:r>
        <w:t xml:space="preserve">Jede Dienstleistung mit mehreren Finanzierungsströmen unterstützen – zum Beispiel Bundesmittel für Aufsuchende Arbeit, Medicaid für klinische Kontakte, Vergleichsgelder für Navigation und Spender für Nothilfe. Das Flechten könnte Dienstleistungen erhalten, würde aber eine ausgefeilte Zeitzuordnung, Kostenrechnung, Eignungsprüfung und Prüfkontrollen erfordern.</w:t>
      </w:r>
    </w:p>
    <w:p>
      <w:pPr>
        <w:pStyle w:val="BodyText"/>
      </w:pPr>
      <w:r>
        <w:rPr>
          <w:b/>
          <w:bCs/>
        </w:rPr>
        <w:t xml:space="preserve">4. Mehr Leistungserbringung auf lokale Partner übertragen.</w:t>
      </w:r>
      <w:r>
        <w:t xml:space="preserve"> </w:t>
      </w:r>
      <w:r>
        <w:t xml:space="preserve">Die zentrale Belegschaft verkleinern und Mittel an Kreise, Krankenhäuser, gemeinnützige Organisationen und Genesungsorganisationen verteilen. Lokale Gruppen könnten näher an den Klienten sein, doch RDRS würde die operative Kontrolle verlieren und dennoch die Überwachungsverantwortung behalten. Kleinere Organisationen verfügen möglicherweise nicht über den Cashflow oder die Verwaltungskapazität, um Erstattung und Bundeskonformität zu bewältigen.</w:t>
      </w:r>
    </w:p>
    <w:p>
      <w:pPr>
        <w:pStyle w:val="BodyText"/>
      </w:pPr>
      <w:r>
        <w:rPr>
          <w:b/>
          <w:bCs/>
        </w:rPr>
        <w:t xml:space="preserve">5. Einen landesweiten Genesungsfonds schaffen.</w:t>
      </w:r>
      <w:r>
        <w:t xml:space="preserve"> </w:t>
      </w:r>
      <w:r>
        <w:t xml:space="preserve">Mehrjährige Zusagen von Gesundheitssystemen, Arbeitgebern, Versicherern, Stiftungen und Einzelspendern anstreben. Ein gebündelter Fonds könnte Lücken finanzieren, die staatliche Zuschüsse ausschließen, doch private Beteiligte könnten Governance-Rechte, geografische Präferenzen oder Belege für schnelle Wirkung verlangen.</w:t>
      </w:r>
    </w:p>
    <w:p>
      <w:pPr>
        <w:pStyle w:val="BodyText"/>
      </w:pPr>
      <w:r>
        <w:rPr>
          <w:b/>
          <w:bCs/>
        </w:rPr>
        <w:t xml:space="preserve">6. Den Auftrag verengen.</w:t>
      </w:r>
      <w:r>
        <w:t xml:space="preserve"> </w:t>
      </w:r>
      <w:r>
        <w:t xml:space="preserve">Sich auf Naloxon, Behandlungszugang und Zuschussverwaltung konzentrieren und Wohnraum-, Beschäftigungs- und langfristige Genesungsfunktionen reduzieren. Die Behörde könnte mehr Menschen im akuten Stadium versorgen, könnte aber die Unterstützungen schwächen, die wiederholte Krisen verhindern sollen.</w:t>
      </w:r>
    </w:p>
    <w:bookmarkEnd w:id="13"/>
    <w:bookmarkStart w:id="14" w:name="das-messproblem"/>
    <w:p>
      <w:pPr>
        <w:pStyle w:val="Heading1"/>
      </w:pPr>
      <w:r>
        <w:t xml:space="preserve">Das Messproblem</w:t>
      </w:r>
    </w:p>
    <w:p>
      <w:pPr>
        <w:pStyle w:val="FirstParagraph"/>
      </w:pPr>
      <w:r>
        <w:t xml:space="preserve">Die Ergebnisse der Behörde waren schwer zuzuordnen. Ein verteiltes Naloxon-Kit war leicht zu zählen; ein verhinderter Tod nicht. Der Behandlungsbeginn ließ sich messen, doch die Verweildauer hing von Anbietern, Transport, Wohnraum, Versicherung und dem Drogenangebot ab. Beschäftigungsergebnisse traten möglicherweise erst Monate nach Ende eines Zuschusses ein. Sinkende Todeszahlen könnten die politische Dringlichkeit verringern, selbst wenn die Programmkapazität für einen Teil des Rückgangs verantwortlich war.</w:t>
      </w:r>
    </w:p>
    <w:p>
      <w:pPr>
        <w:pStyle w:val="BodyText"/>
      </w:pPr>
      <w:r>
        <w:t xml:space="preserve">Spender verlangten Geschichten und kurzfristige Kennzahlen. Bundesbehörden verlangten standardisierte Ergebnisse und Daten zu Unterempfängern. Staatliche Haushaltsbeamte wollten Ergebnisse auf Bevölkerungsebene und Belege dafür, dass Programme sich nicht überschnitten. Marquez’ Mitarbeiter befürchteten, dass die Behörde optimieren würde, was finanzierbar und zählbar war, statt dessen, was Klienten benötigten.</w:t>
      </w:r>
    </w:p>
    <w:p>
      <w:pPr>
        <w:pStyle w:val="BodyText"/>
      </w:pPr>
      <w:r>
        <w:t xml:space="preserve">Exhibit 4. Vorgeschlagene Entscheidungskriterien für GJ2027</w:t>
      </w:r>
    </w:p>
    <w:tbl>
      <w:tblPr>
        <w:tblStyle w:val="Table"/>
        <w:tblW w:type="pct" w:w="4935"/>
        <w:tblLayout w:type="fixed"/>
        <w:tblLook w:firstRow="1" w:lastRow="0" w:firstColumn="0" w:lastColumn="0" w:noHBand="0" w:noVBand="0" w:val="0020"/>
      </w:tblPr>
      <w:tblGrid>
        <w:gridCol w:w="1182"/>
        <w:gridCol w:w="3445"/>
        <w:gridCol w:w="3188"/>
      </w:tblGrid>
      <w:tr>
        <w:trPr>
          <w:tblHeader w:val="on"/>
        </w:trPr>
        <w:tc>
          <w:tcPr/>
          <w:p>
            <w:pPr>
              <w:pStyle w:val="Compact"/>
              <w:jc w:val="left"/>
            </w:pPr>
            <w:r>
              <w:t xml:space="preserve">Kriterium</w:t>
            </w:r>
          </w:p>
        </w:tc>
        <w:tc>
          <w:tcPr/>
          <w:p>
            <w:pPr>
              <w:pStyle w:val="Compact"/>
              <w:jc w:val="left"/>
            </w:pPr>
            <w:r>
              <w:t xml:space="preserve">Beispielhafte Kennzahl</w:t>
            </w:r>
          </w:p>
        </w:tc>
        <w:tc>
          <w:tcPr/>
          <w:p>
            <w:pPr>
              <w:pStyle w:val="Compact"/>
              <w:jc w:val="center"/>
            </w:pPr>
            <w:r>
              <w:t xml:space="preserve">Ungelöste Frage</w:t>
            </w:r>
          </w:p>
        </w:tc>
      </w:tr>
      <w:tr>
        <w:tc>
          <w:tcPr/>
          <w:p>
            <w:pPr>
              <w:pStyle w:val="Compact"/>
              <w:jc w:val="left"/>
            </w:pPr>
            <w:r>
              <w:t xml:space="preserve">Leben und Gesundheit</w:t>
            </w:r>
          </w:p>
        </w:tc>
        <w:tc>
          <w:tcPr/>
          <w:p>
            <w:pPr>
              <w:pStyle w:val="Compact"/>
              <w:jc w:val="left"/>
            </w:pPr>
            <w:r>
              <w:t xml:space="preserve">Überdosistodesfälle, nicht-tödliche Überdosen, Behandlungsverbl</w:t>
            </w:r>
          </w:p>
        </w:tc>
        <w:tc>
          <w:tcPr/>
          <w:p>
            <w:pPr>
              <w:pStyle w:val="Compact"/>
              <w:jc w:val="center"/>
            </w:pPr>
            <w:r>
              <w:t xml:space="preserve">eib Wie viel Veränderung lässt sich RDRS zuschreiben?</w:t>
            </w:r>
          </w:p>
        </w:tc>
      </w:tr>
      <w:tr>
        <w:tc>
          <w:tcPr/>
          <w:p>
            <w:pPr>
              <w:pStyle w:val="Compact"/>
              <w:jc w:val="left"/>
            </w:pPr>
            <w:r>
              <w:t xml:space="preserve">Zugang und Gerechtigkei</w:t>
            </w:r>
          </w:p>
        </w:tc>
        <w:tc>
          <w:tcPr/>
          <w:p>
            <w:pPr>
              <w:pStyle w:val="Compact"/>
              <w:jc w:val="left"/>
            </w:pPr>
            <w:r>
              <w:t xml:space="preserve">t Reisezeit, Wartezeit, Servicequoten nach Region und Gruppe</w:t>
            </w:r>
          </w:p>
        </w:tc>
        <w:tc>
          <w:tcPr/>
          <w:p>
            <w:pPr>
              <w:pStyle w:val="Compact"/>
              <w:jc w:val="center"/>
            </w:pPr>
            <w:r>
              <w:t xml:space="preserve">Sollte hochkostende ländliche Reichweite mehr wiegen als das Gesamtvolumen?</w:t>
            </w:r>
          </w:p>
        </w:tc>
      </w:tr>
      <w:tr>
        <w:tc>
          <w:tcPr/>
          <w:p>
            <w:pPr>
              <w:pStyle w:val="Compact"/>
              <w:jc w:val="left"/>
            </w:pPr>
            <w:r>
              <w:t xml:space="preserve">Stabilität der Genesung</w:t>
            </w:r>
          </w:p>
        </w:tc>
        <w:tc>
          <w:tcPr/>
          <w:p>
            <w:pPr>
              <w:pStyle w:val="Compact"/>
              <w:jc w:val="left"/>
            </w:pPr>
            <w:r>
              <w:t xml:space="preserve">Wohnraum, Beschäftigung, Justizbeteiligung, Wiederanschluss an</w:t>
            </w:r>
          </w:p>
        </w:tc>
        <w:tc>
          <w:tcPr/>
          <w:p>
            <w:pPr>
              <w:pStyle w:val="Compact"/>
              <w:jc w:val="center"/>
            </w:pPr>
            <w:r>
              <w:t xml:space="preserve">Versorgung Welche Ergebnisse gehören zum Auftrag einer Gesundheitsbehörde?</w:t>
            </w:r>
          </w:p>
        </w:tc>
      </w:tr>
      <w:tr>
        <w:tc>
          <w:tcPr/>
          <w:p>
            <w:pPr>
              <w:pStyle w:val="Compact"/>
              <w:jc w:val="left"/>
            </w:pPr>
            <w:r>
              <w:t xml:space="preserve">Finanzielle Widerstands</w:t>
            </w:r>
          </w:p>
        </w:tc>
        <w:tc>
          <w:tcPr/>
          <w:p>
            <w:pPr>
              <w:pStyle w:val="Compact"/>
              <w:jc w:val="left"/>
            </w:pPr>
            <w:r>
              <w:t xml:space="preserve">fähigkeit Ungebundene Gehaltsmonate; Konzentration nach Geldgeber</w:t>
            </w:r>
          </w:p>
        </w:tc>
        <w:tc>
          <w:tcPr/>
          <w:p>
            <w:pPr>
              <w:pStyle w:val="Compact"/>
              <w:jc w:val="center"/>
            </w:pPr>
            <w:r>
              <w:t xml:space="preserve">How viel Dienstleistung sollte für den Aufbau von Reserven geopfert werden?</w:t>
            </w:r>
          </w:p>
        </w:tc>
      </w:tr>
      <w:tr>
        <w:tc>
          <w:tcPr/>
          <w:p>
            <w:pPr>
              <w:pStyle w:val="Compact"/>
              <w:jc w:val="left"/>
            </w:pPr>
            <w:r>
              <w:t xml:space="preserve">Kontinuität der Belegsc</w:t>
            </w:r>
          </w:p>
        </w:tc>
        <w:tc>
          <w:tcPr/>
          <w:p>
            <w:pPr>
              <w:pStyle w:val="Compact"/>
              <w:jc w:val="left"/>
            </w:pPr>
            <w:r>
              <w:t xml:space="preserve">haft Vakanzen, Fluktuation, gefährdete zuschussfinanzierte Ste</w:t>
            </w:r>
          </w:p>
        </w:tc>
        <w:tc>
          <w:tcPr/>
          <w:p>
            <w:pPr>
              <w:pStyle w:val="Compact"/>
              <w:jc w:val="center"/>
            </w:pPr>
            <w:r>
              <w:t xml:space="preserve">llen Sollten dauerhafte Stellen durch temporäre Mittel finanziert werden?</w:t>
            </w:r>
          </w:p>
        </w:tc>
      </w:tr>
      <w:tr>
        <w:tc>
          <w:tcPr/>
          <w:p>
            <w:pPr>
              <w:pStyle w:val="Compact"/>
              <w:jc w:val="left"/>
            </w:pPr>
            <w:r>
              <w:t xml:space="preserve">Compliance</w:t>
            </w:r>
          </w:p>
        </w:tc>
        <w:tc>
          <w:tcPr/>
          <w:p>
            <w:pPr>
              <w:pStyle w:val="Compact"/>
              <w:jc w:val="left"/>
            </w:pPr>
            <w:r>
              <w:t xml:space="preserve">Fristgerechte Berichte, Prüffeststellungen, Ausnahmen bei zulässige</w:t>
            </w:r>
          </w:p>
        </w:tc>
        <w:tc>
          <w:tcPr/>
          <w:p>
            <w:pPr>
              <w:pStyle w:val="Compact"/>
              <w:jc w:val="center"/>
            </w:pPr>
            <w:r>
              <w:t xml:space="preserve">n Kosten Wie viel Verwaltungskapazität ist genug?</w:t>
            </w:r>
          </w:p>
        </w:tc>
      </w:tr>
    </w:tbl>
    <w:bookmarkEnd w:id="14"/>
    <w:bookmarkStart w:id="15" w:name="die-klausur"/>
    <w:p>
      <w:pPr>
        <w:pStyle w:val="Heading1"/>
      </w:pPr>
      <w:r>
        <w:t xml:space="preserve">Die Klausur</w:t>
      </w:r>
    </w:p>
    <w:p>
      <w:pPr>
        <w:pStyle w:val="FirstParagraph"/>
      </w:pPr>
      <w:r>
        <w:t xml:space="preserve">Bei der Klausur unterstützte die Chefärztin den Schutz von Behandlung und Naloxon-Betrieb.</w:t>
      </w:r>
      <w:r>
        <w:t xml:space="preserve"> </w:t>
      </w:r>
      <w:r>
        <w:t xml:space="preserve">“Eine niedrigere Todeszahl ist das gewünschte Ergebnis”</w:t>
      </w:r>
      <w:r>
        <w:t xml:space="preserve">, sagte sie.</w:t>
      </w:r>
      <w:r>
        <w:t xml:space="preserve"> </w:t>
      </w:r>
      <w:r>
        <w:t xml:space="preserve">“Sie ist kein Beweis dafür, dass die Infrastruktur nicht mehr benötigt wird.”</w:t>
      </w:r>
      <w:r>
        <w:t xml:space="preserve"> </w:t>
      </w:r>
      <w:r>
        <w:t xml:space="preserve">Der Finanzvorstand hielt dagegen, die Behörde könne nicht jede Fortsetzungsbewilligung als dauerhafte Einnahme behandeln. Er wollte eine Reserve in Höhe von drei Monatsgehältern und eine Richtlinie, die neue dauerhafte Einstellungen ohne eine belastbare Finanzierungsquelle untersagt.</w:t>
      </w:r>
    </w:p>
    <w:p>
      <w:pPr>
        <w:pStyle w:val="BodyText"/>
      </w:pPr>
      <w:r>
        <w:t xml:space="preserve">Die Genesungsdirektorin argumentierte, die vorgeschlagene Reserve würde dadurch aufgebaut, dass Menschen in aktueller Krise Dienstleistungen vorenthalten würden. Der Zuschussdirektor warnte, dass mehrere Bundesanträge schlecht abschneiden würden, wenn sich RDRS nicht zu den in den Ausschreibungen festgelegten Initiativen verpflichte. Ein Kreiskommissar sagte, der Staat solle aufhören, Programme von der Hauptstadt aus zu entwerfen, und den Kreisen flexible Zuweisungen geben. Ein Stiftungsvertreter bot an, Spender zusammenzubringen, warnte jedoch, dass Philanthropie den Staat nicht im großen Maßstab ersetzen könne.</w:t>
      </w:r>
    </w:p>
    <w:p>
      <w:pPr>
        <w:pStyle w:val="BodyText"/>
      </w:pPr>
      <w:r>
        <w:t xml:space="preserve">Marquez schrieb vier Fragen an die Tafel:</w:t>
      </w:r>
    </w:p>
    <w:p>
      <w:pPr>
        <w:pStyle w:val="BlockText"/>
      </w:pPr>
      <w:r>
        <w:t xml:space="preserve">• Welche Dienstleistungen bilden die nicht verhandelbare landesweite Plattform?</w:t>
      </w:r>
    </w:p>
    <w:p>
      <w:pPr>
        <w:pStyle w:val="BlockText"/>
      </w:pPr>
      <w:r>
        <w:t xml:space="preserve">• Welche Gruppen sollten Priorität erhalten, wenn zweckgebundene Mittel nicht umgeleitet werden können?</w:t>
      </w:r>
    </w:p>
    <w:p>
      <w:pPr>
        <w:pStyle w:val="BlockText"/>
      </w:pPr>
      <w:r>
        <w:t xml:space="preserve">• Wie viel organisatorische Kapazität sollte dem Erwerb von und der Einhaltung von Zuschüssen gewidmet werden?</w:t>
      </w:r>
    </w:p>
    <w:p>
      <w:pPr>
        <w:pStyle w:val="BlockText"/>
      </w:pPr>
      <w:r>
        <w:t xml:space="preserve">• Welche Finanzierungsstruktur würde es RDRS ermöglichen, Personal über Veränderungen politischer Prioritäten und Programmanforderungen hinweg zu halten?</w:t>
      </w:r>
    </w:p>
    <w:p>
      <w:pPr>
        <w:pStyle w:val="FirstParagraph"/>
      </w:pPr>
      <w:r>
        <w:t xml:space="preserve">Das Haushaltsbüro des Gouverneurs erwartete die Empfehlung von RDRS in drei Wochen. Bundes-Fortsetzungsausschreibungen könnten vorher eintreffen – oder erst mehrere Monate später. Tarifverträge verlangten für bestimmte Entlassungen eine Kündigungsfrist von 90 Tagen. Naloxon-Bestellungen mussten sechs Monate im Voraus aufgegeben werden, um günstige Preise zu sichern. Zwei größere Stiftungsanträge waren im November fällig, verlangten von RDRS aber beide die Identifizierung einer eng gefassten Initiative und eines messbaren Dreijahresergebnisses.</w:t>
      </w:r>
    </w:p>
    <w:p>
      <w:pPr>
        <w:pStyle w:val="BodyText"/>
      </w:pPr>
      <w:r>
        <w:t xml:space="preserve">Marquez konnte eine einzelne Strategie, einen an Finanzierungsergebnisse gekoppelten bedingten Plan oder ein Portfolio von Dienstleistungs- und Finanzierungsoptionen vorlegen. Was auch immer sie vorschlug, würde eine implizite Antwort auf eine größere Frage offenbaren: War RDRS eine Notfallreaktionsorganisation, eine Behandlungsbehörde, eine langfristige Genesungsagentur oder eine Finanzierungs- und Koordinationsplattform für alle drei?</w:t>
      </w:r>
    </w:p>
    <w:bookmarkEnd w:id="15"/>
    <w:bookmarkStart w:id="16" w:name="diskussionsfragen"/>
    <w:p>
      <w:pPr>
        <w:pStyle w:val="Heading1"/>
      </w:pPr>
      <w:r>
        <w:t xml:space="preserve">Diskussionsfragen</w:t>
      </w:r>
    </w:p>
    <w:p>
      <w:pPr>
        <w:numPr>
          <w:ilvl w:val="0"/>
          <w:numId w:val="1001"/>
        </w:numPr>
      </w:pPr>
      <w:r>
        <w:t xml:space="preserve">Was ist die Entscheidung, vor der Kommissarin Marquez steht? Welche Entscheidungen sind strategisch, welche operativ?</w:t>
      </w:r>
    </w:p>
    <w:p>
      <w:pPr>
        <w:numPr>
          <w:ilvl w:val="0"/>
          <w:numId w:val="1001"/>
        </w:numPr>
      </w:pPr>
      <w:r>
        <w:t xml:space="preserve">Wie sollte RDRS seine Kernbetriebsplattform von zuschussfinanzierten Initiativen unterscheiden?</w:t>
      </w:r>
    </w:p>
    <w:p>
      <w:pPr>
        <w:numPr>
          <w:ilvl w:val="0"/>
          <w:numId w:val="1001"/>
        </w:numPr>
      </w:pPr>
      <w:r>
        <w:t xml:space="preserve">Welche Bevölkerungsgruppen oder Dienstleistungen sollten Priorität erhalten, wenn das zentrale Finanzierungsszenario für GJ2027 eintritt?</w:t>
      </w:r>
    </w:p>
    <w:p>
      <w:pPr>
        <w:numPr>
          <w:ilvl w:val="0"/>
          <w:numId w:val="1001"/>
        </w:numPr>
      </w:pPr>
      <w:r>
        <w:t xml:space="preserve">Wie sollte die Behörde universelle Naloxon-Verteilung im Verhältnis zu Behandlung und langfristiger Genesungsunterstützung bewerten?</w:t>
      </w:r>
    </w:p>
    <w:p>
      <w:pPr>
        <w:numPr>
          <w:ilvl w:val="0"/>
          <w:numId w:val="1001"/>
        </w:numPr>
      </w:pPr>
      <w:r>
        <w:t xml:space="preserve">Was sind die Vorteile und Risiken geflochtener Finanzierung? Welche Verwaltungsfähigkeiten wären dafür erforderlich?</w:t>
      </w:r>
    </w:p>
    <w:p>
      <w:pPr>
        <w:numPr>
          <w:ilvl w:val="0"/>
          <w:numId w:val="1001"/>
        </w:numPr>
      </w:pPr>
      <w:r>
        <w:t xml:space="preserve">Sollten sinkende Überdosistodesfälle die Argumentation für eine fortgesetzte Finanzierung stärken oder schwächen?</w:t>
      </w:r>
    </w:p>
    <w:p>
      <w:pPr>
        <w:numPr>
          <w:ilvl w:val="0"/>
          <w:numId w:val="1001"/>
        </w:numPr>
      </w:pPr>
      <w:r>
        <w:t xml:space="preserve">Welche Kennzahlen sollte RDRS verwenden, wenn Ergebnisse verzögert, schwer zuzuordnen oder nicht vollständig beobachtbar sind?</w:t>
      </w:r>
    </w:p>
    <w:p>
      <w:pPr>
        <w:numPr>
          <w:ilvl w:val="0"/>
          <w:numId w:val="1001"/>
        </w:numPr>
      </w:pPr>
      <w:r>
        <w:t xml:space="preserve">Wie viel finanzielle Reserve sollte eine öffentliche Behörde vorhalten, wenn dies die aktuellen Dienstleistungen verringern könnte?</w:t>
      </w:r>
    </w:p>
    <w:p>
      <w:pPr>
        <w:numPr>
          <w:ilvl w:val="0"/>
          <w:numId w:val="1001"/>
        </w:numPr>
      </w:pPr>
      <w:r>
        <w:t xml:space="preserve">Welche Rolle sollten Kreise, Gesundheitssysteme, Arbeitgeber, Versicherer und private Spender spielen?</w:t>
      </w:r>
    </w:p>
    <w:p>
      <w:pPr>
        <w:numPr>
          <w:ilvl w:val="0"/>
          <w:numId w:val="1001"/>
        </w:numPr>
      </w:pPr>
      <w:r>
        <w:t xml:space="preserve">Entwerfen Sie einen Prozess zur Untersuchung von Alternativen vor der dreiwöchigen Frist des Gouverneurs. Welche Informationen haben den höchsten Wert?</w:t>
      </w:r>
    </w:p>
    <w:bookmarkEnd w:id="16"/>
    <w:bookmarkStart w:id="22"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17">
        <w:r>
          <w:rPr>
            <w:rStyle w:val="Hyperlink"/>
          </w:rPr>
          <w:t xml:space="preserve">Metrik-Pyramiden-Werkzeug</w:t>
        </w:r>
      </w:hyperlink>
      <w:r>
        <w:t xml:space="preserve">, um die verschiedenen Leistungskennzahlen zu identifizieren und zu priorisieren. Klicken Sie auf die Ellipse, die die Kennzahl enthält, um festzulegen, ob es sich um eine zu maximierende Kennzahl (grün), eine zu minimierende Kennzahl (rot), ein Ziel handelt, das eine Untergrenze darstellt (hellgrün) oder eine Obergrenze (hellrot), oder schließlich um einen Zielwert (violett).</w:t>
      </w:r>
    </w:p>
    <w:p>
      <w:pPr>
        <w:numPr>
          <w:ilvl w:val="0"/>
          <w:numId w:val="1002"/>
        </w:numPr>
      </w:pPr>
      <w:r>
        <w:t xml:space="preserve">Verwenden Sie das</w:t>
      </w:r>
      <w:r>
        <w:t xml:space="preserve"> </w:t>
      </w:r>
      <w:hyperlink r:id="rId18">
        <w:r>
          <w:rPr>
            <w:rStyle w:val="Hyperlink"/>
          </w:rPr>
          <w:t xml:space="preserve">Entscheidungspriorisierungs-Werkzeug</w:t>
        </w:r>
      </w:hyperlink>
      <w:r>
        <w:t xml:space="preserve">, um zunächst die verschiedenen Arten von Entscheidungen aufzulisten (nutzen Sie die</w:t>
      </w:r>
      <w:r>
        <w:t xml:space="preserve"> </w:t>
      </w:r>
      <w:hyperlink r:id="rId19">
        <w:r>
          <w:rPr>
            <w:rStyle w:val="Hyperlink"/>
          </w:rPr>
          <w:t xml:space="preserve">Arten von Entscheidungen</w:t>
        </w:r>
      </w:hyperlink>
      <w:r>
        <w:t xml:space="preserve"> </w:t>
      </w:r>
      <w:r>
        <w:t xml:space="preserve">als Orientierung). Diese füllen dann die Zeilen der Matrix rechts, wobei die Spalten die Leistungskennzahlen sind, sortiert von links nach rechts nach der Priorität in der obigen Pyramide. Klicken Sie auf jede Zelle, um anzugeben, ob die Auswirkung der Entscheidung auf jede Kennzahl hoch (rot), mittel (orange), niedrig (gelb) oder nicht vorhanden (weiß) ist.</w:t>
      </w:r>
    </w:p>
    <w:p>
      <w:pPr>
        <w:numPr>
          <w:ilvl w:val="0"/>
          <w:numId w:val="1002"/>
        </w:numPr>
      </w:pPr>
      <w:r>
        <w:t xml:space="preserve">Sie können den Griff (drei Balken) ganz links in jeder Zeile fassen, um sie nach oben oder unten zu verschieben. Sortieren Sie die Zeilen so, dass die Entscheidungen mit dem größten Einfluss auf die wichtigsten Kennzahlen oben stehen. Die Zellen in der oberen linken Ecke sollten die höchste Konzentration an roten und orangefarbenen Zellen aufweisen. Identifizieren Sie an diesem Punkt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20">
        <w:r>
          <w:rPr>
            <w:rStyle w:val="Hyperlink"/>
          </w:rPr>
          <w:t xml:space="preserve">Unsicherheitspriorisierungs-Werkzeugs</w:t>
        </w:r>
      </w:hyperlink>
      <w:r>
        <w:t xml:space="preserve"> </w:t>
      </w:r>
      <w:r>
        <w:t xml:space="preserve">aufzulisten und zu priorisieren. Nutzen Sie die</w:t>
      </w:r>
      <w:r>
        <w:t xml:space="preserve"> </w:t>
      </w:r>
      <w:hyperlink r:id="rId21">
        <w:r>
          <w:rPr>
            <w:rStyle w:val="Hyperlink"/>
          </w:rPr>
          <w:t xml:space="preserve">Kategorien von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 werden?</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erscheinen notwendig, um diese Entscheidung zu treffen, einschließlich der Berechnung etwaiger Leistungskennzahlen, auf die die Entscheidung eine hohe oder mittlere Auswirkung hätte.</w:t>
      </w:r>
    </w:p>
    <w:p>
      <w:pPr>
        <w:numPr>
          <w:ilvl w:val="0"/>
          <w:numId w:val="1002"/>
        </w:numPr>
      </w:pPr>
      <w:r>
        <w:t xml:space="preserve">Identifizieren Sie unter Verwendung derselben in (7) identifizierten Entscheidung die Personen, Abteilungen, Gruppen oder Organisationen, mit denen Sie zusammenarbeiten müssten, um die Entscheidung umzusetzen.</w:t>
      </w:r>
    </w:p>
    <w:bookmarkEnd w:id="22"/>
    <w:bookmarkStart w:id="23" w:name="X87dd069b6b82dc6c7f2a7c645ce7f4d0311457e"/>
    <w:p>
      <w:pPr>
        <w:pStyle w:val="Heading1"/>
      </w:pPr>
      <w:r>
        <w:t xml:space="preserve">Öffentliche Daten und Finanzierungshinweise</w:t>
      </w:r>
    </w:p>
    <w:p>
      <w:pPr>
        <w:pStyle w:val="FirstParagraph"/>
      </w:pPr>
      <w:r>
        <w:t xml:space="preserve">• CDC,</w:t>
      </w:r>
      <w:r>
        <w:t xml:space="preserve"> </w:t>
      </w:r>
      <w:r>
        <w:t xml:space="preserve">“Data Resources | Overdose Prevention”</w:t>
      </w:r>
      <w:r>
        <w:t xml:space="preserve">, vorläufige Schätzung von 69.973 US-amerikanischen Drogenüberdosistodesfällen für die 12 Monate bis Dezember 2025, ein Rückgang von 13,9 % gegenüber dem Vorjahr (Veröffentlichung Mai 2026).</w:t>
      </w:r>
    </w:p>
    <w:p>
      <w:pPr>
        <w:pStyle w:val="BodyText"/>
      </w:pPr>
      <w:r>
        <w:t xml:space="preserve">• CDC/NCHS,</w:t>
      </w:r>
      <w:r>
        <w:t xml:space="preserve"> </w:t>
      </w:r>
      <w:r>
        <w:t xml:space="preserve">“Drug Overdose Deaths in the United States, 2023–2024”</w:t>
      </w:r>
      <w:r>
        <w:t xml:space="preserve">, mit Angaben zu 54.045 opioidbezogenen Todesfällen im Jahr 2024 und 47.735 mit Beteiligung synthetischer Opioide außer Methadon.</w:t>
      </w:r>
    </w:p>
    <w:p>
      <w:pPr>
        <w:pStyle w:val="BodyText"/>
      </w:pPr>
      <w:r>
        <w:t xml:space="preserve">• SAMHSA, 2024 National Survey on Drug Use and Health, mit Angaben zu 4,8 Millionen Menschen ab 12 Jahren mit einer Opioidgebrauchsstörung im vergangenen Jahr und 818.000 (17,0 %), die Medikamente zur Behandlung der Opioidgebrauchsstörung erhielten.</w:t>
      </w:r>
    </w:p>
    <w:p>
      <w:pPr>
        <w:pStyle w:val="BodyText"/>
      </w:pPr>
      <w:r>
        <w:t xml:space="preserve">• SAMHSA, FY2024 State Opioid Response Grants (TI-24-008): erwartete Gesamtfördermittel von 1,4805 Milliarden $, bis zu 59 Bewilligungen, wobei die Fortsetzung von der Verfügbarkeit der Mittel, der Leistung, der Berichterstattung und der Einhaltung abhängt.</w:t>
      </w:r>
    </w:p>
    <w:p>
      <w:pPr>
        <w:pStyle w:val="BodyText"/>
      </w:pPr>
      <w:r>
        <w:t xml:space="preserve">• HHS, 22. September 2025, Bekanntgabe von mehr als 1,5 Milliarden $ an Fortsetzungsbewilligungen für die staatliche und Stammes-Opioid-Reaktion für GJ2025.</w:t>
      </w:r>
    </w:p>
    <w:p>
      <w:pPr>
        <w:pStyle w:val="BodyText"/>
      </w:pPr>
      <w:r>
        <w:t xml:space="preserve">• U.S. GAO, GAO-25-106944,</w:t>
      </w:r>
      <w:r>
        <w:t xml:space="preserve"> </w:t>
      </w:r>
      <w:r>
        <w:t xml:space="preserve">“Opioid Use Disorder Grants”</w:t>
      </w:r>
      <w:r>
        <w:t xml:space="preserve">, mit Beschreibungen von Berichtspflichten, Finanzierungs- und Beschaffungsverzögerungen, verkürzten Umsetzungsfenstern und Anforderungen zu letztendlichen Empfängern.</w:t>
      </w:r>
    </w:p>
    <w:p>
      <w:pPr>
        <w:pStyle w:val="BodyText"/>
      </w:pPr>
      <w:r>
        <w:t xml:space="preserve">• CDC,</w:t>
      </w:r>
      <w:r>
        <w:t xml:space="preserve"> </w:t>
      </w:r>
      <w:r>
        <w:t xml:space="preserve">“Reverse Opioid Overdose to Prevent Death”</w:t>
      </w:r>
      <w:r>
        <w:t xml:space="preserve">, mit der Beschreibung von Naloxon als Medikament, das eine Opioidüberdosis rückgängig machen kann, wenn es rechtzeitig verabreicht wird.</w:t>
      </w:r>
    </w:p>
    <w:bookmarkEnd w:id="23"/>
    <w:bookmarkStart w:id="26" w:name="chatgpt-kommentare"/>
    <w:p>
      <w:pPr>
        <w:pStyle w:val="Heading1"/>
      </w:pPr>
      <w:r>
        <w:t xml:space="preserve">ChatGPT-Kommentare</w:t>
      </w:r>
    </w:p>
    <w:bookmarkStart w:id="24" w:name="prompt"/>
    <w:p>
      <w:pPr>
        <w:pStyle w:val="Heading2"/>
      </w:pPr>
      <w:r>
        <w:t xml:space="preserve">Prompt</w:t>
      </w:r>
    </w:p>
    <w:p>
      <w:pPr>
        <w:pStyle w:val="FirstParagraph"/>
      </w:pPr>
      <w:r>
        <w:t xml:space="preserve">Erstellen Sie eine 4-6-seitige Fallstudie, die die Herausforderungen beschreibt, mit denen eine staatliche Gesundheitsbehörde im Umgang mit Sucht konfrontiert ist und die Finanzierung beschaffen muss, um ihren Betrieb aufrechtzuerhalten. Die Hauptkosten sind ihre Mitarbeiter, die für die Verteilung von Naloxon-Kits, die Behandlung von Sucht und die Unterstützung von Menschen bei der Wiedereingliederung verantwortlich sind. Die Behörde muss abwägen, welche Gruppen sie bedienen kann, wobei die Herausforderung darin besteht, das Nadelöhr der Finanzierung durch Bundes- und Landesbehörden sowie lokale Spender zu durchqueren. Die staatliche Finanzierung ist unsicher und mit Anforderungen zur Durchführung bestimmter Initiativen verbunden. Unterstützen Sie Ihre Zusammenfassung mit Statistiken zu Sucht und Veränderungen der staatlichen Finanzierung.</w:t>
      </w:r>
    </w:p>
    <w:bookmarkEnd w:id="24"/>
    <w:bookmarkStart w:id="25" w:name="zusammenfassung"/>
    <w:p>
      <w:pPr>
        <w:pStyle w:val="Heading2"/>
      </w:pPr>
      <w:r>
        <w:t xml:space="preserve">Zusammenfassung</w:t>
      </w:r>
    </w:p>
    <w:p>
      <w:pPr>
        <w:pStyle w:val="FirstParagraph"/>
      </w:pPr>
      <w:r>
        <w:t xml:space="preserve">Der Fall stellt eine fiktive staatliche Suchthilfebehörde vor, die versucht, ihr Personal zu erhalten und Naloxon-Verteilung, Suchtbehandlung und langfristige Genesungsunterstützung auszubalancieren, während sie zweckgebundene Bundeszuschüsse, staatliche Mittelzuweisungen, Opioid-Vergleichsgelder, Medicaid-Einnahmen und private Spenden zusammenstellt.</w:t>
      </w:r>
    </w:p>
    <w:p>
      <w:pPr>
        <w:pStyle w:val="BodyText"/>
      </w:pPr>
      <w:r>
        <w:t xml:space="preserve">Er umfasst:</w:t>
      </w:r>
    </w:p>
    <w:p>
      <w:pPr>
        <w:numPr>
          <w:ilvl w:val="0"/>
          <w:numId w:val="1005"/>
        </w:numPr>
      </w:pPr>
      <w:r>
        <w:t xml:space="preserve">Einen Betriebshaushalt von 118 Millionen $ und eine Belegschaft von 506 Personen</w:t>
      </w:r>
    </w:p>
    <w:p>
      <w:pPr>
        <w:numPr>
          <w:ilvl w:val="0"/>
          <w:numId w:val="1005"/>
        </w:numPr>
      </w:pPr>
      <w:r>
        <w:t xml:space="preserve">Alternative Finanzierungsszenarien und eine prognostizierte Lücke von 18,6 Millionen $</w:t>
      </w:r>
    </w:p>
    <w:p>
      <w:pPr>
        <w:numPr>
          <w:ilvl w:val="0"/>
          <w:numId w:val="1005"/>
        </w:numPr>
      </w:pPr>
      <w:r>
        <w:t xml:space="preserve">Konkurrierende Vorschläge zur Bedienung ländlicher Gemeinden, straffällig gewordener Personen, Familien und Menschen, die Wohnraum- oder Beschäftigungshilfe benötigen</w:t>
      </w:r>
    </w:p>
    <w:p>
      <w:pPr>
        <w:numPr>
          <w:ilvl w:val="0"/>
          <w:numId w:val="1005"/>
        </w:numPr>
      </w:pPr>
      <w:r>
        <w:t xml:space="preserve">Beschränkungen von Bundeszuschüssen, Berichtspflichten und Unsicherheiten beim Zeitpunkt der Finanzierung</w:t>
      </w:r>
    </w:p>
    <w:p>
      <w:pPr>
        <w:numPr>
          <w:ilvl w:val="0"/>
          <w:numId w:val="1005"/>
        </w:numPr>
      </w:pPr>
      <w:r>
        <w:t xml:space="preserve">Quantitative Exhibits und zehn Diskussionsfragen</w:t>
      </w:r>
    </w:p>
    <w:p>
      <w:pPr>
        <w:numPr>
          <w:ilvl w:val="0"/>
          <w:numId w:val="1005"/>
        </w:numPr>
      </w:pPr>
      <w:r>
        <w:t xml:space="preserve">Keine eindeutig bevorzugte Lösung</w:t>
      </w:r>
    </w:p>
    <w:p>
      <w:pPr>
        <w:pStyle w:val="FirstParagraph"/>
      </w:pPr>
      <w:r>
        <w:t xml:space="preserve">Der Kontext der öffentlichen Gesundheit verwendet aktuelle CDC- und SAMHSA-Statistiken, einschließlich vorläufiger Schätzungen von etwa 69.973 Überdosistodesfällen in den USA im Jahr 2025 und dem Befund, dass nur 17 % der geschätzten 4,8 Millionen Menschen mit einer Opioidgebrauchsstörung im Jahr 2024 eine medikamentöse Behandlung erhielten. Informationen zur Bundesfinanzierung stützen sich auf die Ankündigung des State-Opioid-Response-Zuschusses für GJ2024 in Höhe von 1,4805 Milliarden $, mehr als 1,5 Milliarden $ an Fortsetzungsbewilligungen für GJ2025 sowie GAO-Erkenntnisse zu Verzögerungen bei Zuschüssen und Berichtspflichten.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2026-09-11T16:26:06Z</dcterms:created>
  <dcterms:modified xsi:type="dcterms:W3CDTF">2026-09-11T16:26:06Z</dcterms:modified>
</cp:coreProperties>
</file>

<file path=docProps/custom.xml><?xml version="1.0" encoding="utf-8"?>
<Properties xmlns="http://schemas.openxmlformats.org/officeDocument/2006/custom-properties" xmlns:vt="http://schemas.openxmlformats.org/officeDocument/2006/docPropsVTypes"/>
</file>