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Ridgeway Industrial Systems</w:t>
      </w:r>
    </w:p>
    <w:p>
      <w:pPr>
        <w:pStyle w:val="BodyText"/>
      </w:pPr>
      <w:r>
        <w:t xml:space="preserve">Die Energie-Wegscheide</w:t>
      </w:r>
    </w:p>
    <w:p>
      <w:pPr>
        <w:pStyle w:val="BodyText"/>
      </w:pPr>
      <w:r>
        <w:t xml:space="preserve">Eine Entscheidung im Fertigungsnetzwerk unter steigenden Stromkosten</w:t>
      </w:r>
    </w:p>
    <w:p>
      <w:pPr>
        <w:pStyle w:val="BodyText"/>
      </w:pPr>
      <w:r>
        <w:t xml:space="preserve">Um 6:20 Uhr an einem kalten Montag im Februar öffnete Elena Marquez, Chief Operating Officer von Ridgeway Industrial Systems, eine E-Mail des Energieversorgers des Unternehmens. Der Versorger bat um die Erlaubnis, eine technische Untersuchung des Netzanschlusses von Ridgeway durchzuführen. Die Region hatte Anträge für mehrere große Rechenzentren erhalten, und der Versorger erwartete erhebliche neue Investitionen in Umspannwerke, Übertragungsanlagen und Erzeugungskapazität. Ein Teil dieser Kosten, so warnte das Schreiben, könnte sich schließlich in den Industrietarifen widerspiegeln.</w:t>
      </w:r>
    </w:p>
    <w:p>
      <w:pPr>
        <w:pStyle w:val="BodyText"/>
      </w:pPr>
      <w:r>
        <w:t xml:space="preserve">Die Nachricht traf drei Tage vor der Strategiesitzung des Ridgeway-Vorstands ein. Das Hauptwerk des Unternehmens in Hamilton County hatte bereits einen Anstieg seiner jährlichen Stromrechnung von $8,6 Millionen auf $13,9 Millionen in vier Jahren erlebt. Das Finanzteam des Unternehmens rechnete damit, dass die Rechnung bis 2030 $19 Millionen übersteigen könnte, falls der vorläufige Tarifpfad des Versorgers genehmigt würde. Strom hatte einst weniger als 3 % der Fertigungskosten ausgemacht. Er näherte sich nun 6 %, wobei die größte Belastung auf zwei energieintensive Produktlinien konzentriert war.</w:t>
      </w:r>
    </w:p>
    <w:p>
      <w:pPr>
        <w:pStyle w:val="BodyText"/>
      </w:pPr>
      <w:r>
        <w:t xml:space="preserve">Ridgeway stellte Präzisionspumpen, industrielle Wärmetauscher und korrosionsbeständige Baugruppen für Kunden aus der Chemie-, Lebensmittelverarbeitungs- und Wasseraufbereitungsbranche her. Das Hamilton-Werk beschäftigte 1.180 Mitarbeiter, erwirtschaftete etwa 58 % des Unternehmensumsatzes und beherbergte spezialisierte Bearbeitungs-, Schweiß-, Wärmebehandlungs-, Beschichtungs- und Prüfvorgänge. Manche Anlagen konnten verlegt werden. Andere Systeme waren fest im Gebäude verbaut, an Fundamente, Umweltauflagen und Kundenqualifizierungen gebunden.</w:t>
      </w:r>
    </w:p>
    <w:p>
      <w:pPr>
        <w:pStyle w:val="BodyText"/>
      </w:pPr>
      <w:r>
        <w:t xml:space="preserve">Marquez war gebeten worden, einen Untersuchungsplan und eine erste strategische Ausrichtung zu empfehlen. Die offensichtlichen Alternativen waren klar: am Standort bleiben und die höheren Tarife absorbieren oder managen; Solarmodule und Batteriespeicher installieren; ausgewählte elektrische Prozesse auf Erdgas umstellen; oder einen Großteil des Betriebs in eine andere Region verlegen. Doch jede Alternative hing von unsicheren Prognosen, schwierigen technischen Annahmen und Entscheidungen von Versorgern, Aufsichtsbehörden, Kunden und Mitarbeitern ab.</w:t>
      </w:r>
    </w:p>
    <w:bookmarkStart w:id="9" w:name="die-entscheidung-vor-dem-vorstand"/>
    <w:p>
      <w:pPr>
        <w:pStyle w:val="Heading2"/>
      </w:pPr>
      <w:r>
        <w:t xml:space="preserve">Die Entscheidung vor dem Vorstand</w:t>
      </w:r>
    </w:p>
    <w:p>
      <w:pPr>
        <w:pStyle w:val="FirstParagraph"/>
      </w:pPr>
      <w:r>
        <w:t xml:space="preserve">Der Vorstand wurde nicht gebeten, sofort ein neues Werk zu genehmigen. Er wurde gebeten zu entscheiden, wie aggressiv Ridgeway die Alternativen untersuchen sollte, welche Projekte zu Pilotversuchen oder detaillierter Konstruktion voranschreiten sollten und ob das Unternehmen beginnen sollte, sich Land und Versorgungskapazität anderswo zu sichern, bevor Wettbewerber dies täten. Diese Unterscheidung war von Bedeutung. Eine vorsichtige Untersuchung könnte Liquidität bewahren, aber attraktive Standorte, Netzanschlusspositionen oder Anreize verschwinden lassen. Ein aggressives Programm könnte Millionen von Dollar verbrauchen, bevor das Management verstünde, ob die derzeitige Tariferhöhung vorübergehend, strukturell oder teilweise selbst verursacht war.</w:t>
      </w:r>
    </w:p>
    <w:bookmarkEnd w:id="9"/>
    <w:bookmarkStart w:id="12" w:name="ein-regionaler-strommarkt-unter-druck"/>
    <w:p>
      <w:pPr>
        <w:pStyle w:val="Heading1"/>
      </w:pPr>
      <w:r>
        <w:t xml:space="preserve">Ein regionaler Strommarkt unter Druck</w:t>
      </w:r>
    </w:p>
    <w:p>
      <w:pPr>
        <w:pStyle w:val="FirstParagraph"/>
      </w:pPr>
      <w:r>
        <w:t xml:space="preserve">Hamilton County hatte zwei Jahrzehnte damit verbracht, fortschrittliche Fertigung anzusiedeln. In jüngerer Zeit hatte dieselbe Kombination aus preisgünstigem Land, Glasfaseranbindung, Autobahnzugang und einem verfügbaren Übertragungskorridor Entwickler von Rechenzentren angezogen. Drei Projekte befanden sich im Bau, und fünf weitere hatten Versorgungsanschlüsse beantragt. Lokale Amtsträger begrüßten die Steuerbasis, doch industrielle Kunden stellten die Frage, wie die Kosten des Netzausbaus verteilt würden.</w:t>
      </w:r>
    </w:p>
    <w:p>
      <w:pPr>
        <w:pStyle w:val="BodyText"/>
      </w:pPr>
      <w:r>
        <w:t xml:space="preserve">Der nationale Trend war bedeutend. Berkeley Lab schätzte, dass US-Rechenzentren 2023 etwa 176 Terawattstunden Strom verbrauchten, was ungefähr 4,4 % des gesamten US-Stromverbrauchs entspricht, gegenüber 58 Terawattstunden im Jahr 2014. Sein Bericht von 2024 schätzte, dass Rechenzentren bis 2028 zwischen 6,7 % und 12 % des US-Stromverbrauchs ausmachen könnten. Eine spätere Aktualisierung prognostizierte eine zentrale Schätzung von 11,8 % bis 2030, mit einer Bandbreite von 9,5 % bis 15,3 %.¹ Die Projektionen implizierten nicht, dass jeder Hersteller mit demselben Kostenanstieg konfrontiert würde, aber sie bekräftigten Ridgeways Sorge, dass die Stromnachfrage in ein anderes Wachstumsregime eintrat.</w:t>
      </w:r>
    </w:p>
    <w:p>
      <w:pPr>
        <w:pStyle w:val="BodyText"/>
      </w:pPr>
      <w:r>
        <w:t xml:space="preserve">Die Stromrechnung von Ridgeway war komplizierter als die durchschnittliche Cent-pro-Kilowattstunde-Zahl, die in Vorstandssitzungen diskutiert wurde. Das Werk zahlte für verbrauchte Energie, monatliche Spitzenlast, Übertragungsdienstleistungen, Kapazität, Blindleistungsstrafen und mehrere Zuschläge. Eine neue regionale Kapazitätsgebühr war stark gestiegen. Das Werk hatte außerdem drei ungewöhnlich hohe Nachfragespitzen verzeichnet, als große Öfen, Kompressoren und Prüfstände nach Wartungsstillständen gleichzeitig gestartet wurden.</w:t>
      </w:r>
    </w:p>
    <w:bookmarkStart w:id="10" w:name="X03762f05ba96861199c5cb6c81cd611075d34c3"/>
    <w:p>
      <w:pPr>
        <w:pStyle w:val="Heading2"/>
      </w:pPr>
      <w:r>
        <w:t xml:space="preserve">Exhibit 1. Stromverbrauch und -kosten des Hamilton-Werks</w:t>
      </w:r>
    </w:p>
    <w:tbl>
      <w:tblPr>
        <w:tblStyle w:val="Table"/>
        <w:tblW w:type="pct" w:w="4924"/>
        <w:tblLayout w:type="fixed"/>
        <w:tblLook w:firstRow="1" w:lastRow="0" w:firstColumn="0" w:lastColumn="0" w:noHBand="0" w:noVBand="0" w:val="0020"/>
      </w:tblPr>
      <w:tblGrid>
        <w:gridCol w:w="967"/>
        <w:gridCol w:w="1148"/>
        <w:gridCol w:w="1450"/>
        <w:gridCol w:w="1148"/>
        <w:gridCol w:w="1874"/>
        <w:gridCol w:w="1209"/>
      </w:tblGrid>
      <w:tr>
        <w:trPr>
          <w:tblHeader w:val="on"/>
        </w:trPr>
        <w:tc>
          <w:tcPr/>
          <w:p>
            <w:pPr>
              <w:pStyle w:val="Compact"/>
              <w:jc w:val="left"/>
            </w:pPr>
            <w:r>
              <w:t xml:space="preserve">Geschäftsjahr</w:t>
            </w:r>
          </w:p>
        </w:tc>
        <w:tc>
          <w:tcPr/>
          <w:p>
            <w:pPr>
              <w:pStyle w:val="Compact"/>
              <w:jc w:val="center"/>
            </w:pPr>
            <w:r>
              <w:t xml:space="preserve">Produktionsindex</w:t>
            </w:r>
          </w:p>
        </w:tc>
        <w:tc>
          <w:tcPr/>
          <w:p>
            <w:pPr>
              <w:pStyle w:val="Compact"/>
              <w:jc w:val="center"/>
            </w:pPr>
            <w:r>
              <w:t xml:space="preserve">Stromverbrauch (GWh)</w:t>
            </w:r>
          </w:p>
        </w:tc>
        <w:tc>
          <w:tcPr/>
          <w:p>
            <w:pPr>
              <w:pStyle w:val="Compact"/>
              <w:jc w:val="center"/>
            </w:pPr>
            <w:r>
              <w:t xml:space="preserve">Spitzenlast (MW)</w:t>
            </w:r>
          </w:p>
        </w:tc>
        <w:tc>
          <w:tcPr/>
          <w:p>
            <w:pPr>
              <w:pStyle w:val="Compact"/>
              <w:jc w:val="right"/>
            </w:pPr>
            <w:r>
              <w:t xml:space="preserve">Durchschnittliche Gesamtkosten</w:t>
            </w:r>
          </w:p>
        </w:tc>
        <w:tc>
          <w:tcPr/>
          <w:p>
            <w:pPr>
              <w:pStyle w:val="Compact"/>
              <w:jc w:val="right"/>
            </w:pPr>
            <w:r>
              <w:t xml:space="preserve">($/MWh) Jahresrechnung ($M)</w:t>
            </w:r>
          </w:p>
        </w:tc>
      </w:tr>
      <w:tr>
        <w:tc>
          <w:tcPr/>
          <w:p>
            <w:pPr>
              <w:pStyle w:val="Compact"/>
              <w:jc w:val="left"/>
            </w:pPr>
            <w:r>
              <w:t xml:space="preserve">2022</w:t>
            </w:r>
          </w:p>
        </w:tc>
        <w:tc>
          <w:tcPr/>
          <w:p>
            <w:pPr>
              <w:pStyle w:val="Compact"/>
              <w:jc w:val="center"/>
            </w:pPr>
            <w:r>
              <w:t xml:space="preserve">100</w:t>
            </w:r>
          </w:p>
        </w:tc>
        <w:tc>
          <w:tcPr/>
          <w:p>
            <w:pPr>
              <w:pStyle w:val="Compact"/>
              <w:jc w:val="center"/>
            </w:pPr>
            <w:r>
              <w:t xml:space="preserve">112</w:t>
            </w:r>
          </w:p>
        </w:tc>
        <w:tc>
          <w:tcPr/>
          <w:p>
            <w:pPr>
              <w:pStyle w:val="Compact"/>
              <w:jc w:val="center"/>
            </w:pPr>
            <w:r>
              <w:t xml:space="preserve">19,8</w:t>
            </w:r>
          </w:p>
        </w:tc>
        <w:tc>
          <w:tcPr/>
          <w:p>
            <w:pPr>
              <w:pStyle w:val="Compact"/>
              <w:jc w:val="right"/>
            </w:pPr>
            <w:r>
              <w:t xml:space="preserve">$77</w:t>
            </w:r>
          </w:p>
        </w:tc>
        <w:tc>
          <w:tcPr/>
          <w:p>
            <w:pPr>
              <w:pStyle w:val="Compact"/>
              <w:jc w:val="right"/>
            </w:pPr>
            <w:r>
              <w:t xml:space="preserve">$8,6</w:t>
            </w:r>
          </w:p>
        </w:tc>
      </w:tr>
      <w:tr>
        <w:tc>
          <w:tcPr/>
          <w:p>
            <w:pPr>
              <w:pStyle w:val="Compact"/>
              <w:jc w:val="left"/>
            </w:pPr>
            <w:r>
              <w:t xml:space="preserve">2023</w:t>
            </w:r>
          </w:p>
        </w:tc>
        <w:tc>
          <w:tcPr/>
          <w:p>
            <w:pPr>
              <w:pStyle w:val="Compact"/>
              <w:jc w:val="center"/>
            </w:pPr>
            <w:r>
              <w:t xml:space="preserve">104</w:t>
            </w:r>
          </w:p>
        </w:tc>
        <w:tc>
          <w:tcPr/>
          <w:p>
            <w:pPr>
              <w:pStyle w:val="Compact"/>
              <w:jc w:val="center"/>
            </w:pPr>
            <w:r>
              <w:t xml:space="preserve">116</w:t>
            </w:r>
          </w:p>
        </w:tc>
        <w:tc>
          <w:tcPr/>
          <w:p>
            <w:pPr>
              <w:pStyle w:val="Compact"/>
              <w:jc w:val="center"/>
            </w:pPr>
            <w:r>
              <w:t xml:space="preserve">20,5</w:t>
            </w:r>
          </w:p>
        </w:tc>
        <w:tc>
          <w:tcPr/>
          <w:p>
            <w:pPr>
              <w:pStyle w:val="Compact"/>
              <w:jc w:val="right"/>
            </w:pPr>
            <w:r>
              <w:t xml:space="preserve">$83</w:t>
            </w:r>
          </w:p>
        </w:tc>
        <w:tc>
          <w:tcPr/>
          <w:p>
            <w:pPr>
              <w:pStyle w:val="Compact"/>
              <w:jc w:val="right"/>
            </w:pPr>
            <w:r>
              <w:t xml:space="preserve">$9,6</w:t>
            </w:r>
          </w:p>
        </w:tc>
      </w:tr>
      <w:tr>
        <w:tc>
          <w:tcPr/>
          <w:p>
            <w:pPr>
              <w:pStyle w:val="Compact"/>
              <w:jc w:val="left"/>
            </w:pPr>
            <w:r>
              <w:t xml:space="preserve">2024</w:t>
            </w:r>
          </w:p>
        </w:tc>
        <w:tc>
          <w:tcPr/>
          <w:p>
            <w:pPr>
              <w:pStyle w:val="Compact"/>
              <w:jc w:val="center"/>
            </w:pPr>
            <w:r>
              <w:t xml:space="preserve">107</w:t>
            </w:r>
          </w:p>
        </w:tc>
        <w:tc>
          <w:tcPr/>
          <w:p>
            <w:pPr>
              <w:pStyle w:val="Compact"/>
              <w:jc w:val="center"/>
            </w:pPr>
            <w:r>
              <w:t xml:space="preserve">119</w:t>
            </w:r>
          </w:p>
        </w:tc>
        <w:tc>
          <w:tcPr/>
          <w:p>
            <w:pPr>
              <w:pStyle w:val="Compact"/>
              <w:jc w:val="center"/>
            </w:pPr>
            <w:r>
              <w:t xml:space="preserve">21,4</w:t>
            </w:r>
          </w:p>
        </w:tc>
        <w:tc>
          <w:tcPr/>
          <w:p>
            <w:pPr>
              <w:pStyle w:val="Compact"/>
              <w:jc w:val="right"/>
            </w:pPr>
            <w:r>
              <w:t xml:space="preserve">$92</w:t>
            </w:r>
          </w:p>
        </w:tc>
        <w:tc>
          <w:tcPr/>
          <w:p>
            <w:pPr>
              <w:pStyle w:val="Compact"/>
              <w:jc w:val="right"/>
            </w:pPr>
            <w:r>
              <w:t xml:space="preserve">$10,9</w:t>
            </w:r>
          </w:p>
        </w:tc>
      </w:tr>
      <w:tr>
        <w:tc>
          <w:tcPr/>
          <w:p>
            <w:pPr>
              <w:pStyle w:val="Compact"/>
              <w:jc w:val="left"/>
            </w:pPr>
            <w:r>
              <w:t xml:space="preserve">2025</w:t>
            </w:r>
          </w:p>
        </w:tc>
        <w:tc>
          <w:tcPr/>
          <w:p>
            <w:pPr>
              <w:pStyle w:val="Compact"/>
              <w:jc w:val="center"/>
            </w:pPr>
            <w:r>
              <w:t xml:space="preserve">105</w:t>
            </w:r>
          </w:p>
        </w:tc>
        <w:tc>
          <w:tcPr/>
          <w:p>
            <w:pPr>
              <w:pStyle w:val="Compact"/>
              <w:jc w:val="center"/>
            </w:pPr>
            <w:r>
              <w:t xml:space="preserve">117</w:t>
            </w:r>
          </w:p>
        </w:tc>
        <w:tc>
          <w:tcPr/>
          <w:p>
            <w:pPr>
              <w:pStyle w:val="Compact"/>
              <w:jc w:val="center"/>
            </w:pPr>
            <w:r>
              <w:t xml:space="preserve">22,8</w:t>
            </w:r>
          </w:p>
        </w:tc>
        <w:tc>
          <w:tcPr/>
          <w:p>
            <w:pPr>
              <w:pStyle w:val="Compact"/>
              <w:jc w:val="right"/>
            </w:pPr>
            <w:r>
              <w:t xml:space="preserve">$104</w:t>
            </w:r>
          </w:p>
        </w:tc>
        <w:tc>
          <w:tcPr/>
          <w:p>
            <w:pPr>
              <w:pStyle w:val="Compact"/>
              <w:jc w:val="right"/>
            </w:pPr>
            <w:r>
              <w:t xml:space="preserve">$12,2</w:t>
            </w:r>
          </w:p>
        </w:tc>
      </w:tr>
      <w:tr>
        <w:tc>
          <w:tcPr/>
          <w:p>
            <w:pPr>
              <w:pStyle w:val="Compact"/>
              <w:jc w:val="left"/>
            </w:pPr>
            <w:r>
              <w:t xml:space="preserve">2026 Prognose</w:t>
            </w:r>
          </w:p>
        </w:tc>
        <w:tc>
          <w:tcPr/>
          <w:p>
            <w:pPr>
              <w:pStyle w:val="Compact"/>
              <w:jc w:val="center"/>
            </w:pPr>
            <w:r>
              <w:t xml:space="preserve">109</w:t>
            </w:r>
          </w:p>
        </w:tc>
        <w:tc>
          <w:tcPr/>
          <w:p>
            <w:pPr>
              <w:pStyle w:val="Compact"/>
              <w:jc w:val="center"/>
            </w:pPr>
            <w:r>
              <w:t xml:space="preserve">120</w:t>
            </w:r>
          </w:p>
        </w:tc>
        <w:tc>
          <w:tcPr/>
          <w:p>
            <w:pPr>
              <w:pStyle w:val="Compact"/>
              <w:jc w:val="center"/>
            </w:pPr>
            <w:r>
              <w:t xml:space="preserve">23,2</w:t>
            </w:r>
          </w:p>
        </w:tc>
        <w:tc>
          <w:tcPr/>
          <w:p>
            <w:pPr>
              <w:pStyle w:val="Compact"/>
              <w:jc w:val="right"/>
            </w:pPr>
            <w:r>
              <w:t xml:space="preserve">$116</w:t>
            </w:r>
          </w:p>
        </w:tc>
        <w:tc>
          <w:tcPr/>
          <w:p>
            <w:pPr>
              <w:pStyle w:val="Compact"/>
              <w:jc w:val="right"/>
            </w:pPr>
            <w:r>
              <w:t xml:space="preserve">$13,9</w:t>
            </w:r>
          </w:p>
        </w:tc>
      </w:tr>
    </w:tbl>
    <w:p>
      <w:pPr>
        <w:pStyle w:val="BodyText"/>
      </w:pPr>
      <w:r>
        <w:t xml:space="preserve">Die Energiemanagerin des Werks, Priya Shah, argumentierte, dass das Unternehmen das externe Tarifproblem noch nicht von seinem eigenen Lastmanagement-Problem getrennt hatte. Sie schätzte, dass eine bessere Abfolge der Anlaufvorgänge, reparierte Druckluftleckagen, überarbeitete Ofenpläne und die automatische Abschaltung von Leerlaufanlagen die jährlichen Stromkosten um $1,4 Millionen bis $2,1 Millionen senken könnten. Die Betriebsleiter waren skeptisch. Sie fürchteten, dass ein aggressives Spitzenlastmanagement die Bestände an unfertigen Erzeugnissen, Überstunden oder verpassten Lieferungen erhöhen würde.</w:t>
      </w:r>
    </w:p>
    <w:bookmarkEnd w:id="10"/>
    <w:bookmarkStart w:id="11" w:name="der-fertigungsprozess"/>
    <w:p>
      <w:pPr>
        <w:pStyle w:val="Heading2"/>
      </w:pPr>
      <w:r>
        <w:t xml:space="preserve">Der Fertigungsprozess</w:t>
      </w:r>
    </w:p>
    <w:p>
      <w:pPr>
        <w:pStyle w:val="FirstParagraph"/>
      </w:pPr>
      <w:r>
        <w:t xml:space="preserve">Der Hamilton-Betrieb war kein einzelner durchgängiger Prozess. Bearbeitung und Pumpen waren stromintensiv, aber relativ flexibel. Wärmebehandlung und Aushärtung erforderten kontrollierte Temperaturprofile. Beschichtungslinien hatten strenge Belüftungsanforderungen. Das hydraulische Prüfzentrum erzeugte große, aber intermittierende Lasten. Produktionsplaner planten nach Kundenlieferterminen, Maschinenverfügbarkeit, Arbeitskräftequalifikation und Qualitätssperren — nicht nach Strompreisen.</w:t>
      </w:r>
    </w:p>
    <w:p>
      <w:pPr>
        <w:pStyle w:val="BodyText"/>
      </w:pPr>
      <w:r>
        <w:t xml:space="preserve">Das Management stand daher vor einem Systemproblem. Eine Senkung der Stromkosten könnte an anderer Stelle Kosten verursachen: längere Durchlaufzeiten, zusätzliche Rüstvorgänge, größere Losgrößen, mehr Bestand, geringere Reaktionsfähigkeit oder eine niedrigere Anlagenauslastung. Umgekehrt könnten Änderungen, die aus energetischen Gründen vorgenommen wurden, auch die Wartungsdisziplin und die Produktionsplanung verbessern.</w:t>
      </w:r>
    </w:p>
    <w:bookmarkEnd w:id="11"/>
    <w:bookmarkEnd w:id="12"/>
    <w:bookmarkStart w:id="17" w:name="vier-strategische-wege"/>
    <w:p>
      <w:pPr>
        <w:pStyle w:val="Heading1"/>
      </w:pPr>
      <w:r>
        <w:t xml:space="preserve">Vier strategische Wege</w:t>
      </w:r>
    </w:p>
    <w:bookmarkStart w:id="13" w:name="verbessern-und-bleiben"/>
    <w:p>
      <w:pPr>
        <w:pStyle w:val="Heading2"/>
      </w:pPr>
      <w:r>
        <w:t xml:space="preserve">1. Verbessern und bleiben</w:t>
      </w:r>
    </w:p>
    <w:p>
      <w:pPr>
        <w:pStyle w:val="FirstParagraph"/>
      </w:pPr>
      <w:r>
        <w:t xml:space="preserve">Der am wenigsten störende Weg bestand darin, das Hamilton-Werk zu behalten und sich zunächst auf Effizienz, Terminplanung, Tarifgestaltung und Energiebeschaffung zu konzentrieren. Der Versorger hatte angeboten, einen unterbrechbaren Servicetarif zu prüfen, der die jährlichen Gebühren um geschätzte $900.000 senken könnte, doch Ridgeway müsste bei einer begrenzten Anzahl von Netznotfällen kurzfristig die Last reduzieren. Ein Energiehändler schlug einen zehnjährigen Festpreisvertrag für einen Teil des Verbrauchs des Unternehmens vor. Der Festpreis lag über der aktuellen Terminkurve, aber unter dem Hochtarifszenario des Versorgers.</w:t>
      </w:r>
    </w:p>
    <w:p>
      <w:pPr>
        <w:pStyle w:val="BodyText"/>
      </w:pPr>
      <w:r>
        <w:t xml:space="preserve">Dieser Weg erforderte das geringste kurzfristige Kapitalengagement und bewahrte Flexibilität. Er ließ Ridgeway jedoch weiterhin einem eingeschränkten regionalen Netz ausgesetzt und der Möglichkeit, dass der Versorger einen erheblichen Teil der neuen Infrastrukturkosten den bestehenden Industriekunden zuweisen würde.</w:t>
      </w:r>
    </w:p>
    <w:bookmarkEnd w:id="13"/>
    <w:bookmarkStart w:id="14" w:name="solarstromerzeugung-und-batteriespeicher"/>
    <w:p>
      <w:pPr>
        <w:pStyle w:val="Heading2"/>
      </w:pPr>
      <w:r>
        <w:t xml:space="preserve">2. Solarstromerzeugung und Batteriespeicher</w:t>
      </w:r>
    </w:p>
    <w:p>
      <w:pPr>
        <w:pStyle w:val="FirstParagraph"/>
      </w:pPr>
      <w:r>
        <w:t xml:space="preserve">Ein Entwickler schlug eine 14-Megawatt-Solaranlage vor, die das Werksdach, Parkplatzüberdachungen und ein angrenzendes Grundstück nutzen sollte. Die erwartete Produktion im ersten Jahr betrug 19,5 Gigawattstunden — etwa 16 % des Jahresverbrauchs des Werks. Da die meiste Produktion an Wochentagen stattfand, erwartete der Entwickler einen hohen Anteil an Eigenverbrauch. Das Projekt würde weder den Netzanschluss des Werks noch die meisten nächtlichen Käufe eliminieren.</w:t>
      </w:r>
    </w:p>
    <w:p>
      <w:pPr>
        <w:pStyle w:val="BodyText"/>
      </w:pPr>
      <w:r>
        <w:t xml:space="preserve">Ein separater Vorschlag kombinierte Solarenergie mit einer 10-Megawatt-, 40-Megawattstunden-Batterie. Die Batterie könnte Nachfragespitzen reduzieren, Solarproduktion in den Abendbetrieb verschieben und ausgewählte kritische Lasten während kurzer Unterbrechungen unterstützen. Sie könnte nicht das gesamte Werk während eines längeren Stromausfalls betreiben. Die Wirtschaftlichkeit hing stark von den Regeln für Leistungsgebühren, der Batteriedegradation, der Qualität der Steuerung, der steuerlichen Behandlung, den Netzanschlusskosten und dem Wert ab, der der Zuverlässigkeit zugeschrieben wurde.</w:t>
      </w:r>
    </w:p>
    <w:bookmarkEnd w:id="14"/>
    <w:bookmarkStart w:id="15" w:name="X8e99c1c06859c105432507845aa4fc14e2c8c4e"/>
    <w:p>
      <w:pPr>
        <w:pStyle w:val="Heading2"/>
      </w:pPr>
      <w:r>
        <w:t xml:space="preserve">Exhibit 2. Vorläufige Vorschläge zur Eigenerzeugung</w:t>
      </w:r>
    </w:p>
    <w:tbl>
      <w:tblPr>
        <w:tblStyle w:val="Table"/>
        <w:tblW w:type="pct" w:w="4926"/>
        <w:tblLayout w:type="fixed"/>
        <w:tblLook w:firstRow="1" w:lastRow="0" w:firstColumn="0" w:lastColumn="0" w:noHBand="0" w:noVBand="0" w:val="0020"/>
      </w:tblPr>
      <w:tblGrid>
        <w:gridCol w:w="1514"/>
        <w:gridCol w:w="1048"/>
        <w:gridCol w:w="1572"/>
        <w:gridCol w:w="990"/>
        <w:gridCol w:w="2678"/>
      </w:tblGrid>
      <w:tr>
        <w:trPr>
          <w:tblHeader w:val="on"/>
        </w:trPr>
        <w:tc>
          <w:tcPr/>
          <w:p>
            <w:pPr>
              <w:pStyle w:val="Compact"/>
              <w:jc w:val="left"/>
            </w:pPr>
            <w:r>
              <w:t xml:space="preserve">Alternative</w:t>
            </w:r>
          </w:p>
        </w:tc>
        <w:tc>
          <w:tcPr/>
          <w:p>
            <w:pPr>
              <w:pStyle w:val="Compact"/>
            </w:pPr>
            <w:r>
              <w:t xml:space="preserve">Anfangskapital G</w:t>
            </w:r>
          </w:p>
        </w:tc>
        <w:tc>
          <w:tcPr/>
          <w:p>
            <w:pPr>
              <w:pStyle w:val="Compact"/>
            </w:pPr>
            <w:r>
              <w:t xml:space="preserve">eschätzte jährliche Einspar</w:t>
            </w:r>
          </w:p>
        </w:tc>
        <w:tc>
          <w:tcPr/>
          <w:p>
            <w:pPr>
              <w:pStyle w:val="Compact"/>
            </w:pPr>
            <w:r>
              <w:t xml:space="preserve">ungen Einfache</w:t>
            </w:r>
          </w:p>
        </w:tc>
        <w:tc>
          <w:tcPr/>
          <w:p>
            <w:pPr>
              <w:pStyle w:val="Compact"/>
              <w:jc w:val="left"/>
            </w:pPr>
            <w:r>
              <w:t xml:space="preserve">Amortisation Wesentliche Unsicherheiten</w:t>
            </w:r>
          </w:p>
        </w:tc>
      </w:tr>
      <w:tr>
        <w:tc>
          <w:tcPr/>
          <w:p>
            <w:pPr>
              <w:pStyle w:val="Compact"/>
              <w:jc w:val="left"/>
            </w:pPr>
            <w:r>
              <w:t xml:space="preserve">Effizienz und Steuerung</w:t>
            </w:r>
          </w:p>
        </w:tc>
        <w:tc>
          <w:tcPr/>
          <w:p>
            <w:pPr>
              <w:pStyle w:val="Compact"/>
            </w:pPr>
            <w:r>
              <w:t xml:space="preserve">$6,5M</w:t>
            </w:r>
          </w:p>
        </w:tc>
        <w:tc>
          <w:tcPr/>
          <w:p>
            <w:pPr>
              <w:pStyle w:val="Compact"/>
            </w:pPr>
            <w:r>
              <w:t xml:space="preserve">$1,4M-$2,1M</w:t>
            </w:r>
          </w:p>
        </w:tc>
        <w:tc>
          <w:tcPr/>
          <w:p>
            <w:pPr>
              <w:pStyle w:val="Compact"/>
            </w:pPr>
            <w:r>
              <w:t xml:space="preserve">3-5 Jahre</w:t>
            </w:r>
          </w:p>
        </w:tc>
        <w:tc>
          <w:tcPr/>
          <w:p>
            <w:pPr>
              <w:pStyle w:val="Compact"/>
              <w:jc w:val="left"/>
            </w:pPr>
            <w:r>
              <w:t xml:space="preserve">Betriebliche Compliance; Produktionseffekte</w:t>
            </w:r>
          </w:p>
        </w:tc>
      </w:tr>
      <w:tr>
        <w:tc>
          <w:tcPr/>
          <w:p>
            <w:pPr>
              <w:pStyle w:val="Compact"/>
              <w:jc w:val="left"/>
            </w:pPr>
            <w:r>
              <w:t xml:space="preserve">Nur Solar</w:t>
            </w:r>
            <w:r>
              <w:br/>
            </w:r>
          </w:p>
        </w:tc>
        <w:tc>
          <w:tcPr/>
          <w:p>
            <w:pPr>
              <w:pStyle w:val="Compact"/>
            </w:pPr>
            <w:r>
              <w:t xml:space="preserve">$31M</w:t>
            </w:r>
            <w:r>
              <w:br/>
            </w:r>
          </w:p>
        </w:tc>
        <w:tc>
          <w:tcPr/>
          <w:p>
            <w:pPr>
              <w:pStyle w:val="Compact"/>
            </w:pPr>
            <w:r>
              <w:t xml:space="preserve">$3,0M-$4,4M 7</w:t>
            </w:r>
          </w:p>
        </w:tc>
        <w:tc>
          <w:tcPr/>
          <w:p>
            <w:pPr>
              <w:pStyle w:val="Compact"/>
            </w:pPr>
            <w:r>
              <w:t xml:space="preserve">-10 Jahre N</w:t>
            </w:r>
          </w:p>
        </w:tc>
        <w:tc>
          <w:tcPr/>
          <w:p>
            <w:pPr>
              <w:pStyle w:val="Compact"/>
              <w:jc w:val="left"/>
            </w:pPr>
            <w:r>
              <w:t xml:space="preserve">etzanschluss; Anreize; Einspeisewert</w:t>
            </w:r>
          </w:p>
        </w:tc>
      </w:tr>
      <w:tr>
        <w:tc>
          <w:tcPr/>
          <w:p>
            <w:pPr>
              <w:pStyle w:val="Compact"/>
              <w:jc w:val="left"/>
            </w:pPr>
            <w:r>
              <w:t xml:space="preserve">Solar plus Batterie</w:t>
            </w:r>
          </w:p>
        </w:tc>
        <w:tc>
          <w:tcPr/>
          <w:p>
            <w:pPr>
              <w:pStyle w:val="Compact"/>
            </w:pPr>
            <w:r>
              <w:t xml:space="preserve">$48M</w:t>
            </w:r>
          </w:p>
        </w:tc>
        <w:tc>
          <w:tcPr/>
          <w:p>
            <w:pPr>
              <w:pStyle w:val="Compact"/>
            </w:pPr>
            <w:r>
              <w:t xml:space="preserve">$4,6M-$7,0M</w:t>
            </w:r>
          </w:p>
        </w:tc>
        <w:tc>
          <w:tcPr/>
          <w:p>
            <w:pPr>
              <w:pStyle w:val="Compact"/>
            </w:pPr>
            <w:r>
              <w:t xml:space="preserve">7-11 Jahre</w:t>
            </w:r>
          </w:p>
        </w:tc>
        <w:tc>
          <w:tcPr/>
          <w:p>
            <w:pPr>
              <w:pStyle w:val="Compact"/>
              <w:jc w:val="left"/>
            </w:pPr>
            <w:r>
              <w:t xml:space="preserve">Leistungsgebühren; Degradation; Dispatch-Wert</w:t>
            </w:r>
          </w:p>
        </w:tc>
      </w:tr>
      <w:tr>
        <w:tc>
          <w:tcPr/>
          <w:p>
            <w:pPr>
              <w:pStyle w:val="Compact"/>
              <w:jc w:val="left"/>
            </w:pPr>
            <w:r>
              <w:t xml:space="preserve">Nur Batterie</w:t>
            </w:r>
          </w:p>
        </w:tc>
        <w:tc>
          <w:tcPr/>
          <w:p>
            <w:pPr>
              <w:pStyle w:val="Compact"/>
            </w:pPr>
            <w:r>
              <w:t xml:space="preserve">$18M</w:t>
            </w:r>
          </w:p>
        </w:tc>
        <w:tc>
          <w:tcPr/>
          <w:p>
            <w:pPr>
              <w:pStyle w:val="Compact"/>
            </w:pPr>
            <w:r>
              <w:t xml:space="preserve">$1,8M-$3,6M</w:t>
            </w:r>
          </w:p>
        </w:tc>
        <w:tc>
          <w:tcPr/>
          <w:p>
            <w:pPr>
              <w:pStyle w:val="Compact"/>
            </w:pPr>
            <w:r>
              <w:t xml:space="preserve">5-10 Jahre</w:t>
            </w:r>
          </w:p>
        </w:tc>
        <w:tc>
          <w:tcPr/>
          <w:p>
            <w:pPr>
              <w:pStyle w:val="Compact"/>
              <w:jc w:val="left"/>
            </w:pPr>
            <w:r>
              <w:t xml:space="preserve">Vorhersagbarkeit der Spitzen; Marktregeln</w:t>
            </w:r>
          </w:p>
        </w:tc>
      </w:tr>
    </w:tbl>
    <w:p>
      <w:pPr>
        <w:pStyle w:val="BodyText"/>
      </w:pPr>
      <w:r>
        <w:t xml:space="preserve">Finanzvorstand Daniel Brooks stellte den Vergleich in Frage. Die Einsparungsschätzungen wurden von verschiedenen Anbietern unter Verwendung unterschiedlicher Stromprognosen, Finanzierungsannahmen, Degradationsraten und Definitionen vermiedener Kosten erstellt. Manche Modelle rechneten der Batterie sowohl den Wert der Spitzenlastreduzierung als auch den Wert der Notstromversorgung an, obwohl dieselbe gespeicherte Energie nicht immer beiden Zwecken gleichzeitig dienen konnte.</w:t>
      </w:r>
    </w:p>
    <w:bookmarkEnd w:id="15"/>
    <w:bookmarkStart w:id="16" w:name="umstellung-der-prozesswärme-auf-erdgas"/>
    <w:p>
      <w:pPr>
        <w:pStyle w:val="Heading2"/>
      </w:pPr>
      <w:r>
        <w:t xml:space="preserve">3. Umstellung der Prozesswärme auf Erdgas</w:t>
      </w:r>
    </w:p>
    <w:p>
      <w:pPr>
        <w:pStyle w:val="FirstParagraph"/>
      </w:pPr>
      <w:r>
        <w:t xml:space="preserve">Die Konstruktionsabteilung von Ridgeway identifizierte sieben elektrische Öfen, zwei Aushärtungssysteme und ein Waschwassererwärmungssystem als mögliche Kandidaten für eine Umstellung auf Erdgas. Zusammen entsprachen sie etwa 26 Gigawattstunden jährlichem Stromverbrauch und 5,8 Megawatt gleichzeitiger Spitzenlast. Eine Umstellung könnte die Stromabhängigkeit verringern, würde aber den direkten Brennstoffverbrauch und die Emissionen erhöhen.</w:t>
      </w:r>
    </w:p>
    <w:p>
      <w:pPr>
        <w:pStyle w:val="BodyText"/>
      </w:pPr>
      <w:r>
        <w:t xml:space="preserve">Erdgaspreise waren historisch volatil, und Strom- und Gaspreise waren nicht unabhängig, da gasbefeuerte Kraftwerke häufig die Großhandelsstrompreise beeinflussten. Der lokale Gasversorger warnte außerdem, dass Ridgeway möglicherweise einen Teil einer Pipelineverstärkung finanzieren müsste. Umweltgenehmigungen könnten 12 bis 24 Monate dauern. Mehrere Kunden hatten begonnen, Informationen zu Produktemissionen anzufordern, was die Sorge aufkommen ließ, dass eine Gasumstellung mit künftigen Beschaffungsanforderungen kollidieren könnte.</w:t>
      </w:r>
    </w:p>
    <w:bookmarkEnd w:id="16"/>
    <w:bookmarkEnd w:id="17"/>
    <w:bookmarkStart w:id="19" w:name="die-umsiedlungsalternative"/>
    <w:p>
      <w:pPr>
        <w:pStyle w:val="Heading1"/>
      </w:pPr>
      <w:r>
        <w:t xml:space="preserve">Die Umsiedlungsalternative</w:t>
      </w:r>
    </w:p>
    <w:p>
      <w:pPr>
        <w:pStyle w:val="FirstParagraph"/>
      </w:pPr>
      <w:r>
        <w:t xml:space="preserve">Die folgenreichste Option war der Bau oder Erwerb eines Werks in einer anderen Region. Der Immobilienberater von Ridgeway identifizierte drei vorläufige Standorte. Jeder hatte niedrigere aktuelle Industriestrompreise als Hamilton County, verfügbares Industrieland und staatliche Wirtschaftsförderungsanreize. Keiner reproduzierte Hamiltons qualifizierte Belegschaft, Zuliefernetzwerk und Kundennähe.</w:t>
      </w:r>
    </w:p>
    <w:bookmarkStart w:id="18" w:name="exhibit-3.-vorläufiger-standortvergleich"/>
    <w:p>
      <w:pPr>
        <w:pStyle w:val="Heading2"/>
      </w:pPr>
      <w:r>
        <w:t xml:space="preserve">Exhibit 3. Vorläufiger Standortvergleich</w:t>
      </w:r>
    </w:p>
    <w:tbl>
      <w:tblPr>
        <w:tblStyle w:val="Table"/>
        <w:tblW w:type="pct" w:w="4905"/>
        <w:tblLayout w:type="fixed"/>
        <w:tblLook w:firstRow="1" w:lastRow="0" w:firstColumn="0" w:lastColumn="0" w:noHBand="0" w:noVBand="0" w:val="0020"/>
      </w:tblPr>
      <w:tblGrid>
        <w:gridCol w:w="2640"/>
        <w:gridCol w:w="1357"/>
        <w:gridCol w:w="1357"/>
        <w:gridCol w:w="1206"/>
        <w:gridCol w:w="1206"/>
      </w:tblGrid>
      <w:tr>
        <w:trPr>
          <w:tblHeader w:val="on"/>
        </w:trPr>
        <w:tc>
          <w:tcPr/>
          <w:p>
            <w:pPr>
              <w:pStyle w:val="Compact"/>
              <w:jc w:val="left"/>
            </w:pPr>
            <w:r>
              <w:t xml:space="preserve">Faktor</w:t>
            </w:r>
          </w:p>
        </w:tc>
        <w:tc>
          <w:tcPr/>
          <w:p>
            <w:pPr>
              <w:pStyle w:val="Compact"/>
              <w:jc w:val="left"/>
            </w:pPr>
            <w:r>
              <w:t xml:space="preserve">Hamilton County</w:t>
            </w:r>
          </w:p>
        </w:tc>
        <w:tc>
          <w:tcPr/>
          <w:p>
            <w:pPr>
              <w:pStyle w:val="Compact"/>
              <w:jc w:val="left"/>
            </w:pPr>
            <w:r>
              <w:t xml:space="preserve">Riverbend State</w:t>
            </w:r>
          </w:p>
        </w:tc>
        <w:tc>
          <w:tcPr/>
          <w:p>
            <w:pPr>
              <w:pStyle w:val="Compact"/>
              <w:jc w:val="left"/>
            </w:pPr>
            <w:r>
              <w:t xml:space="preserve">Prairie State</w:t>
            </w:r>
          </w:p>
        </w:tc>
        <w:tc>
          <w:tcPr/>
          <w:p>
            <w:pPr>
              <w:pStyle w:val="Compact"/>
              <w:jc w:val="left"/>
            </w:pPr>
            <w:r>
              <w:t xml:space="preserve">Gulf State</w:t>
            </w:r>
          </w:p>
        </w:tc>
      </w:tr>
      <w:tr>
        <w:tc>
          <w:tcPr/>
          <w:p>
            <w:pPr>
              <w:pStyle w:val="Compact"/>
              <w:jc w:val="left"/>
            </w:pPr>
            <w:r>
              <w:t xml:space="preserve">Industriestrom: aktuelle Gesamtkost</w:t>
            </w:r>
          </w:p>
        </w:tc>
        <w:tc>
          <w:tcPr/>
          <w:p>
            <w:pPr>
              <w:pStyle w:val="Compact"/>
              <w:jc w:val="left"/>
            </w:pPr>
            <w:r>
              <w:t xml:space="preserve">en $116/MWh</w:t>
            </w:r>
          </w:p>
        </w:tc>
        <w:tc>
          <w:tcPr/>
          <w:p>
            <w:pPr>
              <w:pStyle w:val="Compact"/>
              <w:jc w:val="left"/>
            </w:pPr>
            <w:r>
              <w:t xml:space="preserve">$73/MWh</w:t>
            </w:r>
          </w:p>
        </w:tc>
        <w:tc>
          <w:tcPr/>
          <w:p>
            <w:pPr>
              <w:pStyle w:val="Compact"/>
              <w:jc w:val="left"/>
            </w:pPr>
            <w:r>
              <w:t xml:space="preserve">$68/MWh</w:t>
            </w:r>
          </w:p>
        </w:tc>
        <w:tc>
          <w:tcPr/>
          <w:p>
            <w:pPr>
              <w:pStyle w:val="Compact"/>
              <w:jc w:val="left"/>
            </w:pPr>
            <w:r>
              <w:t xml:space="preserve">$79/MWh</w:t>
            </w:r>
          </w:p>
        </w:tc>
      </w:tr>
      <w:tr>
        <w:tc>
          <w:tcPr/>
          <w:p>
            <w:pPr>
              <w:pStyle w:val="Compact"/>
              <w:jc w:val="left"/>
            </w:pPr>
            <w:r>
              <w:t xml:space="preserve">10-Jahres-Tarifunsicherheit</w:t>
            </w:r>
          </w:p>
        </w:tc>
        <w:tc>
          <w:tcPr/>
          <w:p>
            <w:pPr>
              <w:pStyle w:val="Compact"/>
              <w:jc w:val="left"/>
            </w:pPr>
            <w:r>
              <w:t xml:space="preserve">Hoch</w:t>
            </w:r>
          </w:p>
        </w:tc>
        <w:tc>
          <w:tcPr/>
          <w:p>
            <w:pPr>
              <w:pStyle w:val="Compact"/>
              <w:jc w:val="left"/>
            </w:pPr>
            <w:r>
              <w:t xml:space="preserve">Mittel</w:t>
            </w:r>
          </w:p>
        </w:tc>
        <w:tc>
          <w:tcPr/>
          <w:p>
            <w:pPr>
              <w:pStyle w:val="Compact"/>
              <w:jc w:val="left"/>
            </w:pPr>
            <w:r>
              <w:t xml:space="preserve">Mittel</w:t>
            </w:r>
          </w:p>
        </w:tc>
        <w:tc>
          <w:tcPr/>
          <w:p>
            <w:pPr>
              <w:pStyle w:val="Compact"/>
              <w:jc w:val="left"/>
            </w:pPr>
            <w:r>
              <w:t xml:space="preserve">Hoch</w:t>
            </w:r>
          </w:p>
        </w:tc>
      </w:tr>
      <w:tr>
        <w:tc>
          <w:tcPr/>
          <w:p>
            <w:pPr>
              <w:pStyle w:val="Compact"/>
              <w:jc w:val="left"/>
            </w:pPr>
            <w:r>
              <w:t xml:space="preserve">Erdgaszugang Aus</w:t>
            </w:r>
          </w:p>
        </w:tc>
        <w:tc>
          <w:tcPr/>
          <w:p>
            <w:pPr>
              <w:pStyle w:val="Compact"/>
              <w:jc w:val="left"/>
            </w:pPr>
            <w:r>
              <w:t xml:space="preserve">reichend Sta</w:t>
            </w:r>
          </w:p>
        </w:tc>
        <w:tc>
          <w:tcPr/>
          <w:p>
            <w:pPr>
              <w:pStyle w:val="Compact"/>
              <w:jc w:val="left"/>
            </w:pPr>
            <w:r>
              <w:t xml:space="preserve">rk Sta</w:t>
            </w:r>
          </w:p>
        </w:tc>
        <w:tc>
          <w:tcPr/>
          <w:p>
            <w:pPr>
              <w:pStyle w:val="Compact"/>
              <w:jc w:val="left"/>
            </w:pPr>
            <w:r>
              <w:t xml:space="preserve">rk Sta</w:t>
            </w:r>
          </w:p>
        </w:tc>
        <w:tc>
          <w:tcPr/>
          <w:p>
            <w:pPr>
              <w:pStyle w:val="Compact"/>
              <w:jc w:val="left"/>
            </w:pPr>
            <w:r>
              <w:t xml:space="preserve">rk</w:t>
            </w:r>
          </w:p>
        </w:tc>
      </w:tr>
      <w:tr>
        <w:tc>
          <w:tcPr/>
          <w:p>
            <w:pPr>
              <w:pStyle w:val="Compact"/>
              <w:jc w:val="left"/>
            </w:pPr>
            <w:r>
              <w:t xml:space="preserve">Geschätzte Investition für neues We</w:t>
            </w:r>
          </w:p>
        </w:tc>
        <w:tc>
          <w:tcPr/>
          <w:p>
            <w:pPr>
              <w:pStyle w:val="Compact"/>
              <w:jc w:val="left"/>
            </w:pPr>
            <w:r>
              <w:t xml:space="preserve">rk N/A</w:t>
            </w:r>
          </w:p>
        </w:tc>
        <w:tc>
          <w:tcPr/>
          <w:p>
            <w:pPr>
              <w:pStyle w:val="Compact"/>
              <w:jc w:val="left"/>
            </w:pPr>
            <w:r>
              <w:t xml:space="preserve">$410M</w:t>
            </w:r>
          </w:p>
        </w:tc>
        <w:tc>
          <w:tcPr/>
          <w:p>
            <w:pPr>
              <w:pStyle w:val="Compact"/>
              <w:jc w:val="left"/>
            </w:pPr>
            <w:r>
              <w:t xml:space="preserve">$385M</w:t>
            </w:r>
          </w:p>
        </w:tc>
        <w:tc>
          <w:tcPr/>
          <w:p>
            <w:pPr>
              <w:pStyle w:val="Compact"/>
              <w:jc w:val="left"/>
            </w:pPr>
            <w:r>
              <w:t xml:space="preserve">$430M</w:t>
            </w:r>
          </w:p>
        </w:tc>
      </w:tr>
      <w:tr>
        <w:tc>
          <w:tcPr/>
          <w:p>
            <w:pPr>
              <w:pStyle w:val="Compact"/>
              <w:jc w:val="left"/>
            </w:pPr>
            <w:r>
              <w:t xml:space="preserve">Übergangsphase Entfä</w:t>
            </w:r>
          </w:p>
        </w:tc>
        <w:tc>
          <w:tcPr/>
          <w:p>
            <w:pPr>
              <w:pStyle w:val="Compact"/>
              <w:jc w:val="left"/>
            </w:pPr>
            <w:r>
              <w:t xml:space="preserve">llt 4</w:t>
            </w:r>
          </w:p>
        </w:tc>
        <w:tc>
          <w:tcPr/>
          <w:p>
            <w:pPr>
              <w:pStyle w:val="Compact"/>
              <w:jc w:val="left"/>
            </w:pPr>
            <w:r>
              <w:t xml:space="preserve">-5 Jahre 4</w:t>
            </w:r>
          </w:p>
        </w:tc>
        <w:tc>
          <w:tcPr/>
          <w:p>
            <w:pPr>
              <w:pStyle w:val="Compact"/>
              <w:jc w:val="left"/>
            </w:pPr>
            <w:r>
              <w:t xml:space="preserve">-6 Jahre 4</w:t>
            </w:r>
          </w:p>
        </w:tc>
        <w:tc>
          <w:tcPr/>
          <w:p>
            <w:pPr>
              <w:pStyle w:val="Compact"/>
              <w:jc w:val="left"/>
            </w:pPr>
            <w:r>
              <w:t xml:space="preserve">-5 Jahre</w:t>
            </w:r>
          </w:p>
        </w:tc>
      </w:tr>
      <w:tr>
        <w:tc>
          <w:tcPr/>
          <w:p>
            <w:pPr>
              <w:pStyle w:val="Compact"/>
              <w:jc w:val="left"/>
            </w:pPr>
            <w:r>
              <w:t xml:space="preserve">Verfügbarkeit qualifizierter Arbeit</w:t>
            </w:r>
          </w:p>
        </w:tc>
        <w:tc>
          <w:tcPr/>
          <w:p>
            <w:pPr>
              <w:pStyle w:val="Compact"/>
              <w:jc w:val="left"/>
            </w:pPr>
            <w:r>
              <w:t xml:space="preserve">skräfte Sta</w:t>
            </w:r>
          </w:p>
        </w:tc>
        <w:tc>
          <w:tcPr/>
          <w:p>
            <w:pPr>
              <w:pStyle w:val="Compact"/>
              <w:jc w:val="left"/>
            </w:pPr>
            <w:r>
              <w:t xml:space="preserve">rk Mod</w:t>
            </w:r>
          </w:p>
        </w:tc>
        <w:tc>
          <w:tcPr/>
          <w:p>
            <w:pPr>
              <w:pStyle w:val="Compact"/>
              <w:jc w:val="left"/>
            </w:pPr>
            <w:r>
              <w:t xml:space="preserve">erat B</w:t>
            </w:r>
          </w:p>
        </w:tc>
        <w:tc>
          <w:tcPr/>
          <w:p>
            <w:pPr>
              <w:pStyle w:val="Compact"/>
              <w:jc w:val="left"/>
            </w:pPr>
            <w:r>
              <w:t xml:space="preserve">egrenzt Moderat</w:t>
            </w:r>
          </w:p>
        </w:tc>
      </w:tr>
      <w:tr>
        <w:tc>
          <w:tcPr/>
          <w:p>
            <w:pPr>
              <w:pStyle w:val="Compact"/>
              <w:jc w:val="left"/>
            </w:pPr>
            <w:r>
              <w:t xml:space="preserve">Frachtwirkung für Kunden</w:t>
            </w:r>
          </w:p>
        </w:tc>
        <w:tc>
          <w:tcPr/>
          <w:p>
            <w:pPr>
              <w:pStyle w:val="Compact"/>
              <w:jc w:val="left"/>
            </w:pPr>
            <w:r>
              <w:t xml:space="preserve">Basiswert</w:t>
            </w:r>
          </w:p>
        </w:tc>
        <w:tc>
          <w:tcPr/>
          <w:p>
            <w:pPr>
              <w:pStyle w:val="Compact"/>
              <w:jc w:val="left"/>
            </w:pPr>
            <w:r>
              <w:t xml:space="preserve">+$7M/Jahr</w:t>
            </w:r>
          </w:p>
        </w:tc>
        <w:tc>
          <w:tcPr/>
          <w:p>
            <w:pPr>
              <w:pStyle w:val="Compact"/>
              <w:jc w:val="left"/>
            </w:pPr>
            <w:r>
              <w:t xml:space="preserve">+$13M/Jahr</w:t>
            </w:r>
          </w:p>
        </w:tc>
        <w:tc>
          <w:tcPr/>
          <w:p>
            <w:pPr>
              <w:pStyle w:val="Compact"/>
              <w:jc w:val="left"/>
            </w:pPr>
            <w:r>
              <w:t xml:space="preserve">+$9M/Jahr</w:t>
            </w:r>
          </w:p>
        </w:tc>
      </w:tr>
      <w:tr>
        <w:tc>
          <w:tcPr/>
          <w:p>
            <w:pPr>
              <w:pStyle w:val="Compact"/>
              <w:jc w:val="left"/>
            </w:pPr>
            <w:r>
              <w:t xml:space="preserve">Staatliche/lokale Anreize</w:t>
            </w:r>
          </w:p>
        </w:tc>
        <w:tc>
          <w:tcPr/>
          <w:p>
            <w:pPr>
              <w:pStyle w:val="Compact"/>
              <w:jc w:val="left"/>
            </w:pPr>
            <w:r>
              <w:t xml:space="preserve">Begrenzt</w:t>
            </w:r>
          </w:p>
        </w:tc>
        <w:tc>
          <w:tcPr/>
          <w:p>
            <w:pPr>
              <w:pStyle w:val="Compact"/>
              <w:jc w:val="left"/>
            </w:pPr>
            <w:r>
              <w:t xml:space="preserve">$54M</w:t>
            </w:r>
          </w:p>
        </w:tc>
        <w:tc>
          <w:tcPr/>
          <w:p>
            <w:pPr>
              <w:pStyle w:val="Compact"/>
              <w:jc w:val="left"/>
            </w:pPr>
            <w:r>
              <w:t xml:space="preserve">$72M</w:t>
            </w:r>
          </w:p>
        </w:tc>
        <w:tc>
          <w:tcPr/>
          <w:p>
            <w:pPr>
              <w:pStyle w:val="Compact"/>
              <w:jc w:val="left"/>
            </w:pPr>
            <w:r>
              <w:t xml:space="preserve">$61M</w:t>
            </w:r>
          </w:p>
        </w:tc>
      </w:tr>
      <w:tr>
        <w:tc>
          <w:tcPr/>
          <w:p>
            <w:pPr>
              <w:pStyle w:val="Compact"/>
              <w:jc w:val="left"/>
            </w:pPr>
            <w:r>
              <w:t xml:space="preserve">Wetterexposition M</w:t>
            </w:r>
          </w:p>
        </w:tc>
        <w:tc>
          <w:tcPr/>
          <w:p>
            <w:pPr>
              <w:pStyle w:val="Compact"/>
              <w:jc w:val="left"/>
            </w:pPr>
            <w:r>
              <w:t xml:space="preserve">oderat Ü</w:t>
            </w:r>
          </w:p>
        </w:tc>
        <w:tc>
          <w:tcPr/>
          <w:p>
            <w:pPr>
              <w:pStyle w:val="Compact"/>
              <w:jc w:val="left"/>
            </w:pPr>
            <w:r>
              <w:t xml:space="preserve">berschwemmung W</w:t>
            </w:r>
          </w:p>
        </w:tc>
        <w:tc>
          <w:tcPr/>
          <w:p>
            <w:pPr>
              <w:pStyle w:val="Compact"/>
              <w:jc w:val="left"/>
            </w:pPr>
            <w:r>
              <w:t xml:space="preserve">interstürme H</w:t>
            </w:r>
          </w:p>
        </w:tc>
        <w:tc>
          <w:tcPr/>
          <w:p>
            <w:pPr>
              <w:pStyle w:val="Compact"/>
              <w:jc w:val="left"/>
            </w:pPr>
            <w:r>
              <w:t xml:space="preserve">urrikane</w:t>
            </w:r>
          </w:p>
        </w:tc>
      </w:tr>
    </w:tbl>
    <w:p>
      <w:pPr>
        <w:pStyle w:val="BodyText"/>
      </w:pPr>
      <w:r>
        <w:t xml:space="preserve">Ein vollständiger Umzug war nicht die einzige Netzwerkalternative. Ridgeway könnte nur die energieintensivsten Prozesse verlegen, ein zweites Werk hinzufügen, die Wärmebehandlung auslagern oder anderswo neue Kapazität aufbauen, während die Rolle von Hamilton allmählich reduziert wird. Jeder Ansatz erzeugte Koordinationskosten, doppelte Bestände und Qualitätskontrollprobleme. Kunden in regulierten Branchen könnten Monate der Validierung benötigen, bevor sie Produkte von einer neuen Anlage akzeptieren.</w:t>
      </w:r>
    </w:p>
    <w:p>
      <w:pPr>
        <w:pStyle w:val="BodyText"/>
      </w:pPr>
      <w:r>
        <w:t xml:space="preserve">Die Personalabteilung schätzte, dass weniger als 20 % der Hamilton-Mitarbeiter umziehen würden. Der Ersatz erfahrener Schweißer, Maschinenbediener, Prüfer, Wartungsspezialisten und Produktionsleiter könnte die Hochlaufphase verlängern. Die Gemeinde Hamilton hatte Ridgeway durch frühere Abschwünge unterstützt, und lokale Amtsträger warnten, dass eine Schließung Zulieferer, Schulen und die kommunale Finanzlage beeinträchtigen würde.</w:t>
      </w:r>
    </w:p>
    <w:bookmarkEnd w:id="18"/>
    <w:bookmarkEnd w:id="19"/>
    <w:bookmarkStart w:id="21" w:name="X87ad97f6572f7569767929c263a3067fdaedc6a"/>
    <w:p>
      <w:pPr>
        <w:pStyle w:val="Heading1"/>
      </w:pPr>
      <w:r>
        <w:t xml:space="preserve">Welches Problem löste Ridgeway eigentlich?</w:t>
      </w:r>
    </w:p>
    <w:p>
      <w:pPr>
        <w:pStyle w:val="FirstParagraph"/>
      </w:pPr>
      <w:r>
        <w:t xml:space="preserve">Das Führungsteam war sich über die Zielsetzung nicht einig. Brooks fasste das Problem als die Minimierung des Barwerts der Energie- und Übergangskosten auf. Shah betonte die Reduzierung der Spitzenlast und die Resilienz. Der Fertigungsleiter wollte Durchsatz, Qualität und Kundenservice schützen. Die Nachhaltigkeitsdirektorin argumentierte, dass Kapitalentscheidungen mit wahrscheinlichen Emissionsanforderungen der Kunden übereinstimmen sollten. Der Strategiedirektor betrachtete das Stromthema als ein Element einer umfassenderen Frage: ob Hamilton der richtige Standort für die nächste Generation der Produktionstechnologie von Ridgeway blieb.</w:t>
      </w:r>
    </w:p>
    <w:p>
      <w:pPr>
        <w:pStyle w:val="BodyText"/>
      </w:pPr>
      <w:r>
        <w:t xml:space="preserve">Die Wahl der Zielsetzung veränderte die Analyse. Ein Solar-und-Speicher-Projekt könnte eine niedrigere finanzielle Rendite als ein Effizienzprojekt haben, aber mehr Schutz vor Stromausfällen bieten. Eine Erdgasumstellung könnte die kurzfristigen Kosten senken, aber die Exponierung gegenüber der CO2-Regulierung erhöhen. Eine Umsiedlung könnte niedrigere Energiepreise bieten, aber höhere Fracht-, Arbeits- und Umsetzungskosten verursachen. Eine auf aktuellen Tarifen basierende Entscheidung könnte anders aussehen als eine, die auf der Flexibilität beruht, auf künftige Bedingungen zu reagieren.</w:t>
      </w:r>
    </w:p>
    <w:bookmarkStart w:id="20" w:name="X5682ba377e65c4a33d33fbd34868a1f8341926d"/>
    <w:p>
      <w:pPr>
        <w:pStyle w:val="Heading2"/>
      </w:pPr>
      <w:r>
        <w:t xml:space="preserve">Vom Projektteam vorgeschlagene Kennzahlen</w:t>
      </w:r>
    </w:p>
    <w:p>
      <w:pPr>
        <w:numPr>
          <w:ilvl w:val="0"/>
          <w:numId w:val="1001"/>
        </w:numPr>
      </w:pPr>
      <w:r>
        <w:t xml:space="preserve">Nettobarwert und jährlicher Liquiditätsbedarf über 5-, 10-, 15- und 20-Jahres-Horizonte.</w:t>
      </w:r>
    </w:p>
    <w:p>
      <w:pPr>
        <w:numPr>
          <w:ilvl w:val="0"/>
          <w:numId w:val="1001"/>
        </w:numPr>
      </w:pPr>
      <w:r>
        <w:t xml:space="preserve">Fertigungskosten pro Einheit, einschließlich Energie, Arbeit, Fracht, Bestand und Übergangseffekte.</w:t>
      </w:r>
    </w:p>
    <w:p>
      <w:pPr>
        <w:numPr>
          <w:ilvl w:val="0"/>
          <w:numId w:val="1001"/>
        </w:numPr>
      </w:pPr>
      <w:r>
        <w:t xml:space="preserve">Erwartete verlorene Produktionsstunden und der Wert verbesserter Resilienz.</w:t>
      </w:r>
    </w:p>
    <w:p>
      <w:pPr>
        <w:numPr>
          <w:ilvl w:val="0"/>
          <w:numId w:val="1001"/>
        </w:numPr>
      </w:pPr>
      <w:r>
        <w:t xml:space="preserve">Treibhausgasemissionen und Exponierung gegenüber künftigen Kunden- oder regulatorischen Anforderungen.</w:t>
      </w:r>
    </w:p>
    <w:p>
      <w:pPr>
        <w:numPr>
          <w:ilvl w:val="0"/>
          <w:numId w:val="1001"/>
        </w:numPr>
      </w:pPr>
      <w:r>
        <w:t xml:space="preserve">Umsetzungszeit, Verzögerungswahrscheinlichkeit und Wahrscheinlichkeit einer Kostenüberschreitung.</w:t>
      </w:r>
    </w:p>
    <w:p>
      <w:pPr>
        <w:numPr>
          <w:ilvl w:val="0"/>
          <w:numId w:val="1001"/>
        </w:numPr>
      </w:pPr>
      <w:r>
        <w:t xml:space="preserve">Reversibilität: die Fähigkeit, die Investition zu erweitern, zu stoppen oder umzulenken, wenn sich die Bedingungen ändern.</w:t>
      </w:r>
    </w:p>
    <w:p>
      <w:pPr>
        <w:numPr>
          <w:ilvl w:val="0"/>
          <w:numId w:val="1001"/>
        </w:numPr>
      </w:pPr>
      <w:r>
        <w:t xml:space="preserve">Auswirkungen auf Mitarbeiter, Zulieferer, Kunden und die Gemeinde Hamilton.</w:t>
      </w:r>
    </w:p>
    <w:bookmarkEnd w:id="20"/>
    <w:bookmarkEnd w:id="21"/>
    <w:bookmarkStart w:id="24" w:name="unsicherheit-in-jede-richtung"/>
    <w:p>
      <w:pPr>
        <w:pStyle w:val="Heading1"/>
      </w:pPr>
      <w:r>
        <w:t xml:space="preserve">Unsicherheit in jede Richtung</w:t>
      </w:r>
    </w:p>
    <w:p>
      <w:pPr>
        <w:pStyle w:val="FirstParagraph"/>
      </w:pPr>
      <w:r>
        <w:t xml:space="preserve">Das Projektteam entwickelte drei Stromtarifszenarien, konnte sich aber nicht auf Wahrscheinlichkeiten einigen. Das Hochszenario des Versorgers ging von rapidem Wachstum der Rechenzentren und erheblichen Übertragungsinvestitionen aus. Sein Niedrigszenario ging davon aus, dass große neue Nutzer einen größeren Teil der erforderlichen Infrastruktur finanzieren würden und dass mehrere geplante Projekte verzögert oder abgesagt würden. Die Berater von Ridgeway fügten eine vierte Möglichkeit hinzu: Regionale Regulierungsbehörden könnten einen speziellen Tarif für sehr große neue Lasten einführen, der den Kostendruck auf bestehende Kunden verringern würde.</w:t>
      </w:r>
    </w:p>
    <w:bookmarkStart w:id="22" w:name="Xaa2558a180632d1ac518a0d1f73ff561a07ac86"/>
    <w:p>
      <w:pPr>
        <w:pStyle w:val="Heading2"/>
      </w:pPr>
      <w:r>
        <w:t xml:space="preserve">Exhibit 4. Stromtarifszenarien für Hamilton</w:t>
      </w:r>
    </w:p>
    <w:tbl>
      <w:tblPr>
        <w:tblStyle w:val="Table"/>
        <w:tblW w:type="pct" w:w="4921"/>
        <w:tblLayout w:type="fixed"/>
        <w:tblLook w:firstRow="1" w:lastRow="0" w:firstColumn="0" w:lastColumn="0" w:noHBand="0" w:noVBand="0" w:val="0020"/>
      </w:tblPr>
      <w:tblGrid>
        <w:gridCol w:w="1194"/>
        <w:gridCol w:w="1194"/>
        <w:gridCol w:w="1194"/>
        <w:gridCol w:w="4211"/>
      </w:tblGrid>
      <w:tr>
        <w:trPr>
          <w:tblHeader w:val="on"/>
        </w:trPr>
        <w:tc>
          <w:tcPr/>
          <w:p>
            <w:pPr>
              <w:pStyle w:val="Compact"/>
              <w:jc w:val="left"/>
            </w:pPr>
            <w:r>
              <w:t xml:space="preserve">Szenario</w:t>
            </w:r>
          </w:p>
        </w:tc>
        <w:tc>
          <w:tcPr/>
          <w:p>
            <w:pPr>
              <w:pStyle w:val="Compact"/>
              <w:jc w:val="left"/>
            </w:pPr>
            <w:r>
              <w:t xml:space="preserve">Gesamtkosten 2030</w:t>
            </w:r>
          </w:p>
        </w:tc>
        <w:tc>
          <w:tcPr/>
          <w:p>
            <w:pPr>
              <w:pStyle w:val="Compact"/>
              <w:jc w:val="right"/>
            </w:pPr>
            <w:r>
              <w:t xml:space="preserve">Gesamtkosten 2035</w:t>
            </w:r>
          </w:p>
        </w:tc>
        <w:tc>
          <w:tcPr/>
          <w:p>
            <w:pPr>
              <w:pStyle w:val="Compact"/>
              <w:jc w:val="center"/>
            </w:pPr>
            <w:r>
              <w:t xml:space="preserve">Beschreibung</w:t>
            </w:r>
          </w:p>
        </w:tc>
      </w:tr>
      <w:tr>
        <w:tc>
          <w:tcPr/>
          <w:p>
            <w:pPr>
              <w:pStyle w:val="Compact"/>
              <w:jc w:val="left"/>
            </w:pPr>
            <w:r>
              <w:t xml:space="preserve">Entlastung</w:t>
            </w:r>
          </w:p>
        </w:tc>
        <w:tc>
          <w:tcPr/>
          <w:p>
            <w:pPr>
              <w:pStyle w:val="Compact"/>
              <w:jc w:val="left"/>
            </w:pPr>
            <w:r>
              <w:t xml:space="preserve">$124/MWh</w:t>
            </w:r>
          </w:p>
        </w:tc>
        <w:tc>
          <w:tcPr/>
          <w:p>
            <w:pPr>
              <w:pStyle w:val="Compact"/>
              <w:jc w:val="right"/>
            </w:pPr>
            <w:r>
              <w:t xml:space="preserve">$130/MWh</w:t>
            </w:r>
          </w:p>
        </w:tc>
        <w:tc>
          <w:tcPr/>
          <w:p>
            <w:pPr>
              <w:pStyle w:val="Compact"/>
              <w:jc w:val="center"/>
            </w:pPr>
            <w:r>
              <w:t xml:space="preserve">Neue Großlast-Tarife und langsamerer Bau von Rechenzentren</w:t>
            </w:r>
          </w:p>
        </w:tc>
      </w:tr>
      <w:tr>
        <w:tc>
          <w:tcPr/>
          <w:p>
            <w:pPr>
              <w:pStyle w:val="Compact"/>
              <w:jc w:val="left"/>
            </w:pPr>
            <w:r>
              <w:t xml:space="preserve">Verwaltetes Wachstu</w:t>
            </w:r>
          </w:p>
        </w:tc>
        <w:tc>
          <w:tcPr/>
          <w:p>
            <w:pPr>
              <w:pStyle w:val="Compact"/>
              <w:jc w:val="left"/>
            </w:pPr>
            <w:r>
              <w:t xml:space="preserve">m $145/MWh</w:t>
            </w:r>
          </w:p>
        </w:tc>
        <w:tc>
          <w:tcPr/>
          <w:p>
            <w:pPr>
              <w:pStyle w:val="Compact"/>
              <w:jc w:val="right"/>
            </w:pPr>
            <w:r>
              <w:t xml:space="preserve">$158/MWh</w:t>
            </w:r>
          </w:p>
        </w:tc>
        <w:tc>
          <w:tcPr/>
          <w:p>
            <w:pPr>
              <w:pStyle w:val="Compact"/>
              <w:jc w:val="center"/>
            </w:pPr>
            <w:r>
              <w:t xml:space="preserve">Netzinvestitionen auf Kunden verteilt; moderates Nachfragewachstum</w:t>
            </w:r>
          </w:p>
        </w:tc>
      </w:tr>
      <w:tr>
        <w:tc>
          <w:tcPr/>
          <w:p>
            <w:pPr>
              <w:pStyle w:val="Compact"/>
              <w:jc w:val="left"/>
            </w:pPr>
            <w:r>
              <w:t xml:space="preserve">Kapazitätsengpass</w:t>
            </w:r>
          </w:p>
        </w:tc>
        <w:tc>
          <w:tcPr/>
          <w:p>
            <w:pPr>
              <w:pStyle w:val="Compact"/>
              <w:jc w:val="left"/>
            </w:pPr>
            <w:r>
              <w:t xml:space="preserve">$171/MWh</w:t>
            </w:r>
          </w:p>
        </w:tc>
        <w:tc>
          <w:tcPr/>
          <w:p>
            <w:pPr>
              <w:pStyle w:val="Compact"/>
              <w:jc w:val="right"/>
            </w:pPr>
            <w:r>
              <w:t xml:space="preserve">$198/MWh</w:t>
            </w:r>
          </w:p>
        </w:tc>
        <w:tc>
          <w:tcPr/>
          <w:p>
            <w:pPr>
              <w:pStyle w:val="Compact"/>
              <w:jc w:val="center"/>
            </w:pPr>
            <w:r>
              <w:t xml:space="preserve">Schnelle Lastzunahmen, Verzögerungen bei der Übertragung, hohe Kapazitätsgebühren</w:t>
            </w:r>
          </w:p>
        </w:tc>
      </w:tr>
      <w:tr>
        <w:tc>
          <w:tcPr/>
          <w:p>
            <w:pPr>
              <w:pStyle w:val="Compact"/>
              <w:jc w:val="left"/>
            </w:pPr>
            <w:r>
              <w:t xml:space="preserve">Volatiles Netz</w:t>
            </w:r>
            <w:r>
              <w:br/>
            </w:r>
          </w:p>
        </w:tc>
        <w:tc>
          <w:tcPr/>
          <w:p>
            <w:pPr>
              <w:pStyle w:val="Compact"/>
              <w:jc w:val="left"/>
            </w:pPr>
            <w:r>
              <w:t xml:space="preserve">$135-$190/MWh</w:t>
            </w:r>
            <w:r>
              <w:br/>
            </w:r>
          </w:p>
        </w:tc>
        <w:tc>
          <w:tcPr/>
          <w:p>
            <w:pPr>
              <w:pStyle w:val="Compact"/>
              <w:jc w:val="right"/>
            </w:pPr>
            <w:r>
              <w:t xml:space="preserve">$140-$220/MWh H</w:t>
            </w:r>
          </w:p>
        </w:tc>
        <w:tc>
          <w:tcPr/>
          <w:p>
            <w:pPr>
              <w:pStyle w:val="Compact"/>
              <w:jc w:val="center"/>
            </w:pPr>
            <w:r>
              <w:t xml:space="preserve">äufige Preisspitzen und wechselnde Tarifstrukturen</w:t>
            </w:r>
          </w:p>
        </w:tc>
      </w:tr>
    </w:tbl>
    <w:p>
      <w:pPr>
        <w:pStyle w:val="BodyText"/>
      </w:pPr>
      <w:r>
        <w:t xml:space="preserve">Erdgasprognosen waren ebenso unsicher. Das technische Modell verwendete einen Lieferpreis von $6,40 pro Million Btu, der jährlich um 2,5 % steigt. Die Finanzabteilung forderte Sensitivitäten bei $4, $8 und $12. Das Nachhaltigkeitsteam bat um ein CO2-Kostenszenario. Der Betrieb fragte, ob die Gasversorgung bei extremem Winterwetter eingeschränkt würde.</w:t>
      </w:r>
    </w:p>
    <w:p>
      <w:pPr>
        <w:pStyle w:val="BodyText"/>
      </w:pPr>
      <w:r>
        <w:t xml:space="preserve">Auch Technologie- und Politikannahmen waren von Bedeutung. Solar- und Batterieangebote könnten sich vor der Netzanschlussgenehmigung ändern. Steueranreize könnten geändert werden. Die Batterieleistung würde von Ladezyklusmustern und Temperatur abhängen. Ein neuer, in Entwicklung befindlicher Fertigungsprozess könnte den Ofeneinsatz um 40 % reduzieren — oder bei Kunden nicht qualifizieren. Der größte Kunde von Ridgeway verhandelte über einen Fünfjahresvertrag, der das Hamilton-Volumen um 18 % erhöhen könnte, aber der Zuschlag war nicht gesichert.</w:t>
      </w:r>
    </w:p>
    <w:bookmarkEnd w:id="22"/>
    <w:bookmarkStart w:id="23" w:name="Xf3c858b4735c6458329e41e2aa30b9b7c34b9ea"/>
    <w:p>
      <w:pPr>
        <w:pStyle w:val="Heading2"/>
      </w:pPr>
      <w:r>
        <w:t xml:space="preserve">Exhibit 5. Wesentliche Unsicherheiten und potenziell betroffene Entscheidungen</w:t>
      </w:r>
    </w:p>
    <w:tbl>
      <w:tblPr>
        <w:tblStyle w:val="Table"/>
        <w:tblW w:type="pct" w:w="4938"/>
        <w:tblLayout w:type="fixed"/>
        <w:tblLook w:firstRow="1" w:lastRow="0" w:firstColumn="0" w:lastColumn="0" w:noHBand="0" w:noVBand="0" w:val="0020"/>
      </w:tblPr>
      <w:tblGrid>
        <w:gridCol w:w="1672"/>
        <w:gridCol w:w="1721"/>
        <w:gridCol w:w="2164"/>
        <w:gridCol w:w="2262"/>
      </w:tblGrid>
      <w:tr>
        <w:trPr>
          <w:tblHeader w:val="on"/>
        </w:trPr>
        <w:tc>
          <w:tcPr/>
          <w:p>
            <w:pPr>
              <w:pStyle w:val="Compact"/>
              <w:jc w:val="left"/>
            </w:pPr>
            <w:r>
              <w:t xml:space="preserve">Unsicherheit</w:t>
            </w:r>
          </w:p>
        </w:tc>
        <w:tc>
          <w:tcPr/>
          <w:p>
            <w:pPr>
              <w:pStyle w:val="Compact"/>
              <w:jc w:val="center"/>
            </w:pPr>
            <w:r>
              <w:t xml:space="preserve">Niedriges/alternatives Ergebnis</w:t>
            </w:r>
          </w:p>
        </w:tc>
        <w:tc>
          <w:tcPr/>
          <w:p>
            <w:pPr>
              <w:pStyle w:val="Compact"/>
              <w:jc w:val="center"/>
            </w:pPr>
            <w:r>
              <w:t xml:space="preserve">Hohes/alternatives Ergebnis</w:t>
            </w:r>
          </w:p>
        </w:tc>
        <w:tc>
          <w:tcPr/>
          <w:p>
            <w:pPr>
              <w:pStyle w:val="Compact"/>
              <w:jc w:val="right"/>
            </w:pPr>
            <w:r>
              <w:t xml:space="preserve">Am stärksten betroffene Entscheidungen</w:t>
            </w:r>
          </w:p>
        </w:tc>
      </w:tr>
      <w:tr>
        <w:tc>
          <w:tcPr/>
          <w:p>
            <w:pPr>
              <w:pStyle w:val="Compact"/>
              <w:jc w:val="left"/>
            </w:pPr>
            <w:r>
              <w:t xml:space="preserve">Regionale Stromtarife Koste</w:t>
            </w:r>
          </w:p>
        </w:tc>
        <w:tc>
          <w:tcPr/>
          <w:p>
            <w:pPr>
              <w:pStyle w:val="Compact"/>
              <w:jc w:val="center"/>
            </w:pPr>
            <w:r>
              <w:t xml:space="preserve">n stabilisieren sich</w:t>
            </w:r>
          </w:p>
        </w:tc>
        <w:tc>
          <w:tcPr/>
          <w:p>
            <w:pPr>
              <w:pStyle w:val="Compact"/>
              <w:jc w:val="center"/>
            </w:pPr>
            <w:r>
              <w:t xml:space="preserve">Tarife und Leistungsgebühren steigen st</w:t>
            </w:r>
          </w:p>
        </w:tc>
        <w:tc>
          <w:tcPr/>
          <w:p>
            <w:pPr>
              <w:pStyle w:val="Compact"/>
              <w:jc w:val="right"/>
            </w:pPr>
            <w:r>
              <w:t xml:space="preserve">ark Umsiedlung, Solar, Speicher, Effizienz</w:t>
            </w:r>
          </w:p>
        </w:tc>
      </w:tr>
      <w:tr>
        <w:tc>
          <w:tcPr/>
          <w:p>
            <w:pPr>
              <w:pStyle w:val="Compact"/>
              <w:jc w:val="left"/>
            </w:pPr>
            <w:r>
              <w:t xml:space="preserve">Erdgaspreise Rei</w:t>
            </w:r>
          </w:p>
        </w:tc>
        <w:tc>
          <w:tcPr/>
          <w:p>
            <w:pPr>
              <w:pStyle w:val="Compact"/>
              <w:jc w:val="center"/>
            </w:pPr>
            <w:r>
              <w:t xml:space="preserve">chliches Angebot; moderate Preise</w:t>
            </w:r>
          </w:p>
        </w:tc>
        <w:tc>
          <w:tcPr/>
          <w:p>
            <w:pPr>
              <w:pStyle w:val="Compact"/>
              <w:jc w:val="center"/>
            </w:pPr>
            <w:r>
              <w:t xml:space="preserve">Exportnachfrage oder Störung erhöht Preise</w:t>
            </w:r>
          </w:p>
        </w:tc>
        <w:tc>
          <w:tcPr/>
          <w:p>
            <w:pPr>
              <w:pStyle w:val="Compact"/>
              <w:jc w:val="right"/>
            </w:pPr>
            <w:r>
              <w:t xml:space="preserve">Prozessumstellung, KWK</w:t>
            </w:r>
          </w:p>
        </w:tc>
      </w:tr>
      <w:tr>
        <w:tc>
          <w:tcPr/>
          <w:p>
            <w:pPr>
              <w:pStyle w:val="Compact"/>
              <w:jc w:val="left"/>
            </w:pPr>
            <w:r>
              <w:t xml:space="preserve">Produktionsnachfrage</w:t>
            </w:r>
          </w:p>
        </w:tc>
        <w:tc>
          <w:tcPr/>
          <w:p>
            <w:pPr>
              <w:pStyle w:val="Compact"/>
              <w:jc w:val="center"/>
            </w:pPr>
            <w:r>
              <w:t xml:space="preserve">Flach oder rückläufig</w:t>
            </w:r>
          </w:p>
        </w:tc>
        <w:tc>
          <w:tcPr/>
          <w:p>
            <w:pPr>
              <w:pStyle w:val="Compact"/>
              <w:jc w:val="center"/>
            </w:pPr>
            <w:r>
              <w:t xml:space="preserve">Großer Kundenauftrag; 18 % Wachstu</w:t>
            </w:r>
          </w:p>
        </w:tc>
        <w:tc>
          <w:tcPr/>
          <w:p>
            <w:pPr>
              <w:pStyle w:val="Compact"/>
              <w:jc w:val="right"/>
            </w:pPr>
            <w:r>
              <w:t xml:space="preserve">m Werksgröße, Umsiedlung, Solarumfang</w:t>
            </w:r>
          </w:p>
        </w:tc>
      </w:tr>
      <w:tr>
        <w:tc>
          <w:tcPr/>
          <w:p>
            <w:pPr>
              <w:pStyle w:val="Compact"/>
              <w:jc w:val="left"/>
            </w:pPr>
            <w:r>
              <w:t xml:space="preserve">Emissionsanforderungen der Kunden</w:t>
            </w:r>
          </w:p>
        </w:tc>
        <w:tc>
          <w:tcPr/>
          <w:p>
            <w:pPr>
              <w:pStyle w:val="Compact"/>
              <w:jc w:val="center"/>
            </w:pPr>
            <w:r>
              <w:t xml:space="preserve">Freiwillige Berichterstattung V</w:t>
            </w:r>
          </w:p>
        </w:tc>
        <w:tc>
          <w:tcPr/>
          <w:p>
            <w:pPr>
              <w:pStyle w:val="Compact"/>
              <w:jc w:val="center"/>
            </w:pPr>
            <w:r>
              <w:t xml:space="preserve">erbindliche Beschaffungsschwellenwerte</w:t>
            </w:r>
          </w:p>
        </w:tc>
        <w:tc>
          <w:tcPr/>
          <w:p>
            <w:pPr>
              <w:pStyle w:val="Compact"/>
              <w:jc w:val="right"/>
            </w:pPr>
            <w:r>
              <w:t xml:space="preserve">Erdgas, Umsiedlung, erneuerbare Beschaffung</w:t>
            </w:r>
          </w:p>
        </w:tc>
      </w:tr>
      <w:tr>
        <w:tc>
          <w:tcPr/>
          <w:p>
            <w:pPr>
              <w:pStyle w:val="Compact"/>
              <w:jc w:val="left"/>
            </w:pPr>
            <w:r>
              <w:t xml:space="preserve">Zeitpunkt des Netzanschlusses</w:t>
            </w:r>
          </w:p>
        </w:tc>
        <w:tc>
          <w:tcPr/>
          <w:p>
            <w:pPr>
              <w:pStyle w:val="Compact"/>
              <w:jc w:val="center"/>
            </w:pPr>
            <w:r>
              <w:t xml:space="preserve">18 Monate</w:t>
            </w:r>
          </w:p>
        </w:tc>
        <w:tc>
          <w:tcPr/>
          <w:p>
            <w:pPr>
              <w:pStyle w:val="Compact"/>
              <w:jc w:val="center"/>
            </w:pPr>
            <w:r>
              <w:t xml:space="preserve">4+ Jahre und größere Kosten für Ausbau</w:t>
            </w:r>
          </w:p>
        </w:tc>
        <w:tc>
          <w:tcPr/>
          <w:p>
            <w:pPr>
              <w:pStyle w:val="Compact"/>
              <w:jc w:val="right"/>
            </w:pPr>
            <w:r>
              <w:t xml:space="preserve">Solar und Batterie</w:t>
            </w:r>
          </w:p>
        </w:tc>
      </w:tr>
      <w:tr>
        <w:tc>
          <w:tcPr/>
          <w:p>
            <w:pPr>
              <w:pStyle w:val="Compact"/>
              <w:jc w:val="left"/>
            </w:pPr>
            <w:r>
              <w:t xml:space="preserve">Neue Prozesstechnologie</w:t>
            </w:r>
          </w:p>
        </w:tc>
        <w:tc>
          <w:tcPr/>
          <w:p>
            <w:pPr>
              <w:pStyle w:val="Compact"/>
              <w:jc w:val="center"/>
            </w:pPr>
            <w:r>
              <w:t xml:space="preserve">Erfolgreiche Qualifizierung</w:t>
            </w:r>
          </w:p>
        </w:tc>
        <w:tc>
          <w:tcPr/>
          <w:p>
            <w:pPr>
              <w:pStyle w:val="Compact"/>
              <w:jc w:val="center"/>
            </w:pPr>
            <w:r>
              <w:t xml:space="preserve">Verzögerung oder technisches Scheitern</w:t>
            </w:r>
          </w:p>
        </w:tc>
        <w:tc>
          <w:tcPr/>
          <w:p>
            <w:pPr>
              <w:pStyle w:val="Compact"/>
              <w:jc w:val="right"/>
            </w:pPr>
            <w:r>
              <w:t xml:space="preserve">Ofenumstellung, Kapazitätsplanung</w:t>
            </w:r>
          </w:p>
        </w:tc>
      </w:tr>
      <w:tr>
        <w:tc>
          <w:tcPr/>
          <w:p>
            <w:pPr>
              <w:pStyle w:val="Compact"/>
              <w:jc w:val="left"/>
            </w:pPr>
            <w:r>
              <w:t xml:space="preserve">Ausfallrisiko des Versorgers His</w:t>
            </w:r>
          </w:p>
        </w:tc>
        <w:tc>
          <w:tcPr/>
          <w:p>
            <w:pPr>
              <w:pStyle w:val="Compact"/>
              <w:jc w:val="center"/>
            </w:pPr>
            <w:r>
              <w:t xml:space="preserve">torische Zuverlässigkeit hält an</w:t>
            </w:r>
          </w:p>
        </w:tc>
        <w:tc>
          <w:tcPr/>
          <w:p>
            <w:pPr>
              <w:pStyle w:val="Compact"/>
              <w:jc w:val="center"/>
            </w:pPr>
            <w:r>
              <w:t xml:space="preserve">Netzengpässe erhöhen Unterbrechungen</w:t>
            </w:r>
          </w:p>
        </w:tc>
        <w:tc>
          <w:tcPr/>
          <w:p>
            <w:pPr>
              <w:pStyle w:val="Compact"/>
              <w:jc w:val="right"/>
            </w:pPr>
            <w:r>
              <w:t xml:space="preserve">Batterie, Microgrid, Umsiedlung</w:t>
            </w:r>
          </w:p>
        </w:tc>
      </w:tr>
    </w:tbl>
    <w:bookmarkEnd w:id="23"/>
    <w:bookmarkEnd w:id="24"/>
    <w:bookmarkStart w:id="25" w:name="lernen-vor-der-verpflichtung"/>
    <w:p>
      <w:pPr>
        <w:pStyle w:val="Heading1"/>
      </w:pPr>
      <w:r>
        <w:t xml:space="preserve">Lernen vor der Verpflichtung</w:t>
      </w:r>
    </w:p>
    <w:p>
      <w:pPr>
        <w:pStyle w:val="FirstParagraph"/>
      </w:pPr>
      <w:r>
        <w:t xml:space="preserve">Marquez schlug vor, dass Ridgeway Maßnahmen, die Informationen erzeugen, von Maßnahmen trennt, die das Unternehmen unwiderruflich binden. Die Unterzählung von Produktionslinien, das Aushandeln von Tarifoptionen, die Durchführung von Dach- und Netzanschlussstudien, das Testen automatisierter Spitzenlastregelungen und die Umstellung eines kleinen Ofens könnten nützliche Informationen liefern. Die Sicherung einer Option auf Land in einem anderen Bundesstaat könnte eine Umsiedlungsalternative bewahren, ohne den Bau zu genehmigen.</w:t>
      </w:r>
    </w:p>
    <w:p>
      <w:pPr>
        <w:pStyle w:val="BodyText"/>
      </w:pPr>
      <w:r>
        <w:t xml:space="preserve">Doch selbst das Lernen hatte Kosten. Ein umfassendes Programm für Konstruktion und Standortsuche wurde über 18 Monate auf $6,8 Millionen geschätzt. Der Solarentwickler verlangte eine Anzahlung, um die Preisgestaltung zu sichern. Der attraktivste Umsiedlungsstandort würde nur sechs Monate verfügbar bleiben. Die Netzanschluss-Warteliste des Versorgers wuchs. Das Warten auf Gewissheit könnte selbst Ridgeways Möglichkeiten einschränken.</w:t>
      </w:r>
    </w:p>
    <w:bookmarkEnd w:id="25"/>
    <w:bookmarkStart w:id="27" w:name="das-vorgeschlagene-untersuchungsprogramm"/>
    <w:p>
      <w:pPr>
        <w:pStyle w:val="Heading1"/>
      </w:pPr>
      <w:r>
        <w:t xml:space="preserve">Das vorgeschlagene Untersuchungsprogramm</w:t>
      </w:r>
    </w:p>
    <w:p>
      <w:pPr>
        <w:pStyle w:val="FirstParagraph"/>
      </w:pPr>
      <w:r>
        <w:t xml:space="preserve">Das Führungskomitee stellte ein vorgeschlagenes Arbeitsprogramm zusammen. Der Vorstand könnte es vollständig genehmigen, Teile davon auswählen oder das Management bitten, das Vorhaben neu zu gestalten.</w:t>
      </w:r>
    </w:p>
    <w:bookmarkStart w:id="26" w:name="Xb04e64cd3862890c8df5a01c7b127d27218e6d0"/>
    <w:p>
      <w:pPr>
        <w:pStyle w:val="Heading2"/>
      </w:pPr>
      <w:r>
        <w:t xml:space="preserve">Exhibit 6. Vorgeschlagene Untersuchungen und Pilotprojekte</w:t>
      </w:r>
    </w:p>
    <w:tbl>
      <w:tblPr>
        <w:tblStyle w:val="Table"/>
        <w:tblW w:type="pct" w:w="4943"/>
        <w:tblLayout w:type="fixed"/>
        <w:tblLook w:firstRow="1" w:lastRow="0" w:firstColumn="0" w:lastColumn="0" w:noHBand="0" w:noVBand="0" w:val="0020"/>
      </w:tblPr>
      <w:tblGrid>
        <w:gridCol w:w="1866"/>
        <w:gridCol w:w="455"/>
        <w:gridCol w:w="819"/>
        <w:gridCol w:w="3049"/>
        <w:gridCol w:w="1638"/>
      </w:tblGrid>
      <w:tr>
        <w:trPr>
          <w:tblHeader w:val="on"/>
        </w:trPr>
        <w:tc>
          <w:tcPr/>
          <w:p>
            <w:pPr>
              <w:pStyle w:val="Compact"/>
              <w:jc w:val="left"/>
            </w:pPr>
            <w:r>
              <w:t xml:space="preserve">Initiative</w:t>
            </w:r>
          </w:p>
        </w:tc>
        <w:tc>
          <w:tcPr/>
          <w:p>
            <w:pPr>
              <w:pStyle w:val="Compact"/>
              <w:jc w:val="left"/>
            </w:pPr>
            <w:r>
              <w:t xml:space="preserve">Kosten</w:t>
            </w:r>
          </w:p>
        </w:tc>
        <w:tc>
          <w:tcPr/>
          <w:p>
            <w:pPr>
              <w:pStyle w:val="Compact"/>
              <w:jc w:val="center"/>
            </w:pPr>
            <w:r>
              <w:t xml:space="preserve">Zeit</w:t>
            </w:r>
          </w:p>
        </w:tc>
        <w:tc>
          <w:tcPr/>
          <w:p>
            <w:pPr>
              <w:pStyle w:val="Compact"/>
              <w:jc w:val="right"/>
            </w:pPr>
            <w:r>
              <w:t xml:space="preserve">Primäres Lernziel Potenzi</w:t>
            </w:r>
          </w:p>
        </w:tc>
        <w:tc>
          <w:tcPr/>
          <w:p>
            <w:pPr>
              <w:pStyle w:val="Compact"/>
              <w:jc w:val="left"/>
            </w:pPr>
            <w:r>
              <w:t xml:space="preserve">ell entstehende Verpflichtung</w:t>
            </w:r>
          </w:p>
        </w:tc>
      </w:tr>
      <w:tr>
        <w:tc>
          <w:tcPr/>
          <w:p>
            <w:pPr>
              <w:pStyle w:val="Compact"/>
              <w:jc w:val="left"/>
            </w:pPr>
            <w:r>
              <w:t xml:space="preserve">Intervalldaten- und Prozessenergiestudie</w:t>
            </w:r>
          </w:p>
        </w:tc>
        <w:tc>
          <w:tcPr/>
          <w:p>
            <w:pPr>
              <w:pStyle w:val="Compact"/>
              <w:jc w:val="left"/>
            </w:pPr>
            <w:r>
              <w:t xml:space="preserve">$0,55M</w:t>
            </w:r>
          </w:p>
        </w:tc>
        <w:tc>
          <w:tcPr/>
          <w:p>
            <w:pPr>
              <w:pStyle w:val="Compact"/>
              <w:jc w:val="center"/>
            </w:pPr>
            <w:r>
              <w:t xml:space="preserve">4 Monate</w:t>
            </w:r>
          </w:p>
        </w:tc>
        <w:tc>
          <w:tcPr/>
          <w:p>
            <w:pPr>
              <w:pStyle w:val="Compact"/>
              <w:jc w:val="right"/>
            </w:pPr>
            <w:r>
              <w:t xml:space="preserve">Lasten, Spitzen, Flexibilität und vermeidbaren Verbrauch identifi</w:t>
            </w:r>
          </w:p>
        </w:tc>
        <w:tc>
          <w:tcPr/>
          <w:p>
            <w:pPr>
              <w:pStyle w:val="Compact"/>
              <w:jc w:val="left"/>
            </w:pPr>
            <w:r>
              <w:t xml:space="preserve">zieren Minimal</w:t>
            </w:r>
          </w:p>
        </w:tc>
      </w:tr>
      <w:tr>
        <w:tc>
          <w:tcPr/>
          <w:p>
            <w:pPr>
              <w:pStyle w:val="Compact"/>
              <w:jc w:val="left"/>
            </w:pPr>
            <w:r>
              <w:t xml:space="preserve">Pilotprojekt zur Produktionsplanung</w:t>
            </w:r>
          </w:p>
        </w:tc>
        <w:tc>
          <w:tcPr/>
          <w:p>
            <w:pPr>
              <w:pStyle w:val="Compact"/>
              <w:jc w:val="left"/>
            </w:pPr>
            <w:r>
              <w:t xml:space="preserve">$0</w:t>
            </w:r>
          </w:p>
        </w:tc>
        <w:tc>
          <w:tcPr/>
          <w:p>
            <w:pPr>
              <w:pStyle w:val="Compact"/>
              <w:jc w:val="center"/>
            </w:pPr>
            <w:r>
              <w:t xml:space="preserve">,35M 6 Monate</w:t>
            </w:r>
          </w:p>
        </w:tc>
        <w:tc>
          <w:tcPr/>
          <w:p>
            <w:pPr>
              <w:pStyle w:val="Compact"/>
              <w:jc w:val="right"/>
            </w:pPr>
            <w:r>
              <w:t xml:space="preserve">Kompromiss zwischen Energiespitzen und Lieferleistung messen</w:t>
            </w:r>
          </w:p>
        </w:tc>
        <w:tc>
          <w:tcPr/>
          <w:p>
            <w:pPr>
              <w:pStyle w:val="Compact"/>
              <w:jc w:val="left"/>
            </w:pPr>
            <w:r>
              <w:t xml:space="preserve">Betriebliche Störung</w:t>
            </w:r>
          </w:p>
        </w:tc>
      </w:tr>
      <w:tr>
        <w:tc>
          <w:tcPr/>
          <w:p>
            <w:pPr>
              <w:pStyle w:val="Compact"/>
              <w:jc w:val="left"/>
            </w:pPr>
            <w:r>
              <w:t xml:space="preserve">Technische Planung Solar/Netzanschluss</w:t>
            </w:r>
          </w:p>
        </w:tc>
        <w:tc>
          <w:tcPr/>
          <w:p>
            <w:pPr>
              <w:pStyle w:val="Compact"/>
              <w:jc w:val="left"/>
            </w:pPr>
            <w:r>
              <w:t xml:space="preserve">$0,8</w:t>
            </w:r>
          </w:p>
        </w:tc>
        <w:tc>
          <w:tcPr/>
          <w:p>
            <w:pPr>
              <w:pStyle w:val="Compact"/>
              <w:jc w:val="center"/>
            </w:pPr>
            <w:r>
              <w:t xml:space="preserve">0M 9-18 Monate</w:t>
            </w:r>
          </w:p>
        </w:tc>
        <w:tc>
          <w:tcPr/>
          <w:p>
            <w:pPr>
              <w:pStyle w:val="Compact"/>
              <w:jc w:val="right"/>
            </w:pPr>
            <w:r>
              <w:t xml:space="preserve">Machbare Größe, Ausbaukosten und Zeitplan bestätigen</w:t>
            </w:r>
          </w:p>
        </w:tc>
        <w:tc>
          <w:tcPr/>
          <w:p>
            <w:pPr>
              <w:pStyle w:val="Compact"/>
              <w:jc w:val="left"/>
            </w:pPr>
            <w:r>
              <w:t xml:space="preserve">Anzahlung und Warteschlangenposition</w:t>
            </w:r>
          </w:p>
        </w:tc>
      </w:tr>
      <w:tr>
        <w:tc>
          <w:tcPr/>
          <w:p>
            <w:pPr>
              <w:pStyle w:val="Compact"/>
              <w:jc w:val="left"/>
            </w:pPr>
            <w:r>
              <w:t xml:space="preserve">Pilot: 2 MW / 8 MWh-Batterie</w:t>
            </w:r>
          </w:p>
        </w:tc>
        <w:tc>
          <w:tcPr/>
          <w:p>
            <w:pPr>
              <w:pStyle w:val="Compact"/>
              <w:jc w:val="left"/>
            </w:pPr>
            <w:r>
              <w:t xml:space="preserve">$4,2M</w:t>
            </w:r>
          </w:p>
        </w:tc>
        <w:tc>
          <w:tcPr/>
          <w:p>
            <w:pPr>
              <w:pStyle w:val="Compact"/>
              <w:jc w:val="center"/>
            </w:pPr>
            <w:r>
              <w:t xml:space="preserve">12 Monate</w:t>
            </w:r>
          </w:p>
        </w:tc>
        <w:tc>
          <w:tcPr/>
          <w:p>
            <w:pPr>
              <w:pStyle w:val="Compact"/>
              <w:jc w:val="right"/>
            </w:pPr>
            <w:r>
              <w:t xml:space="preserve">Spitzenvorhersage, Steuerung, Degradation und Resilienz testen</w:t>
            </w:r>
          </w:p>
        </w:tc>
        <w:tc>
          <w:tcPr/>
          <w:p>
            <w:pPr>
              <w:pStyle w:val="Compact"/>
              <w:jc w:val="left"/>
            </w:pPr>
            <w:r>
              <w:t xml:space="preserve">Anlage mit unsicherem Wiederverkaufswert</w:t>
            </w:r>
          </w:p>
        </w:tc>
      </w:tr>
      <w:tr>
        <w:tc>
          <w:tcPr/>
          <w:p>
            <w:pPr>
              <w:pStyle w:val="Compact"/>
              <w:jc w:val="left"/>
            </w:pPr>
            <w:r>
              <w:t xml:space="preserve">Umstellung eines Ofens auf Gas $1,</w:t>
            </w:r>
          </w:p>
        </w:tc>
        <w:tc>
          <w:tcPr/>
          <w:p>
            <w:pPr>
              <w:pStyle w:val="Compact"/>
              <w:jc w:val="left"/>
            </w:pPr>
            <w:r>
              <w:t xml:space="preserve">6M 12-1</w:t>
            </w:r>
          </w:p>
        </w:tc>
        <w:tc>
          <w:tcPr/>
          <w:p>
            <w:pPr>
              <w:pStyle w:val="Compact"/>
              <w:jc w:val="center"/>
            </w:pPr>
            <w:r>
              <w:t xml:space="preserve">8 Monate Prod</w:t>
            </w:r>
          </w:p>
        </w:tc>
        <w:tc>
          <w:tcPr/>
          <w:p>
            <w:pPr>
              <w:pStyle w:val="Compact"/>
              <w:jc w:val="right"/>
            </w:pPr>
            <w:r>
              <w:t xml:space="preserve">uktqualität, Brennstoffeinsparungen, Genehmigungen und Emissionen v</w:t>
            </w:r>
          </w:p>
        </w:tc>
        <w:tc>
          <w:tcPr/>
          <w:p>
            <w:pPr>
              <w:pStyle w:val="Compact"/>
              <w:jc w:val="left"/>
            </w:pPr>
            <w:r>
              <w:t xml:space="preserve">alidieren Prozessspezifischer Vermögenswert</w:t>
            </w:r>
          </w:p>
        </w:tc>
      </w:tr>
      <w:tr>
        <w:tc>
          <w:tcPr/>
          <w:p>
            <w:pPr>
              <w:pStyle w:val="Compact"/>
              <w:jc w:val="left"/>
            </w:pPr>
            <w:r>
              <w:t xml:space="preserve">Due-Diligence für alternativen Standort</w:t>
            </w:r>
          </w:p>
        </w:tc>
        <w:tc>
          <w:tcPr/>
          <w:p>
            <w:pPr>
              <w:pStyle w:val="Compact"/>
              <w:jc w:val="left"/>
            </w:pPr>
            <w:r>
              <w:t xml:space="preserve">$1,1M</w:t>
            </w:r>
          </w:p>
        </w:tc>
        <w:tc>
          <w:tcPr/>
          <w:p>
            <w:pPr>
              <w:pStyle w:val="Compact"/>
              <w:jc w:val="center"/>
            </w:pPr>
            <w:r>
              <w:t xml:space="preserve">6 Monate</w:t>
            </w:r>
          </w:p>
        </w:tc>
        <w:tc>
          <w:tcPr/>
          <w:p>
            <w:pPr>
              <w:pStyle w:val="Compact"/>
              <w:jc w:val="right"/>
            </w:pPr>
            <w:r>
              <w:t xml:space="preserve">Versorgung, Arbeitskräfte, Anreize, Logistik und Genehmigungen val</w:t>
            </w:r>
          </w:p>
        </w:tc>
        <w:tc>
          <w:tcPr/>
          <w:p>
            <w:pPr>
              <w:pStyle w:val="Compact"/>
              <w:jc w:val="left"/>
            </w:pPr>
            <w:r>
              <w:t xml:space="preserve">idieren Signalisiert mögliche Umsiedlung</w:t>
            </w:r>
          </w:p>
        </w:tc>
      </w:tr>
      <w:tr>
        <w:tc>
          <w:tcPr/>
          <w:p>
            <w:pPr>
              <w:pStyle w:val="Compact"/>
              <w:jc w:val="left"/>
            </w:pPr>
            <w:r>
              <w:t xml:space="preserve">Landoption in Riverbend</w:t>
            </w:r>
            <w:r>
              <w:br/>
            </w:r>
          </w:p>
        </w:tc>
        <w:tc>
          <w:tcPr/>
          <w:p>
            <w:pPr>
              <w:pStyle w:val="Compact"/>
              <w:jc w:val="left"/>
            </w:pPr>
            <w:r>
              <w:t xml:space="preserve">$2,5M 1</w:t>
            </w:r>
          </w:p>
        </w:tc>
        <w:tc>
          <w:tcPr/>
          <w:p>
            <w:pPr>
              <w:pStyle w:val="Compact"/>
              <w:jc w:val="center"/>
            </w:pPr>
            <w:r>
              <w:t xml:space="preserve">8-monatige Option</w:t>
            </w:r>
          </w:p>
        </w:tc>
        <w:tc>
          <w:tcPr/>
          <w:p>
            <w:pPr>
              <w:pStyle w:val="Compact"/>
              <w:jc w:val="right"/>
            </w:pPr>
            <w:r>
              <w:t xml:space="preserve">Bevorzugten Standort bewahren, während die Analyse fortgesetzt wi</w:t>
            </w:r>
          </w:p>
        </w:tc>
        <w:tc>
          <w:tcPr/>
          <w:p>
            <w:pPr>
              <w:pStyle w:val="Compact"/>
              <w:jc w:val="left"/>
            </w:pPr>
            <w:r>
              <w:t xml:space="preserve">rd Optionsgebühr ist nicht erstattungsfähig</w:t>
            </w:r>
          </w:p>
        </w:tc>
      </w:tr>
    </w:tbl>
    <w:p>
      <w:pPr>
        <w:pStyle w:val="BodyText"/>
      </w:pPr>
      <w:r>
        <w:t xml:space="preserve">Die Initiativen waren nicht unabhängig voneinander. Das Planungspilotprojekt könnte den scheinbaren Wert einer Batterie verringern. Eine erfolgreiche Qualifizierung des neuen Niedertemperaturprozesses könnte sowohl den Stromverbrauch als auch den Fall für eine Gasumstellung verringern. Eine Umsiedlungsentscheidung könnte größere Investitionen in Hamilton wertlos machen. Andererseits könnte die Verzögerung von Effizienzprojekten aufgrund eines möglichen Umzugs zu Jahren vermeidbarer Kosten führen.</w:t>
      </w:r>
    </w:p>
    <w:bookmarkEnd w:id="26"/>
    <w:bookmarkEnd w:id="27"/>
    <w:bookmarkStart w:id="28" w:name="organisation-der-entscheidung"/>
    <w:p>
      <w:pPr>
        <w:pStyle w:val="Heading1"/>
      </w:pPr>
      <w:r>
        <w:t xml:space="preserve">Organisation der Entscheidung</w:t>
      </w:r>
    </w:p>
    <w:p>
      <w:pPr>
        <w:pStyle w:val="FirstParagraph"/>
      </w:pPr>
      <w:r>
        <w:t xml:space="preserve">Marquez erwog einen mehrstufigen Prozess mit vier Gates. Das erste würde die Ursache des Rechnungsanstiegs diagnostizieren und eine gemeinsame Ausgangsbasis festlegen. Das zweite würde Alternativen auf technische, regulatorische und betriebliche Machbarkeit prüfen. Das dritte würde Pilotprojekte genehmigen und ausgewählte Optionen bewahren. Das vierte würde Kapital für ein langfristiges Portfolio oder einen Übergang im Fertigungsnetzwerk bereitstellen.</w:t>
      </w:r>
    </w:p>
    <w:p>
      <w:pPr>
        <w:pStyle w:val="BodyText"/>
      </w:pPr>
      <w:r>
        <w:t xml:space="preserve">Mehrere Vorstandsmitglieder mochten die scheinbare Komplexität nicht. Eines argumentierte, Ridgeway solle schnell in einen Bundesstaat mit niedrigeren Kosten ziehen. Ein anderes glaubte, dass Fertigungsunternehmen routinemäßig die Einsparungen durch Umsiedlung überschätzten und die Störung unterschätzten. Ein drittes fragte, warum Ridgeway Solaranlagen besitzen sollte, wenn ein Entwickler diese finanzieren könnte. Der Vorsitzende wollte eine Empfehlung, die verständlich, messbar und mit expliziten künftigen Auslösern verknüpft war.</w:t>
      </w:r>
    </w:p>
    <w:bookmarkEnd w:id="28"/>
    <w:bookmarkStart w:id="29" w:name="der-abend-vor-der-sitzung"/>
    <w:p>
      <w:pPr>
        <w:pStyle w:val="Heading1"/>
      </w:pPr>
      <w:r>
        <w:t xml:space="preserve">Der Abend vor der Sitzung</w:t>
      </w:r>
    </w:p>
    <w:p>
      <w:pPr>
        <w:pStyle w:val="FirstParagraph"/>
      </w:pPr>
      <w:r>
        <w:t xml:space="preserve">Am Mittwochabend überprüfte Marquez die neueste Präsentation. Sie enthielt mehr als 70 Folien und keine einzige Rangfolge der Alternativen. Das Finanzmodell bevorzugte Effizienz, gefolgt von einer teilweisen Gasumstellung unter seinen Basisannahmen. Die Resilienzanalyse bevorzugte Solar plus Speicher. Die Nachhaltigkeitsanalyse bevorzugte Effizienz, erneuerbare Beschaffung und selektive Elektrifizierung. Das Netzwerkmodell bevorzugte den Verbleib in Hamilton, sofern das Hochtarifszenario nicht mindestens sieben Jahre andauerte. Der Immobilienberater warnte, dass die Riverbend-Option nach der nächsten Vorstandssitzung möglicherweise nicht mehr verfügbar sein würde.</w:t>
      </w:r>
    </w:p>
    <w:p>
      <w:pPr>
        <w:pStyle w:val="BodyText"/>
      </w:pPr>
      <w:r>
        <w:t xml:space="preserve">Marquez verstand, warum die Analysen sich unterschieden: Jedes Team löste eine andere Version des Problems. Was sie nicht wusste, war, ob der Vorstand jetzt eine einzige integrierte Empfehlung fordern oder eine Reihe von Untersuchungen genehmigen sollte, die dazu bestimmt waren, die Entscheidung im Laufe der Zeit zu klären.</w:t>
      </w:r>
    </w:p>
    <w:p>
      <w:pPr>
        <w:pStyle w:val="BodyText"/>
      </w:pPr>
      <w:r>
        <w:t xml:space="preserve">Um 22:14 Uhr sandte der Geschäftsführer eine letzte Nachricht: „Morgen brauche ich von Ihnen, dass Sie uns sagen, was wir untersuchen sollten, was wir sofort tun sollten und welche Bedingungen uns veranlassen würden, den Kurs zu ändern.”</w:t>
      </w:r>
    </w:p>
    <w:bookmarkEnd w:id="29"/>
    <w:bookmarkStart w:id="30" w:name="diskussionsfragen"/>
    <w:p>
      <w:pPr>
        <w:pStyle w:val="Heading1"/>
      </w:pPr>
      <w:r>
        <w:t xml:space="preserve">Diskussionsfragen</w:t>
      </w:r>
    </w:p>
    <w:p>
      <w:pPr>
        <w:numPr>
          <w:ilvl w:val="0"/>
          <w:numId w:val="1002"/>
        </w:numPr>
      </w:pPr>
      <w:r>
        <w:t xml:space="preserve">Wie sollte Ridgeway das Entscheidungsproblem definieren? Handelt es sich hauptsächlich um ein Energiebeschaffungsproblem, ein Prozessgestaltungsproblem, ein Resilienzproblem oder ein Fertigungsnetzwerkproblem?</w:t>
      </w:r>
    </w:p>
    <w:p>
      <w:pPr>
        <w:numPr>
          <w:ilvl w:val="0"/>
          <w:numId w:val="1002"/>
        </w:numPr>
      </w:pPr>
      <w:r>
        <w:t xml:space="preserve">Welche Leistungskennzahlen sollte das Management verwenden? Welche Kennzahlen sind Zielsetzungen, Nebenbedingungen oder diagnostische Indikatoren?</w:t>
      </w:r>
    </w:p>
    <w:p>
      <w:pPr>
        <w:numPr>
          <w:ilvl w:val="0"/>
          <w:numId w:val="1002"/>
        </w:numPr>
      </w:pPr>
      <w:r>
        <w:t xml:space="preserve">Welche zusätzlichen Daten sollte Ridgeway sammeln, bevor die Alternativen verglichen werden? Welche fehlenden Informationen könnten am wahrscheinlichsten die Entscheidung ändern?</w:t>
      </w:r>
    </w:p>
    <w:p>
      <w:pPr>
        <w:numPr>
          <w:ilvl w:val="0"/>
          <w:numId w:val="1002"/>
        </w:numPr>
      </w:pPr>
      <w:r>
        <w:t xml:space="preserve">Wie sollte das Unternehmen extern verursachte Tariferhöhungen von Kosten unterscheiden, die durch seine eigenen Betriebspraktiken verursacht werden?</w:t>
      </w:r>
    </w:p>
    <w:p>
      <w:pPr>
        <w:numPr>
          <w:ilvl w:val="0"/>
          <w:numId w:val="1002"/>
        </w:numPr>
      </w:pPr>
      <w:r>
        <w:t xml:space="preserve">Sollten Solar, Batteriespeicher, Erdgasumstellung und Umsiedlung als sich gegenseitig ausschließende Alternativen oder als Elemente von Portfolios und mehrstufigen Strategien bewertet werden?</w:t>
      </w:r>
    </w:p>
    <w:p>
      <w:pPr>
        <w:numPr>
          <w:ilvl w:val="0"/>
          <w:numId w:val="1002"/>
        </w:numPr>
      </w:pPr>
      <w:r>
        <w:t xml:space="preserve">Welche vorgeschlagenen Untersuchungen oder Pilotprojekte haben den größten Informationswert? Welche erscheinen zu teuer oder zu langsam im Verhältnis zu dem, was sie lehren könnten?</w:t>
      </w:r>
    </w:p>
    <w:p>
      <w:pPr>
        <w:numPr>
          <w:ilvl w:val="0"/>
          <w:numId w:val="1002"/>
        </w:numPr>
      </w:pPr>
      <w:r>
        <w:t xml:space="preserve">Welche Annahmen würden eine Umsiedlung attraktiv machen? Welche Annahmen würden eine Umsiedlung klar unterlegen erscheinen lassen?</w:t>
      </w:r>
    </w:p>
    <w:p>
      <w:pPr>
        <w:numPr>
          <w:ilvl w:val="0"/>
          <w:numId w:val="1002"/>
        </w:numPr>
      </w:pPr>
      <w:r>
        <w:t xml:space="preserve">Wie sollte Ridgeway Zuverlässigkeit, Reversibilität, Emissionsexponierung, Störung der Belegschaft und Auswirkungen auf die Gemeinde neben finanziellen Renditen bewerten?</w:t>
      </w:r>
    </w:p>
    <w:p>
      <w:pPr>
        <w:numPr>
          <w:ilvl w:val="0"/>
          <w:numId w:val="1002"/>
        </w:numPr>
      </w:pPr>
      <w:r>
        <w:t xml:space="preserve">Welche Maßnahmen sollte Ridgeway sofort ergreifen, noch bevor die Unsicherheit aufgelöst ist? Welche Verpflichtungen sollte es aufschieben?</w:t>
      </w:r>
    </w:p>
    <w:p>
      <w:pPr>
        <w:numPr>
          <w:ilvl w:val="0"/>
          <w:numId w:val="1002"/>
        </w:numPr>
      </w:pPr>
      <w:r>
        <w:t xml:space="preserve">Entwerfen Sie eine Reihe von Entscheidungs-Gates und Auslösebedingungen für die nächsten drei Jahre. Welche Beobachtungen würden Ridgeway dazu veranlassen, jede Initiative auszuweiten, zu stoppen oder umzulenken?</w:t>
      </w:r>
    </w:p>
    <w:bookmarkEnd w:id="30"/>
    <w:bookmarkStart w:id="36" w:name="fragen-zur-entscheidungsrahmung"/>
    <w:p>
      <w:pPr>
        <w:pStyle w:val="Heading1"/>
      </w:pPr>
      <w:r>
        <w:t xml:space="preserve">Fragen zur Entscheidungsrahmung</w:t>
      </w:r>
    </w:p>
    <w:p>
      <w:pPr>
        <w:numPr>
          <w:ilvl w:val="0"/>
          <w:numId w:val="1003"/>
        </w:numPr>
      </w:pPr>
      <w:r>
        <w:t xml:space="preserve">Identifizieren und beschreiben Sie die Zuständigkeiten des Entscheidungsträgers. Dies sollte den Umfang des Problems festlegen.</w:t>
      </w:r>
    </w:p>
    <w:p>
      <w:pPr>
        <w:numPr>
          <w:ilvl w:val="0"/>
          <w:numId w:val="1003"/>
        </w:numPr>
      </w:pPr>
      <w:r>
        <w:t xml:space="preserve">Verwenden Sie das</w:t>
      </w:r>
      <w:r>
        <w:t xml:space="preserve"> </w:t>
      </w:r>
      <w:hyperlink r:id="rId31">
        <w:r>
          <w:rPr>
            <w:rStyle w:val="Hyperlink"/>
          </w:rPr>
          <w:t xml:space="preserve">Metrik-Pyramiden-Tool</w:t>
        </w:r>
      </w:hyperlink>
      <w:r>
        <w:t xml:space="preserve">, um die verschiedenen Leistungskennzahlen zu identifizieren und zu priorisieren. Klicken Sie auf das Oval, das die Kennzahl enthält, um festzulegen, ob es sich um eine zu maximierende Kennzahl (grün), eine zu minimierende Kennzahl (rot), einen Zielwert handelt, der eine Untergrenze (hellgrün) oder eine Obergrenze (hellrot) ist, oder schließlich um einen Zielwert (violett).</w:t>
      </w:r>
    </w:p>
    <w:p>
      <w:pPr>
        <w:numPr>
          <w:ilvl w:val="0"/>
          <w:numId w:val="1003"/>
        </w:numPr>
      </w:pPr>
      <w:r>
        <w:t xml:space="preserve">Verwenden Sie das</w:t>
      </w:r>
      <w:r>
        <w:t xml:space="preserve"> </w:t>
      </w:r>
      <w:hyperlink r:id="rId32">
        <w:r>
          <w:rPr>
            <w:rStyle w:val="Hyperlink"/>
          </w:rPr>
          <w:t xml:space="preserve">Entscheidungspriorisierungs-Tool</w:t>
        </w:r>
      </w:hyperlink>
      <w:r>
        <w:t xml:space="preserve">, um zunächst die verschiedenen Arten von Entscheidungen aufzulisten (verwenden Sie die</w:t>
      </w:r>
      <w:r>
        <w:t xml:space="preserve"> </w:t>
      </w:r>
      <w:hyperlink r:id="rId33">
        <w:r>
          <w:rPr>
            <w:rStyle w:val="Hyperlink"/>
          </w:rPr>
          <w:t xml:space="preserve">Arten von Entscheidungen</w:t>
        </w:r>
      </w:hyperlink>
      <w:r>
        <w:t xml:space="preserve"> </w:t>
      </w:r>
      <w:r>
        <w:t xml:space="preserve">als Leitfaden). Diese füllen dann die Zeilen der Matrix rechts, wobei die Spalten die Leistungskennzahlen sind, von links nach rechts nach der Priorität in der obigen Pyramide sortiert. Klicken Sie auf jede Zelle, um anzugeben, ob die Auswirkung der Entscheidung auf jede Kennzahl hoch (rot), mittel (orange), niedrig (gelb) oder nicht vorhanden (weiß) ist.</w:t>
      </w:r>
    </w:p>
    <w:p>
      <w:pPr>
        <w:numPr>
          <w:ilvl w:val="0"/>
          <w:numId w:val="1003"/>
        </w:numPr>
      </w:pPr>
      <w:r>
        <w:t xml:space="preserve">Sie können den Griff (drei Balken) ganz links in jeder Zeile fassen, um sie nach oben oder unten zu verschieben. Sortieren Sie die Zeilen so, dass die Entscheidungen mit den größten Auswirkungen auf die wichtigsten Kennzahlen weiter oben stehen. Die Zellen in der oberen linken Ecke sollten die größte Konzentration an roten und orangen Zellen aufweisen. Identifizieren Sie zu diesem Zeitpunkt die Entscheidungen, die in Ihrer Untersuchung die größte Aufmerksamkeit erhalten sollten. Wenn Sie keine Entscheidungen mit mittlerer oder hoher Auswirkung auf die wichtigsten Kennzahlen haben, überarbeiten Sie Ihre Liste von Entscheidungen.</w:t>
      </w:r>
    </w:p>
    <w:p>
      <w:pPr>
        <w:numPr>
          <w:ilvl w:val="0"/>
          <w:numId w:val="1003"/>
        </w:numPr>
      </w:pPr>
      <w:r>
        <w:t xml:space="preserve">Wiederholen Sie den Prozess, um die Unsicherheiten mit dem</w:t>
      </w:r>
      <w:r>
        <w:t xml:space="preserve"> </w:t>
      </w:r>
      <w:hyperlink r:id="rId34">
        <w:r>
          <w:rPr>
            <w:rStyle w:val="Hyperlink"/>
          </w:rPr>
          <w:t xml:space="preserve">Unsicherheits-Priorisierungs-Tool</w:t>
        </w:r>
      </w:hyperlink>
      <w:r>
        <w:t xml:space="preserve"> </w:t>
      </w:r>
      <w:r>
        <w:t xml:space="preserve">aufzulisten und zu priorisieren. Verwenden Sie die</w:t>
      </w:r>
      <w:r>
        <w:t xml:space="preserve"> </w:t>
      </w:r>
      <w:hyperlink r:id="rId35">
        <w:r>
          <w:rPr>
            <w:rStyle w:val="Hyperlink"/>
          </w:rPr>
          <w:t xml:space="preserve">Kategorien der Unsicherheit</w:t>
        </w:r>
      </w:hyperlink>
      <w:r>
        <w:t xml:space="preserve">, um diese zu identifizieren.</w:t>
      </w:r>
    </w:p>
    <w:p>
      <w:pPr>
        <w:numPr>
          <w:ilvl w:val="0"/>
          <w:numId w:val="1003"/>
        </w:numPr>
      </w:pPr>
      <w:r>
        <w:t xml:space="preserve">Es ist wichtig, Unsicherheiten zu unterscheiden, die im Durchschnitt oder als Risikoereignisse bewertet werden können:</w:t>
      </w:r>
    </w:p>
    <w:p>
      <w:pPr>
        <w:numPr>
          <w:ilvl w:val="1"/>
          <w:numId w:val="1004"/>
        </w:numPr>
      </w:pPr>
      <w:r>
        <w:t xml:space="preserve">Welche Unsicherheitsquellen würden durch die durchschnittliche Leistung über die Zeit erfasst werden?</w:t>
      </w:r>
    </w:p>
    <w:p>
      <w:pPr>
        <w:numPr>
          <w:ilvl w:val="1"/>
          <w:numId w:val="1004"/>
        </w:numPr>
      </w:pPr>
      <w:r>
        <w:t xml:space="preserve">Welche Unsicherheitsquellen stellen Formen von Risiko dar, die durch Durchschnittswerte nicht angemessen erfasst werden?</w:t>
      </w:r>
    </w:p>
    <w:p>
      <w:pPr>
        <w:numPr>
          <w:ilvl w:val="0"/>
          <w:numId w:val="1003"/>
        </w:numPr>
      </w:pPr>
      <w:r>
        <w:t xml:space="preserve">Wählen Sie die einzelne Entscheidung, die die größte Auswirkung auf die wichtigste Kennzahl zu haben scheint.</w:t>
      </w:r>
    </w:p>
    <w:p>
      <w:pPr>
        <w:numPr>
          <w:ilvl w:val="1"/>
          <w:numId w:val="1005"/>
        </w:numPr>
      </w:pPr>
      <w:r>
        <w:t xml:space="preserve">Welchen Ansatz würden Sie vermutlich verwenden, um diese Entscheidung zu treffen?</w:t>
      </w:r>
    </w:p>
    <w:p>
      <w:pPr>
        <w:numPr>
          <w:ilvl w:val="1"/>
          <w:numId w:val="1005"/>
        </w:numPr>
      </w:pPr>
      <w:r>
        <w:t xml:space="preserve">Welche Daten scheinen notwendig zu sein, um diese Entscheidung zu treffen, einschließlich der Berechnung jeglicher Leistungskennzahlen, auf die die Entscheidung eine hohe oder mittlere Auswirkung hätte.</w:t>
      </w:r>
    </w:p>
    <w:p>
      <w:pPr>
        <w:numPr>
          <w:ilvl w:val="0"/>
          <w:numId w:val="1003"/>
        </w:numPr>
      </w:pPr>
      <w:r>
        <w:t xml:space="preserve">Identifizieren Sie unter Verwendung derselben Entscheidung, die Sie in (7) identifiziert haben, die Personen, Abteilungen, Gruppen oder Organisationen, mit denen Sie zusammenarbeiten müssten, um die Entscheidung umzusetzen.</w:t>
      </w:r>
    </w:p>
    <w:bookmarkEnd w:id="36"/>
    <w:bookmarkStart w:id="37" w:name="quellenangaben-und-fallkonventionen"/>
    <w:p>
      <w:pPr>
        <w:pStyle w:val="Heading1"/>
      </w:pPr>
      <w:r>
        <w:t xml:space="preserve">Quellenangaben und Fallkonventionen</w:t>
      </w:r>
    </w:p>
    <w:p>
      <w:pPr>
        <w:pStyle w:val="FirstParagraph"/>
      </w:pPr>
      <w:r>
        <w:t xml:space="preserve">Dies ist ein fiktiver Fall, der für die Diskussion im Unterricht entwickelt wurde. Ridgeway Industrial Systems, Hamilton County, alle Einzelpersonen, alle Projektvorschläge und alle betrieblichen Unternehmensdaten sind erfunden. Der Fall ist absichtlich ungelöst und impliziert nicht, dass eine bestimmte Alternative bevorzugt wird.</w:t>
      </w:r>
    </w:p>
    <w:p>
      <w:pPr>
        <w:pStyle w:val="BodyText"/>
      </w:pPr>
      <w:r>
        <w:t xml:space="preserve">¹ Der nationale Rechenzentrums-Kontext basiert auf Lawrence Berkeley National Laboratory, 2024 United States Data Center Energy Usage Report und zugehörigen Aktualisierungen. Berkeley Lab berichtete von etwa 176 TWh US-Rechenzentrumsstromverbrauch im Jahr 2023, etwa 4,4 % des gesamten US-Stroms, und einer Prognosespanne für 2028 von 6,7 %-12 %. Seine Aktualisierung von 2025 schätzte, dass Rechenzentren im Jahr 2030 9,5 %-15,3 % des US-Stromverbrauchs ausmachen könnten, mit einer zentralen Schätzung von 11,8 %.</w:t>
      </w:r>
    </w:p>
    <w:p>
      <w:pPr>
        <w:pStyle w:val="BodyText"/>
      </w:pPr>
      <w:r>
        <w:t xml:space="preserve">Zusätzlicher Kontextverweis: U.S. Energy Information Administration, Electric Power Monthly und Electricity Monthly Update. Die EIA berichtete von einem nationalen industriellen Durchschnittsumsatz von etwa 8,71 Cent pro kWh im Mai 2026, wobei die Industriepreise je nach Region, Tarif, Lastprofil und kundenspezifischen Gebühren erheblich variieren. Der fiktive Hamilton-Tarif umfasst Leistungs-, Kapazitäts-, Übertragungs- und andere Gebühren und sollte daher nicht als nationaler Durchschnitt interpretiert werden.</w:t>
      </w:r>
    </w:p>
    <w:p>
      <w:pPr>
        <w:pStyle w:val="BodyText"/>
      </w:pPr>
      <w:r>
        <w:t xml:space="preserve">Erdgas- und Technologieschätzungen in den Exhibits sind Fallannahmen und keine Prognosen. In einer tatsächlichen Analyse würde Ridgeway standortspezifische Versorgertarife, Intervalldaten, Anbieterangebote, technische Studien, Steuerberatung, Umweltprüfungen und Wahrscheinlichkeitsverteilungen anstelle von Einzelpunktschätzungen verwenden.</w:t>
      </w:r>
    </w:p>
    <w:bookmarkEnd w:id="37"/>
    <w:bookmarkStart w:id="40" w:name="chatgpt-notizen"/>
    <w:p>
      <w:pPr>
        <w:pStyle w:val="Heading1"/>
      </w:pPr>
      <w:r>
        <w:t xml:space="preserve">ChatGPT-Notizen</w:t>
      </w:r>
    </w:p>
    <w:bookmarkStart w:id="38" w:name="prompt"/>
    <w:p>
      <w:pPr>
        <w:pStyle w:val="Heading2"/>
      </w:pPr>
      <w:r>
        <w:t xml:space="preserve">Prompt</w:t>
      </w:r>
    </w:p>
    <w:p>
      <w:pPr>
        <w:pStyle w:val="FirstParagraph"/>
      </w:pPr>
      <w:r>
        <w:t xml:space="preserve">Ein Industriehersteller hat mit einem starken Anstieg seiner Stromrechnung zu kämpfen, da die Tarife aufgrund der wachsenden Anforderungen von Rechenzentren steigen. Das Unternehmen kann sein Fertigungszentrum (mit hohem Aufwand) an einen anderen Standort verlegen. Es kann in Solarmodule und Batteriespeicher investieren. Es kann seinen Fertigungsprozess ändern, um seinen Energiebedarf von Strom auf Erdgas zu verlagern. Beschreiben Sie den Prozess, den ein Unternehmen zur Untersuchung von Alternativen verwenden könnte.</w:t>
      </w:r>
    </w:p>
    <w:bookmarkEnd w:id="38"/>
    <w:bookmarkStart w:id="39" w:name="zusammenfassung"/>
    <w:p>
      <w:pPr>
        <w:pStyle w:val="Heading2"/>
      </w:pPr>
      <w:r>
        <w:t xml:space="preserve">Zusammenfassung</w:t>
      </w:r>
    </w:p>
    <w:p>
      <w:pPr>
        <w:pStyle w:val="FirstParagraph"/>
      </w:pPr>
      <w:r>
        <w:t xml:space="preserve">Der Fall enthält:</w:t>
      </w:r>
    </w:p>
    <w:p>
      <w:pPr>
        <w:numPr>
          <w:ilvl w:val="0"/>
          <w:numId w:val="1006"/>
        </w:numPr>
      </w:pPr>
      <w:r>
        <w:t xml:space="preserve">Einen fiktiven Industriehersteller, der mit rapide steigenden Stromkosten konfrontiert ist</w:t>
      </w:r>
    </w:p>
    <w:p>
      <w:pPr>
        <w:numPr>
          <w:ilvl w:val="0"/>
          <w:numId w:val="1006"/>
        </w:numPr>
      </w:pPr>
      <w:r>
        <w:t xml:space="preserve">Regionales Stromnachfragewachstum im Zusammenhang mit neuen Rechenzentren</w:t>
      </w:r>
    </w:p>
    <w:p>
      <w:pPr>
        <w:numPr>
          <w:ilvl w:val="0"/>
          <w:numId w:val="1006"/>
        </w:numPr>
      </w:pPr>
      <w:r>
        <w:t xml:space="preserve">Detaillierte Daten zum Werksenergieverbrauch und den Versorgerkosten</w:t>
      </w:r>
    </w:p>
    <w:p>
      <w:pPr>
        <w:numPr>
          <w:ilvl w:val="0"/>
          <w:numId w:val="1006"/>
        </w:numPr>
      </w:pPr>
      <w:r>
        <w:t xml:space="preserve">Alternativen für Solar, Batteriespeicher, Erdgasumstellung, Effizienz, Beschaffung und Umsiedlung</w:t>
      </w:r>
    </w:p>
    <w:p>
      <w:pPr>
        <w:numPr>
          <w:ilvl w:val="0"/>
          <w:numId w:val="1006"/>
        </w:numPr>
      </w:pPr>
      <w:r>
        <w:t xml:space="preserve">Drei potenzielle Umsiedlungsregionen</w:t>
      </w:r>
    </w:p>
    <w:p>
      <w:pPr>
        <w:numPr>
          <w:ilvl w:val="0"/>
          <w:numId w:val="1006"/>
        </w:numPr>
      </w:pPr>
      <w:r>
        <w:t xml:space="preserve">Strompreisszenarien bis 2035</w:t>
      </w:r>
    </w:p>
    <w:p>
      <w:pPr>
        <w:numPr>
          <w:ilvl w:val="0"/>
          <w:numId w:val="1006"/>
        </w:numPr>
      </w:pPr>
      <w:r>
        <w:t xml:space="preserve">Betriebliche, finanzielle, ökologische, arbeitskräftebezogene und kundendienstliche Erwägungen</w:t>
      </w:r>
    </w:p>
    <w:p>
      <w:pPr>
        <w:numPr>
          <w:ilvl w:val="0"/>
          <w:numId w:val="1006"/>
        </w:numPr>
      </w:pPr>
      <w:r>
        <w:t xml:space="preserve">Vorgeschlagene Untersuch</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2026-09-11T16:28:23Z</dcterms:created>
  <dcterms:modified xsi:type="dcterms:W3CDTF">2026-09-11T16:28:23Z</dcterms:modified>
</cp:coreProperties>
</file>

<file path=docProps/custom.xml><?xml version="1.0" encoding="utf-8"?>
<Properties xmlns="http://schemas.openxmlformats.org/officeDocument/2006/custom-properties" xmlns:vt="http://schemas.openxmlformats.org/officeDocument/2006/docPropsVTypes"/>
</file>