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Wie sollte ein County reagieren, wenn die Zahl der Überdosis-Todesfälle hoch bleibt — die nationale Krise sich aber offenbar entspannt?</w:t>
      </w:r>
    </w:p>
    <w:tbl>
      <w:tblPr>
        <w:tblStyle w:val="Table"/>
        <w:tblW w:type="auto" w:w="0"/>
        <w:tblLook w:firstRow="0" w:lastRow="0" w:firstColumn="0" w:lastColumn="0" w:noHBand="0" w:noVBand="0" w:val="0000"/>
      </w:tblPr>
      <w:tblGrid>
        <w:gridCol w:w="7920"/>
      </w:tblGrid>
      <w:tr>
        <w:tc>
          <w:tcPr/>
          <w:p>
            <w:pPr>
              <w:pStyle w:val="Compact"/>
              <w:jc w:val="left"/>
            </w:pPr>
            <w:r>
              <w:t xml:space="preserve">SCHAUPLATZ  ENTSCHEIDUNGSTRÄGERIN  ENTSCHEIDUNGSDATUM\</w:t>
            </w:r>
          </w:p>
        </w:tc>
      </w:tr>
      <w:tr>
        <w:tc>
          <w:tcPr/>
          <w:p>
            <w:pPr>
              <w:pStyle w:val="Compact"/>
              <w:jc w:val="left"/>
            </w:pPr>
            <w:r>
              <w:t xml:space="preserve">Riverton County, ein fiktiver Landkreis mit gemischt Dr. Elena Torres, County Health Commissioner September 2026</w:t>
            </w:r>
          </w:p>
        </w:tc>
      </w:tr>
      <w:tr>
        <w:tc>
          <w:tcPr/>
          <w:p>
            <w:pPr>
              <w:pStyle w:val="Compact"/>
              <w:jc w:val="left"/>
            </w:pPr>
            <w:r>
              <w:t xml:space="preserve">urbanem und ländlichem Charakter</w:t>
            </w:r>
          </w:p>
        </w:tc>
      </w:tr>
    </w:tbl>
    <w:p>
      <w:r>
        <w:pict>
          <v:rect style="width:0;height:1.5pt" o:hralign="center" o:hrstd="t" o:hr="t"/>
        </w:pict>
      </w:r>
    </w:p>
    <w:bookmarkStart w:id="9" w:name="section"/>
    <w:p>
      <w:pPr>
        <w:pStyle w:val="Heading1"/>
      </w:pPr>
    </w:p>
    <w:bookmarkEnd w:id="9"/>
    <w:bookmarkStart w:id="11" w:name="ein-schwieriger-montagmorgen"/>
    <w:p>
      <w:pPr>
        <w:pStyle w:val="Heading1"/>
      </w:pPr>
      <w:r>
        <w:t xml:space="preserve">Ein schwieriger Montagmorgen</w:t>
      </w:r>
    </w:p>
    <w:p>
      <w:pPr>
        <w:pStyle w:val="FirstParagraph"/>
      </w:pPr>
      <w:r>
        <w:t xml:space="preserve">Um 7:10 Uhr öffnete Dr. Elena Torres das wöchentliche Sterblichkeits-Dashboard und sah einen weiteren roten Marker: Ein 31-jähriger Lagerarbeiter war in einem Motel nahe der Interstate 48 an einer vermuteten Fentanyl-Überdosis gestorben. Es war der dreiundvierzigste tödliche Überdosisfall des Jahres in Riverton County. Zwei weitere Todesfälle warteten noch auf toxikologische Ergebnisse.</w:t>
      </w:r>
    </w:p>
    <w:p>
      <w:pPr>
        <w:pStyle w:val="BodyText"/>
      </w:pPr>
      <w:r>
        <w:t xml:space="preserve">Die Zahl lag niedriger als zum gleichen Zeitpunkt im Vorjahr, doch es fühlte sich nicht nach Fortschritt an. Rettungsdienste hatten seit Januar 286 Mal Naloxon verabreicht. Das County-Gefängnis berichtete, dass fast jeder dritte neu inhaftierte Insasse positiv auf eine Substanzgebrauchsstörung gescreent wurde. Die Notaufnahme des größten Krankenhauses hatte 412 nicht tödliche Überdosisfälle behandelt, und Outreach-Teams beobachteten zunehmend, dass Menschen Fentanyl mit Kokain oder Methamphetamin kombinierten.</w:t>
      </w:r>
    </w:p>
    <w:p>
      <w:pPr>
        <w:pStyle w:val="BodyText"/>
      </w:pPr>
      <w:r>
        <w:t xml:space="preserve">Landesweit hatte sich das Bild jedoch verändert. Die Zahl der drogenbedingten Überdosis-Todesfälle in den USA war 2024 und erneut 2025 stark gesunken. Die geschätzten Todesfälle mit Opioidbeteiligung sanken von etwa 83.140 im Jahr 2023 auf etwa 54.743 im Jahr 2024 und dann auf 44.564 im Jahr 2025. Die Verbesserung war ermutigend — aber ungleichmäßig: Mehrere Bundesstaaten verzeichneten 2025 weiterhin Anstiege.¹ ²</w:t>
      </w:r>
    </w:p>
    <w:p>
      <w:pPr>
        <w:pStyle w:val="BodyText"/>
      </w:pPr>
      <w:r>
        <w:t xml:space="preserve">Rivertons County Executive hatte Torres zu einer Budgetsitzung um 16:00 Uhr eingeladen. Ein befristetes Bundeszuschuss, der Outreach-Mitarbeiter, Naloxon-Verteilung und eine mobile Behandlungseinheit unterstützte, würde in neun Monaten auslaufen. Der County konnte nur einen Teil der Mittel ersetzen. Torres war gebeten worden zu empfehlen, was erhalten, was neu gestaltet und was — falls überhaupt — eingestellt werden sollte.</w:t>
      </w:r>
    </w:p>
    <w:bookmarkStart w:id="10" w:name="die-zentrale-herausforderung"/>
    <w:p>
      <w:pPr>
        <w:pStyle w:val="Heading2"/>
      </w:pPr>
      <w:r>
        <w:t xml:space="preserve">Die zentrale Herausforderung</w:t>
      </w:r>
    </w:p>
    <w:p>
      <w:pPr>
        <w:pStyle w:val="FirstParagraph"/>
      </w:pPr>
      <w:r>
        <w:t xml:space="preserve">Sollte Riverton den jüngsten Rückgang der Todesfälle als Beleg dafür werten, dass die aktuelle Strategie funktioniert, als vorübergehende Verschnaufpause, oder als Signal, dass Ressourcen in eine andere Phase der Epidemie verlagert werden sollten?</w:t>
      </w:r>
    </w:p>
    <w:bookmarkEnd w:id="10"/>
    <w:bookmarkEnd w:id="11"/>
    <w:bookmarkStart w:id="12" w:name="riverton-county"/>
    <w:p>
      <w:pPr>
        <w:pStyle w:val="Heading1"/>
      </w:pPr>
      <w:r>
        <w:t xml:space="preserve">Riverton County</w:t>
      </w:r>
    </w:p>
    <w:p>
      <w:pPr>
        <w:pStyle w:val="FirstParagraph"/>
      </w:pPr>
      <w:r>
        <w:t xml:space="preserve">Riverton County hatte 618.000 Einwohner. Sein östlicher Korridor umfasste eine Universität, zwei Krankenhäuser sowie wachsende Technologie- und Logistikunternehmen. Die westlichen Gemeinden waren ländlicher geprägt, mit weniger Behandlungsanbietern und eingeschränktem öffentlichen Nahverkehr. Das mittlere Haushaltseinkommen lag bei $71.400, doch fünf Stadtviertel wiesen Armutsquoten über 25% auf. Die Bevölkerung des Countys setzte sich zu 46% aus Weißen, 27% Schwarzen, 19% Hispanics, 5% Asiaten und 3% sonstigen oder multirassischen Personen zusammen. Alle Daten zu Riverton in diesem Fall sind fiktiv, wurden jedoch so gestaltet, dass sie Bedingungen widerspiegeln, mit denen viele US-Gemeinden konfrontiert sind.</w:t>
      </w:r>
    </w:p>
    <w:bookmarkEnd w:id="12"/>
    <w:bookmarkStart w:id="13" w:name="ein-sich-wandelndes-überdosis-umfeld"/>
    <w:p>
      <w:pPr>
        <w:pStyle w:val="Heading1"/>
      </w:pPr>
      <w:r>
        <w:t xml:space="preserve">Ein sich wandelndes Überdosis-Umfeld</w:t>
      </w:r>
    </w:p>
    <w:p>
      <w:pPr>
        <w:pStyle w:val="FirstParagraph"/>
      </w:pPr>
      <w:r>
        <w:t xml:space="preserve">Rivertons Überdosis-Reaktionsstrategie war in einer Phase rasch steigender Todesfälle entwickelt worden. Bis 2026 war das Umfeld komplizierter geworden. Weniger Menschen starben, doch das illegale Drogenangebot blieb unberechenbar. Fentanyl war weiterhin die dominierende Bedrohung, und viele Todesfälle betrafen mehrere Substanzen. Nationale Daten zeigten, dass die Sterberate durch synthetische Opioide von 2023 auf 2024 erheblich sank, die Rate jedoch weiterhin bei 14,3 Todesfällen pro 100.000 Menschen lag.³</w:t>
      </w:r>
    </w:p>
    <w:p>
      <w:pPr>
        <w:pStyle w:val="BodyText"/>
      </w:pPr>
      <w:r>
        <w:t xml:space="preserve">Auch das Überwachungssystem des Countys hatte Einschränkungen. Bestätigte Sterblichkeitsdaten hinkten drei bis fünf Monate hinterher. EMS-Daten waren innerhalb weniger Tage verfügbar, erfassten jedoch nur Vorfälle mit einem 911-Einsatz. Krankenhausdaten schlossen Personen aus, die außerhalb des Countys behandelt wurden oder einen Transport ablehnten. Outreach-Teams sammelten wertvolle Beobachtungen, doch ihre Berichte waren nicht standardisiert.</w:t>
      </w:r>
    </w:p>
    <w:bookmarkEnd w:id="13"/>
    <w:bookmarkStart w:id="14" w:name="das-aktuelle-maßnahmenportfolio"/>
    <w:p>
      <w:pPr>
        <w:pStyle w:val="Heading1"/>
      </w:pPr>
      <w:r>
        <w:t xml:space="preserve">Das aktuelle Maßnahmenportfolio</w:t>
      </w:r>
    </w:p>
    <w:p>
      <w:pPr>
        <w:pStyle w:val="FirstParagraph"/>
      </w:pPr>
      <w:r>
        <w:rPr>
          <w:b/>
          <w:bCs/>
        </w:rPr>
        <w:t xml:space="preserve">Naloxon-Zugang:</w:t>
      </w:r>
      <w:r>
        <w:t xml:space="preserve"> </w:t>
      </w:r>
      <w:r>
        <w:t xml:space="preserve">Kostenlose Kits über Apotheken, Bibliotheken, Notunterkünfte, Outreach-Teams und Automaten. Die Verteilung war von 8.400 Kits im Jahr 2023 auf 22.600 im Jahr 2025 gestiegen.</w:t>
      </w:r>
    </w:p>
    <w:p>
      <w:pPr>
        <w:pStyle w:val="BodyText"/>
      </w:pPr>
      <w:r>
        <w:rPr>
          <w:b/>
          <w:bCs/>
        </w:rPr>
        <w:t xml:space="preserve">Mobile Behandlung:</w:t>
      </w:r>
      <w:r>
        <w:t xml:space="preserve"> </w:t>
      </w:r>
      <w:r>
        <w:t xml:space="preserve">Ein Bus besuchte wöchentlich sechs Hochrisiko-Standorte und konnte Buprenorphin verabreichen, Wundversorgung leisten und Patienten mit langfristiger Versorgung verbinden.</w:t>
      </w:r>
    </w:p>
    <w:p>
      <w:pPr>
        <w:pStyle w:val="BodyText"/>
      </w:pPr>
      <w:r>
        <w:rPr>
          <w:b/>
          <w:bCs/>
        </w:rPr>
        <w:t xml:space="preserve">Post-Überdosis-Outreach:</w:t>
      </w:r>
      <w:r>
        <w:t xml:space="preserve"> </w:t>
      </w:r>
      <w:r>
        <w:t xml:space="preserve">Peer-Recovery-Spezialisten versuchten, Überdosis-Überlebende innerhalb von 48 Stunden nach einem EMS- oder Krankenhauskontakt zu erreichen.</w:t>
      </w:r>
    </w:p>
    <w:p>
      <w:pPr>
        <w:pStyle w:val="BodyText"/>
      </w:pPr>
      <w:r>
        <w:rPr>
          <w:b/>
          <w:bCs/>
        </w:rPr>
        <w:t xml:space="preserve">Präventionsprogramme für Schulen und Arbeitsplätze:</w:t>
      </w:r>
      <w:r>
        <w:t xml:space="preserve"> </w:t>
      </w:r>
      <w:r>
        <w:t xml:space="preserve">Programme konzentrierten sich auf Stigmatisierung, sichereres Verschreiben, das Erkennen von Überdosen und Wege zur Versorgung.</w:t>
      </w:r>
    </w:p>
    <w:p>
      <w:pPr>
        <w:pStyle w:val="BodyText"/>
      </w:pPr>
      <w:r>
        <w:rPr>
          <w:b/>
          <w:bCs/>
        </w:rPr>
        <w:t xml:space="preserve">Datenkoordination:</w:t>
      </w:r>
      <w:r>
        <w:t xml:space="preserve"> </w:t>
      </w:r>
      <w:r>
        <w:t xml:space="preserve">Ein kleines epidemiologisches Team kombinierte EMS-, Krankenhaus-, Gefängnis-, Behandlungs- und Sterblichkeitsdaten in einem monatlichen Dashboard.</w:t>
      </w:r>
    </w:p>
    <w:bookmarkEnd w:id="14"/>
    <w:bookmarkStart w:id="15" w:name="widersprüchliche-ansichten"/>
    <w:p>
      <w:pPr>
        <w:pStyle w:val="Heading1"/>
      </w:pPr>
      <w:r>
        <w:t xml:space="preserve">Widersprüchliche Ansichten</w:t>
      </w:r>
    </w:p>
    <w:p>
      <w:pPr>
        <w:pStyle w:val="FirstParagraph"/>
      </w:pPr>
      <w:r>
        <w:t xml:space="preserve">County Executive Marcus Lee konzentrierte sich auf fiskalische Nachhaltigkeit. Er unterstützte Naloxon, stellte jedoch infrage, ob ein County einen Behandlungsbus betreiben sollte, wenn private Anbieter existierten. Das Krankenhaussystem befürwortete den Ausbau der medikamentösen Behandlung in Notaufnahmen, wollte jedoch, dass der County Navigatoren finanziert, die eine Nachsorge organisieren könnten. Führungskräfte der Polizei argumentierten, dass offene Drogenmärkte und wiederholte Überdosisfälle die öffentliche Sicherheit belasten würden. Gemeindevertreter warnten, dass durchsetzungslastige Ansätze Menschen in isoliertere Umgebungen treiben könnten, in denen eine Überdosis weniger wahrscheinlich beobachtet würde.</w:t>
      </w:r>
    </w:p>
    <w:p>
      <w:pPr>
        <w:pStyle w:val="BodyText"/>
      </w:pPr>
      <w:r>
        <w:t xml:space="preserve">Behandlungsanbieter betonten Kapazität statt Outreach. Ihre Kliniken hatten freie Termine, doch viele Patienten blieben nicht in Behandlung. Transport, instabile Wohnverhältnisse, Angst vor Entzug, frühere negative Erfahrungen und Arbeitszeiten waren häufige Hindernisse. Landesweit hatten 2024 48,4 Millionen Menschen ab 12 Jahren eine Substanzgebrauchsstörung.⁴ Die nationale Erhebung zeigte zudem erhebliche Variation in Schweregrad und Art der Opioidgebrauchsstörung, was jedes einheitliche Versorgungsmodell erschwerte.⁵</w:t>
      </w:r>
    </w:p>
    <w:bookmarkEnd w:id="15"/>
    <w:bookmarkStart w:id="16" w:name="fragen-der-gerechtigkeit"/>
    <w:p>
      <w:pPr>
        <w:pStyle w:val="Heading1"/>
      </w:pPr>
      <w:r>
        <w:t xml:space="preserve">Fragen der Gerechtigkeit</w:t>
      </w:r>
    </w:p>
    <w:p>
      <w:pPr>
        <w:pStyle w:val="FirstParagraph"/>
      </w:pPr>
      <w:r>
        <w:t xml:space="preserve">Der Gesamtrückgang im County verdeckte divergierende Trends. Tödliche Überdosen waren seit 2023 bei weißen Einwohnern um 28% gesunken, bei Schwarzen Einwohnern jedoch nur um 6%; Todesfälle bei Einwohnern im Alter von 45–64 Jahren waren überhaupt nicht zurückgegangen. Frühere CDC-Forschung hatte zunehmende rassische Disparitäten festgestellt und höhere Überdosisraten mit Einkommensungleichheit und eingeschränktem früheren Behandlungszugang in Verbindung gebracht.⁶ Der Beirat des Countys bestand darauf, dass Torres diese Unterschiede explizit angehen solle, doch die Mitglieder waren sich uneinig, ob Ressourcen proportional zur Bevölkerung, zur Überdosisbelastung, zu Versorgungslücken oder zur Benachteiligung von Stadtvierteln verteilt werden sollten.</w:t>
      </w:r>
    </w:p>
    <w:bookmarkEnd w:id="16"/>
    <w:bookmarkStart w:id="17" w:name="die-finanzierungslücke"/>
    <w:p>
      <w:pPr>
        <w:pStyle w:val="Heading1"/>
      </w:pPr>
      <w:r>
        <w:t xml:space="preserve">Die Finanzierungslücke</w:t>
      </w:r>
    </w:p>
    <w:p>
      <w:pPr>
        <w:pStyle w:val="FirstParagraph"/>
      </w:pPr>
      <w:r>
        <w:t xml:space="preserve">Der auslaufende Zuschuss stellte $4,8 Millionen des jährlichen Budgets von Riverton für die Überdosis-Reaktion in Höhe von $12,6 Millionen bereit. Der County Executive bot $2,4 Millionen an Ersatzmitteln an, sodass eine Lücke von $2,4 Millionen blieb. Torres konnte ein Paket vorlegen, das Kürzungen, Programm-Neugestaltung und eine Anfrage nach zusätzlichen County-Mitteln kombinierte, doch jede Anfrage über $2,4 Millionen würde mit Müttergesundheit, Überwachung übertragbarer Krankheiten und Personal im Bereich Umweltgesundheit konkurrieren.</w:t>
      </w:r>
    </w:p>
    <w:bookmarkEnd w:id="17"/>
    <w:bookmarkStart w:id="18" w:name="programme-unter-überprüfung"/>
    <w:p>
      <w:pPr>
        <w:pStyle w:val="Heading1"/>
      </w:pPr>
      <w:r>
        <w:t xml:space="preserve">Programme unter Überprüfung</w:t>
      </w:r>
    </w:p>
    <w:tbl>
      <w:tblPr>
        <w:tblStyle w:val="Table"/>
        <w:tblW w:type="pct" w:w="4935"/>
        <w:tblLayout w:type="fixed"/>
        <w:tblLook w:firstRow="1" w:lastRow="0" w:firstColumn="0" w:lastColumn="0" w:noHBand="0" w:noVBand="0" w:val="0020"/>
      </w:tblPr>
      <w:tblGrid>
        <w:gridCol w:w="1131"/>
        <w:gridCol w:w="977"/>
        <w:gridCol w:w="2160"/>
        <w:gridCol w:w="2828"/>
        <w:gridCol w:w="720"/>
      </w:tblGrid>
      <w:tr>
        <w:trPr>
          <w:tblHeader w:val="on"/>
        </w:trPr>
        <w:tc>
          <w:tcPr/>
          <w:p>
            <w:pPr>
              <w:pStyle w:val="Compact"/>
              <w:jc w:val="left"/>
            </w:pPr>
            <w:r>
              <w:t xml:space="preserve">Programm</w:t>
            </w:r>
          </w:p>
        </w:tc>
        <w:tc>
          <w:tcPr/>
          <w:p>
            <w:pPr>
              <w:pStyle w:val="Compact"/>
              <w:jc w:val="center"/>
            </w:pPr>
            <w:r>
              <w:t xml:space="preserve">Jährliche Kosten</w:t>
            </w:r>
          </w:p>
        </w:tc>
        <w:tc>
          <w:tcPr/>
          <w:p>
            <w:pPr>
              <w:pStyle w:val="Compact"/>
              <w:jc w:val="center"/>
            </w:pPr>
            <w:r>
              <w:t xml:space="preserve">Ausgewählte Ergebnisse</w:t>
            </w:r>
          </w:p>
        </w:tc>
        <w:tc>
          <w:tcPr/>
          <w:p>
            <w:pPr>
              <w:pStyle w:val="Compact"/>
              <w:jc w:val="center"/>
            </w:pPr>
            <w:r>
              <w:t xml:space="preserve">Beobachtetes Problem</w:t>
            </w:r>
          </w:p>
        </w:tc>
        <w:tc>
          <w:tcPr/>
          <w:p>
            <w:pPr>
              <w:pStyle w:val="Compact"/>
            </w:pPr>
            <w:r>
              <w:t xml:space="preserve">Zuschussanteil</w:t>
            </w:r>
          </w:p>
        </w:tc>
      </w:tr>
      <w:tr>
        <w:tc>
          <w:tcPr/>
          <w:p>
            <w:pPr>
              <w:pStyle w:val="Compact"/>
              <w:jc w:val="left"/>
            </w:pPr>
            <w:r>
              <w:t xml:space="preserve">Naloxon-Netzwerk</w:t>
            </w:r>
          </w:p>
        </w:tc>
        <w:tc>
          <w:tcPr/>
          <w:p>
            <w:pPr>
              <w:pStyle w:val="Compact"/>
              <w:jc w:val="center"/>
            </w:pPr>
            <w:r>
              <w:t xml:space="preserve">$2,1 Mio.</w:t>
            </w:r>
          </w:p>
        </w:tc>
        <w:tc>
          <w:tcPr/>
          <w:p>
            <w:pPr>
              <w:pStyle w:val="Compact"/>
              <w:jc w:val="center"/>
            </w:pPr>
            <w:r>
              <w:t xml:space="preserve">22.600 Kits; 1.140 gemeldete Reversals</w:t>
            </w:r>
          </w:p>
        </w:tc>
        <w:tc>
          <w:tcPr/>
          <w:p>
            <w:pPr>
              <w:pStyle w:val="Compact"/>
              <w:jc w:val="center"/>
            </w:pPr>
            <w:r>
              <w:t xml:space="preserve">Unbekannte Nutzungsrate; Ersatz-Kits oft nicht erfasst</w:t>
            </w:r>
          </w:p>
        </w:tc>
        <w:tc>
          <w:tcPr/>
          <w:p>
            <w:pPr>
              <w:pStyle w:val="Compact"/>
            </w:pPr>
            <w:r>
              <w:t xml:space="preserve">38%</w:t>
            </w:r>
          </w:p>
        </w:tc>
      </w:tr>
      <w:tr>
        <w:tc>
          <w:tcPr/>
          <w:p>
            <w:pPr>
              <w:pStyle w:val="Compact"/>
              <w:jc w:val="left"/>
            </w:pPr>
            <w:r>
              <w:t xml:space="preserve">Mobile Einheit</w:t>
            </w:r>
          </w:p>
        </w:tc>
        <w:tc>
          <w:tcPr/>
          <w:p>
            <w:pPr>
              <w:pStyle w:val="Compact"/>
              <w:jc w:val="center"/>
            </w:pPr>
            <w:r>
              <w:t xml:space="preserve">$2,8 Mio.</w:t>
            </w:r>
          </w:p>
        </w:tc>
        <w:tc>
          <w:tcPr/>
          <w:p>
            <w:pPr>
              <w:pStyle w:val="Compact"/>
              <w:jc w:val="center"/>
            </w:pPr>
            <w:r>
              <w:t xml:space="preserve">3.420 Besuche; 684 Medikationsstarts</w:t>
            </w:r>
          </w:p>
        </w:tc>
        <w:tc>
          <w:tcPr/>
          <w:p>
            <w:pPr>
              <w:pStyle w:val="Compact"/>
              <w:jc w:val="center"/>
            </w:pPr>
            <w:r>
              <w:t xml:space="preserve">Nur 34% blieben nach 90 Tagen in Behandlung</w:t>
            </w:r>
          </w:p>
        </w:tc>
        <w:tc>
          <w:tcPr/>
          <w:p>
            <w:pPr>
              <w:pStyle w:val="Compact"/>
            </w:pPr>
            <w:r>
              <w:t xml:space="preserve">61%</w:t>
            </w:r>
          </w:p>
        </w:tc>
      </w:tr>
      <w:tr>
        <w:tc>
          <w:tcPr/>
          <w:p>
            <w:pPr>
              <w:pStyle w:val="Compact"/>
              <w:jc w:val="left"/>
            </w:pPr>
            <w:r>
              <w:t xml:space="preserve">Post-Überdosis-Peers</w:t>
            </w:r>
          </w:p>
        </w:tc>
        <w:tc>
          <w:tcPr/>
          <w:p>
            <w:pPr>
              <w:pStyle w:val="Compact"/>
              <w:jc w:val="center"/>
            </w:pPr>
            <w:r>
              <w:t xml:space="preserve">$1,7 Mio.</w:t>
            </w:r>
          </w:p>
        </w:tc>
        <w:tc>
          <w:tcPr/>
          <w:p>
            <w:pPr>
              <w:pStyle w:val="Compact"/>
              <w:jc w:val="center"/>
            </w:pPr>
            <w:r>
              <w:t xml:space="preserve">1.126 Überweisungen; 438 Kontakte</w:t>
            </w:r>
          </w:p>
        </w:tc>
        <w:tc>
          <w:tcPr/>
          <w:p>
            <w:pPr>
              <w:pStyle w:val="Compact"/>
              <w:jc w:val="center"/>
            </w:pPr>
            <w:r>
              <w:t xml:space="preserve">Viele Überlebende nicht erreichbar oder lehnen Hilfe ab</w:t>
            </w:r>
          </w:p>
        </w:tc>
        <w:tc>
          <w:tcPr/>
          <w:p>
            <w:pPr>
              <w:pStyle w:val="Compact"/>
            </w:pPr>
            <w:r>
              <w:t xml:space="preserve">47%</w:t>
            </w:r>
          </w:p>
        </w:tc>
      </w:tr>
      <w:tr>
        <w:tc>
          <w:tcPr/>
          <w:p>
            <w:pPr>
              <w:pStyle w:val="Compact"/>
              <w:jc w:val="left"/>
            </w:pPr>
            <w:r>
              <w:t xml:space="preserve">Präventionsprogramme</w:t>
            </w:r>
          </w:p>
        </w:tc>
        <w:tc>
          <w:tcPr/>
          <w:p>
            <w:pPr>
              <w:pStyle w:val="Compact"/>
              <w:jc w:val="center"/>
            </w:pPr>
            <w:r>
              <w:t xml:space="preserve">$1,3 Mio.</w:t>
            </w:r>
          </w:p>
        </w:tc>
        <w:tc>
          <w:tcPr/>
          <w:p>
            <w:pPr>
              <w:pStyle w:val="Compact"/>
              <w:jc w:val="center"/>
            </w:pPr>
            <w:r>
              <w:t xml:space="preserve">18.400 erreichte Schüler/Beschäftigte</w:t>
            </w:r>
          </w:p>
        </w:tc>
        <w:tc>
          <w:tcPr/>
          <w:p>
            <w:pPr>
              <w:pStyle w:val="Compact"/>
              <w:jc w:val="center"/>
            </w:pPr>
            <w:r>
              <w:t xml:space="preserve">Kein direkter Zusammenhang mit Sterblichkeitsergebnisse</w:t>
            </w:r>
          </w:p>
        </w:tc>
        <w:tc>
          <w:tcPr/>
          <w:p>
            <w:pPr>
              <w:pStyle w:val="Compact"/>
            </w:pPr>
            <w:r>
              <w:t xml:space="preserve">n 29%</w:t>
            </w:r>
          </w:p>
        </w:tc>
      </w:tr>
      <w:tr>
        <w:tc>
          <w:tcPr/>
          <w:p>
            <w:pPr>
              <w:pStyle w:val="Compact"/>
              <w:jc w:val="left"/>
            </w:pPr>
            <w:r>
              <w:t xml:space="preserve">Überwachung/Daten</w:t>
            </w:r>
          </w:p>
        </w:tc>
        <w:tc>
          <w:tcPr/>
          <w:p>
            <w:pPr>
              <w:pStyle w:val="Compact"/>
              <w:jc w:val="center"/>
            </w:pPr>
            <w:r>
              <w:t xml:space="preserve">$1,2 Mio.</w:t>
            </w:r>
          </w:p>
        </w:tc>
        <w:tc>
          <w:tcPr/>
          <w:p>
            <w:pPr>
              <w:pStyle w:val="Compact"/>
              <w:jc w:val="center"/>
            </w:pPr>
            <w:r>
              <w:t xml:space="preserve">Monatliches Dashboard; Hotspot-Warnungen</w:t>
            </w:r>
          </w:p>
        </w:tc>
        <w:tc>
          <w:tcPr/>
          <w:p>
            <w:pPr>
              <w:pStyle w:val="Compact"/>
              <w:jc w:val="center"/>
            </w:pPr>
            <w:r>
              <w:t xml:space="preserve">Verzögerungen beim Datenaustausch und inkonsistente</w:t>
            </w:r>
            <w:r>
              <w:t xml:space="preserve"> </w:t>
            </w:r>
            <w:r>
              <w:t xml:space="preserve">Definitionen</w:t>
            </w:r>
          </w:p>
        </w:tc>
        <w:tc>
          <w:tcPr/>
          <w:p>
            <w:pPr>
              <w:pStyle w:val="Compact"/>
            </w:pPr>
            <w:r>
              <w:t xml:space="preserve">52%</w:t>
            </w:r>
          </w:p>
        </w:tc>
      </w:tr>
      <w:tr>
        <w:tc>
          <w:tcPr/>
          <w:p>
            <w:pPr>
              <w:pStyle w:val="Compact"/>
              <w:jc w:val="left"/>
            </w:pPr>
            <w:r>
              <w:t xml:space="preserve">Anbieterverträge</w:t>
            </w:r>
          </w:p>
        </w:tc>
        <w:tc>
          <w:tcPr/>
          <w:p>
            <w:pPr>
              <w:pStyle w:val="Compact"/>
              <w:jc w:val="center"/>
            </w:pPr>
            <w:r>
              <w:t xml:space="preserve">$3,5 Mio.</w:t>
            </w:r>
          </w:p>
        </w:tc>
        <w:tc>
          <w:tcPr/>
          <w:p>
            <w:pPr>
              <w:pStyle w:val="Compact"/>
              <w:jc w:val="center"/>
            </w:pPr>
            <w:r>
              <w:t xml:space="preserve">2.260 finanzierte Behandlungsplätze</w:t>
            </w:r>
          </w:p>
        </w:tc>
        <w:tc>
          <w:tcPr/>
          <w:p>
            <w:pPr>
              <w:pStyle w:val="Compact"/>
              <w:jc w:val="center"/>
            </w:pPr>
            <w:r>
              <w:t xml:space="preserve">Auslastung durchschnittlich 72%; eingeschränkter</w:t>
            </w:r>
            <w:r>
              <w:t xml:space="preserve"> </w:t>
            </w:r>
            <w:r>
              <w:t xml:space="preserve">ländlicher Zugang</w:t>
            </w:r>
          </w:p>
        </w:tc>
        <w:tc>
          <w:tcPr/>
          <w:p>
            <w:pPr>
              <w:pStyle w:val="Compact"/>
            </w:pPr>
            <w:r>
              <w:t xml:space="preserve">23%</w:t>
            </w:r>
          </w:p>
        </w:tc>
      </w:tr>
    </w:tbl>
    <w:p>
      <w:pPr>
        <w:pStyle w:val="BodyText"/>
      </w:pPr>
      <w:r>
        <w:t xml:space="preserve">Hinweis: Kosten und Ergebnisse sind fiktiv. „Zuschussanteil” ist der Anteil, der derzeit durch den auslaufenden Bundeszuschuss finanziert wird.</w:t>
      </w:r>
    </w:p>
    <w:bookmarkEnd w:id="18"/>
    <w:bookmarkStart w:id="19" w:name="X24a75e0688c9b02a731062acf44490ca4aae045"/>
    <w:p>
      <w:pPr>
        <w:pStyle w:val="Heading1"/>
      </w:pPr>
      <w:r>
        <w:t xml:space="preserve">Mögliche Richtungen — nicht gegenseitig ausschließend</w:t>
      </w:r>
    </w:p>
    <w:p>
      <w:pPr>
        <w:pStyle w:val="FirstParagraph"/>
      </w:pPr>
      <w:r>
        <w:rPr>
          <w:b/>
          <w:bCs/>
        </w:rPr>
        <w:t xml:space="preserve">Konzentration auf Sterblichkeitsprävention.</w:t>
      </w:r>
      <w:r>
        <w:t xml:space="preserve"> </w:t>
      </w:r>
      <w:r>
        <w:t xml:space="preserve">Naloxon-Verteilung und Hotspot-Outreach schützen, dabei eine schwächere Behandlungskontinuität in Kauf nehmen.</w:t>
      </w:r>
    </w:p>
    <w:p>
      <w:pPr>
        <w:pStyle w:val="BodyText"/>
      </w:pPr>
      <w:r>
        <w:rPr>
          <w:b/>
          <w:bCs/>
        </w:rPr>
        <w:t xml:space="preserve">Verlagerung hin zur Behandlungsbindung.</w:t>
      </w:r>
      <w:r>
        <w:t xml:space="preserve"> </w:t>
      </w:r>
      <w:r>
        <w:t xml:space="preserve">Breite Verteilung reduzieren und in Transport, Versorgungsnavigation, Contingency Management und längere Nachverfolgung investieren.</w:t>
      </w:r>
    </w:p>
    <w:p>
      <w:pPr>
        <w:pStyle w:val="BodyText"/>
      </w:pPr>
      <w:r>
        <w:rPr>
          <w:b/>
          <w:bCs/>
        </w:rPr>
        <w:t xml:space="preserve">Ausrichtung auf hoch belastete Bevölkerungsgruppen und Orte.</w:t>
      </w:r>
      <w:r>
        <w:t xml:space="preserve"> </w:t>
      </w:r>
      <w:r>
        <w:t xml:space="preserve">Daten zu Stadtvierteln und Demografie nutzen, um Ressourcen zu konzentrieren, auch wenn der countyweite Zugang dadurch weniger einheitlich wird.</w:t>
      </w:r>
    </w:p>
    <w:p>
      <w:pPr>
        <w:pStyle w:val="BodyText"/>
      </w:pPr>
      <w:r>
        <w:rPr>
          <w:b/>
          <w:bCs/>
        </w:rPr>
        <w:t xml:space="preserve">Verlagerung von Leistungen in etablierte Institutionen.</w:t>
      </w:r>
      <w:r>
        <w:t xml:space="preserve"> </w:t>
      </w:r>
      <w:r>
        <w:t xml:space="preserve">Verträge mit Krankenhäusern, Hausarztpraxen, Apotheken und dem Gefängnis abschließen, anstatt county-eigene Programme fortzuführen.</w:t>
      </w:r>
    </w:p>
    <w:p>
      <w:pPr>
        <w:pStyle w:val="BodyText"/>
      </w:pPr>
      <w:r>
        <w:rPr>
          <w:b/>
          <w:bCs/>
        </w:rPr>
        <w:t xml:space="preserve">Aufbau eines anpassungsfähigeren Portfolios.</w:t>
      </w:r>
      <w:r>
        <w:t xml:space="preserve"> </w:t>
      </w:r>
      <w:r>
        <w:t xml:space="preserve">Einen Teil des Budgets für schnelle Experimente reservieren, die an Frühindikatoren gekoppelt sind, wobei Programme je nach Erkenntnisstand ausgeweitet oder gestoppt werden.</w:t>
      </w:r>
    </w:p>
    <w:bookmarkEnd w:id="19"/>
    <w:bookmarkStart w:id="20" w:name="was-würde-erfolg-bedeuten"/>
    <w:p>
      <w:pPr>
        <w:pStyle w:val="Heading1"/>
      </w:pPr>
      <w:r>
        <w:t xml:space="preserve">Was würde Erfolg bedeuten?</w:t>
      </w:r>
    </w:p>
    <w:p>
      <w:pPr>
        <w:pStyle w:val="FirstParagraph"/>
      </w:pPr>
      <w:r>
        <w:t xml:space="preserve">Die Interessengruppen waren sich über das Ziel nicht einig. Der County Executive wollte weniger Todesfälle pro ausgegebenem Dollar. Das Krankenhaus priorisierte den Behandlungsbeginn und eine geringere Nutzung der Notaufnahme. Interessenvertreter betonten Überleben, Würde und gerechten Zugang. Führungskräfte der Polizei konzentrierten sich auf öffentlichen Drogenkonsum und wiederholte Einsätze. Anbieter maßen die Verbleibquote in der Behandlung. Das epidemiologische Team warnte, dass eine scheinbare Verbesserung bei einer einzelnen Kennzahl Verdrängung, Meldeverzögerungen, Veränderungen in der Drogenzusammensetzung oder Regression zum Mittelwert widerspiegeln könnte.</w:t>
      </w:r>
    </w:p>
    <w:p>
      <w:pPr>
        <w:pStyle w:val="BodyText"/>
      </w:pPr>
      <w:r>
        <w:t xml:space="preserve">Torres musste zudem entscheiden, wie viel Evidenz ausreichend war. Eine groß angelegte, bundesweit finanzierte Gemeindeintervention hatte während ihres Evaluationszeitraums keine statistisch signifikante Verringerung der Sterberate durch Opioid-Überdosen nachweisen können, obwohl evidenzbasierte Praktiken zunahmen — ein Beispiel dafür, wie schwierig es sein kann, ein umfassendes Leistungspaket in messbare Bevölkerungsergebnisse zu übersetzen.⁷</w:t>
      </w:r>
    </w:p>
    <w:bookmarkEnd w:id="20"/>
    <w:bookmarkStart w:id="21" w:name="X4eafe7bee9fcf8063b18122ef83d4096384ac4d"/>
    <w:p>
      <w:pPr>
        <w:pStyle w:val="Heading1"/>
      </w:pPr>
      <w:r>
        <w:t xml:space="preserve">Abbildung 1. Riverton Überdosis-Indikatoren</w:t>
      </w:r>
    </w:p>
    <w:tbl>
      <w:tblPr>
        <w:tblStyle w:val="Table"/>
        <w:tblW w:type="pct" w:w="4901"/>
        <w:tblLayout w:type="fixed"/>
        <w:tblLook w:firstRow="1" w:lastRow="0" w:firstColumn="0" w:lastColumn="0" w:noHBand="0" w:noVBand="0" w:val="0020"/>
      </w:tblPr>
      <w:tblGrid>
        <w:gridCol w:w="2979"/>
        <w:gridCol w:w="940"/>
        <w:gridCol w:w="940"/>
        <w:gridCol w:w="940"/>
        <w:gridCol w:w="940"/>
        <w:gridCol w:w="1019"/>
      </w:tblGrid>
      <w:tr>
        <w:trPr>
          <w:tblHeader w:val="on"/>
        </w:trPr>
        <w:tc>
          <w:tcPr/>
          <w:p>
            <w:pPr>
              <w:pStyle w:val="Compact"/>
              <w:jc w:val="left"/>
            </w:pPr>
            <w:r>
              <w:t xml:space="preserve">Indikator</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2026 YTD*</w:t>
            </w:r>
          </w:p>
        </w:tc>
      </w:tr>
      <w:tr>
        <w:tc>
          <w:tcPr/>
          <w:p>
            <w:pPr>
              <w:pStyle w:val="Compact"/>
              <w:jc w:val="left"/>
            </w:pPr>
            <w:r>
              <w:t xml:space="preserve">Tödliche Überdosen</w:t>
            </w:r>
          </w:p>
        </w:tc>
        <w:tc>
          <w:tcPr/>
          <w:p>
            <w:pPr>
              <w:pStyle w:val="Compact"/>
              <w:jc w:val="left"/>
            </w:pPr>
            <w:r>
              <w:t xml:space="preserve">118</w:t>
            </w:r>
          </w:p>
        </w:tc>
        <w:tc>
          <w:tcPr/>
          <w:p>
            <w:pPr>
              <w:pStyle w:val="Compact"/>
              <w:jc w:val="left"/>
            </w:pPr>
            <w:r>
              <w:t xml:space="preserve">136</w:t>
            </w:r>
          </w:p>
        </w:tc>
        <w:tc>
          <w:tcPr/>
          <w:p>
            <w:pPr>
              <w:pStyle w:val="Compact"/>
              <w:jc w:val="left"/>
            </w:pPr>
            <w:r>
              <w:t xml:space="preserve">129</w:t>
            </w:r>
          </w:p>
        </w:tc>
        <w:tc>
          <w:tcPr/>
          <w:p>
            <w:pPr>
              <w:pStyle w:val="Compact"/>
              <w:jc w:val="left"/>
            </w:pPr>
            <w:r>
              <w:t xml:space="preserve">101</w:t>
            </w:r>
          </w:p>
        </w:tc>
        <w:tc>
          <w:tcPr/>
          <w:p>
            <w:pPr>
              <w:pStyle w:val="Compact"/>
              <w:jc w:val="left"/>
            </w:pPr>
            <w:r>
              <w:t xml:space="preserve">43</w:t>
            </w:r>
          </w:p>
        </w:tc>
      </w:tr>
      <w:tr>
        <w:tc>
          <w:tcPr/>
          <w:p>
            <w:pPr>
              <w:pStyle w:val="Compact"/>
              <w:jc w:val="left"/>
            </w:pPr>
            <w:r>
              <w:t xml:space="preserve">Nicht tödliche, von EMS behandelte</w:t>
            </w:r>
            <w:r>
              <w:t xml:space="preserve"> </w:t>
            </w:r>
            <w:r>
              <w:t xml:space="preserve">Überdosen</w:t>
            </w:r>
          </w:p>
        </w:tc>
        <w:tc>
          <w:tcPr/>
          <w:p>
            <w:pPr>
              <w:pStyle w:val="Compact"/>
              <w:jc w:val="left"/>
            </w:pPr>
            <w:r>
              <w:t xml:space="preserve">642</w:t>
            </w:r>
          </w:p>
        </w:tc>
        <w:tc>
          <w:tcPr/>
          <w:p>
            <w:pPr>
              <w:pStyle w:val="Compact"/>
              <w:jc w:val="left"/>
            </w:pPr>
            <w:r>
              <w:t xml:space="preserve">714</w:t>
            </w:r>
          </w:p>
        </w:tc>
        <w:tc>
          <w:tcPr/>
          <w:p>
            <w:pPr>
              <w:pStyle w:val="Compact"/>
              <w:jc w:val="left"/>
            </w:pPr>
            <w:r>
              <w:t xml:space="preserve">746</w:t>
            </w:r>
          </w:p>
        </w:tc>
        <w:tc>
          <w:tcPr/>
          <w:p>
            <w:pPr>
              <w:pStyle w:val="Compact"/>
              <w:jc w:val="left"/>
            </w:pPr>
            <w:r>
              <w:t xml:space="preserve">691</w:t>
            </w:r>
          </w:p>
        </w:tc>
        <w:tc>
          <w:tcPr/>
          <w:p>
            <w:pPr>
              <w:pStyle w:val="Compact"/>
              <w:jc w:val="left"/>
            </w:pPr>
            <w:r>
              <w:t xml:space="preserve">286</w:t>
            </w:r>
          </w:p>
        </w:tc>
      </w:tr>
      <w:tr>
        <w:tc>
          <w:tcPr/>
          <w:p>
            <w:pPr>
              <w:pStyle w:val="Compact"/>
              <w:jc w:val="left"/>
            </w:pPr>
            <w:r>
              <w:t xml:space="preserve">Naloxon-Verabreichungen durch EMS</w:t>
            </w:r>
          </w:p>
        </w:tc>
        <w:tc>
          <w:tcPr/>
          <w:p>
            <w:pPr>
              <w:pStyle w:val="Compact"/>
              <w:jc w:val="left"/>
            </w:pPr>
            <w:r>
              <w:t xml:space="preserve">508</w:t>
            </w:r>
          </w:p>
        </w:tc>
        <w:tc>
          <w:tcPr/>
          <w:p>
            <w:pPr>
              <w:pStyle w:val="Compact"/>
              <w:jc w:val="left"/>
            </w:pPr>
            <w:r>
              <w:t xml:space="preserve">575</w:t>
            </w:r>
          </w:p>
        </w:tc>
        <w:tc>
          <w:tcPr/>
          <w:p>
            <w:pPr>
              <w:pStyle w:val="Compact"/>
              <w:jc w:val="left"/>
            </w:pPr>
            <w:r>
              <w:t xml:space="preserve">612</w:t>
            </w:r>
          </w:p>
        </w:tc>
        <w:tc>
          <w:tcPr/>
          <w:p>
            <w:pPr>
              <w:pStyle w:val="Compact"/>
              <w:jc w:val="left"/>
            </w:pPr>
            <w:r>
              <w:t xml:space="preserve">584</w:t>
            </w:r>
          </w:p>
        </w:tc>
        <w:tc>
          <w:tcPr/>
          <w:p>
            <w:pPr>
              <w:pStyle w:val="Compact"/>
              <w:jc w:val="left"/>
            </w:pPr>
            <w:r>
              <w:t xml:space="preserve">241</w:t>
            </w:r>
          </w:p>
        </w:tc>
      </w:tr>
      <w:tr>
        <w:tc>
          <w:tcPr/>
          <w:p>
            <w:pPr>
              <w:pStyle w:val="Compact"/>
              <w:jc w:val="left"/>
            </w:pPr>
            <w:r>
              <w:t xml:space="preserve">Krankenhauskontakte wegen Überdosen</w:t>
            </w:r>
          </w:p>
        </w:tc>
        <w:tc>
          <w:tcPr/>
          <w:p>
            <w:pPr>
              <w:pStyle w:val="Compact"/>
              <w:jc w:val="left"/>
            </w:pPr>
            <w:r>
              <w:t xml:space="preserve">884</w:t>
            </w:r>
          </w:p>
        </w:tc>
        <w:tc>
          <w:tcPr/>
          <w:p>
            <w:pPr>
              <w:pStyle w:val="Compact"/>
              <w:jc w:val="left"/>
            </w:pPr>
            <w:r>
              <w:t xml:space="preserve">963</w:t>
            </w:r>
          </w:p>
        </w:tc>
        <w:tc>
          <w:tcPr/>
          <w:p>
            <w:pPr>
              <w:pStyle w:val="Compact"/>
              <w:jc w:val="left"/>
            </w:pPr>
            <w:r>
              <w:t xml:space="preserve">1.022</w:t>
            </w:r>
          </w:p>
        </w:tc>
        <w:tc>
          <w:tcPr/>
          <w:p>
            <w:pPr>
              <w:pStyle w:val="Compact"/>
              <w:jc w:val="left"/>
            </w:pPr>
            <w:r>
              <w:t xml:space="preserve">947</w:t>
            </w:r>
          </w:p>
        </w:tc>
        <w:tc>
          <w:tcPr/>
          <w:p>
            <w:pPr>
              <w:pStyle w:val="Compact"/>
              <w:jc w:val="left"/>
            </w:pPr>
            <w:r>
              <w:t xml:space="preserve">412</w:t>
            </w:r>
          </w:p>
        </w:tc>
      </w:tr>
      <w:tr>
        <w:tc>
          <w:tcPr/>
          <w:p>
            <w:pPr>
              <w:pStyle w:val="Compact"/>
              <w:jc w:val="left"/>
            </w:pPr>
            <w:r>
              <w:t xml:space="preserve">Beginn medikamentöser Behandlung</w:t>
            </w:r>
          </w:p>
        </w:tc>
        <w:tc>
          <w:tcPr/>
          <w:p>
            <w:pPr>
              <w:pStyle w:val="Compact"/>
              <w:jc w:val="left"/>
            </w:pPr>
            <w:r>
              <w:t xml:space="preserve">611</w:t>
            </w:r>
          </w:p>
        </w:tc>
        <w:tc>
          <w:tcPr/>
          <w:p>
            <w:pPr>
              <w:pStyle w:val="Compact"/>
              <w:jc w:val="left"/>
            </w:pPr>
            <w:r>
              <w:t xml:space="preserve">782</w:t>
            </w:r>
          </w:p>
        </w:tc>
        <w:tc>
          <w:tcPr/>
          <w:p>
            <w:pPr>
              <w:pStyle w:val="Compact"/>
              <w:jc w:val="left"/>
            </w:pPr>
            <w:r>
              <w:t xml:space="preserve">1.036</w:t>
            </w:r>
          </w:p>
        </w:tc>
        <w:tc>
          <w:tcPr/>
          <w:p>
            <w:pPr>
              <w:pStyle w:val="Compact"/>
              <w:jc w:val="left"/>
            </w:pPr>
            <w:r>
              <w:t xml:space="preserve">1.194</w:t>
            </w:r>
          </w:p>
        </w:tc>
        <w:tc>
          <w:tcPr/>
          <w:p>
            <w:pPr>
              <w:pStyle w:val="Compact"/>
              <w:jc w:val="left"/>
            </w:pPr>
            <w:r>
              <w:t xml:space="preserve">566</w:t>
            </w:r>
          </w:p>
        </w:tc>
      </w:tr>
      <w:tr>
        <w:tc>
          <w:tcPr/>
          <w:p>
            <w:pPr>
              <w:pStyle w:val="Compact"/>
              <w:jc w:val="left"/>
            </w:pPr>
            <w:r>
              <w:t xml:space="preserve">90-Tage-Behandlungsverbleib</w:t>
            </w:r>
          </w:p>
        </w:tc>
        <w:tc>
          <w:tcPr/>
          <w:p>
            <w:pPr>
              <w:pStyle w:val="Compact"/>
              <w:jc w:val="left"/>
            </w:pPr>
            <w:r>
              <w:t xml:space="preserve">29%</w:t>
            </w:r>
          </w:p>
        </w:tc>
        <w:tc>
          <w:tcPr/>
          <w:p>
            <w:pPr>
              <w:pStyle w:val="Compact"/>
              <w:jc w:val="left"/>
            </w:pPr>
            <w:r>
              <w:t xml:space="preserve">31%</w:t>
            </w:r>
          </w:p>
        </w:tc>
        <w:tc>
          <w:tcPr/>
          <w:p>
            <w:pPr>
              <w:pStyle w:val="Compact"/>
              <w:jc w:val="left"/>
            </w:pPr>
            <w:r>
              <w:t xml:space="preserve">34%</w:t>
            </w:r>
          </w:p>
        </w:tc>
        <w:tc>
          <w:tcPr/>
          <w:p>
            <w:pPr>
              <w:pStyle w:val="Compact"/>
              <w:jc w:val="left"/>
            </w:pPr>
            <w:r>
              <w:t xml:space="preserve">36%</w:t>
            </w:r>
          </w:p>
        </w:tc>
        <w:tc>
          <w:tcPr/>
          <w:p>
            <w:pPr>
              <w:pStyle w:val="Compact"/>
              <w:jc w:val="left"/>
            </w:pPr>
            <w:r>
              <w:t xml:space="preserve">35%</w:t>
            </w:r>
          </w:p>
        </w:tc>
      </w:tr>
    </w:tbl>
    <w:p>
      <w:pPr>
        <w:pStyle w:val="BodyText"/>
      </w:pPr>
      <w:r>
        <w:t xml:space="preserve">*Bis 31. August 2026. Alle Zahlen zu Riverton sind fiktiv. Die Jahr-bis-Datum-Werte sind nicht direkt mit den Jahresgesamtwerten vergleichbar.</w:t>
      </w:r>
    </w:p>
    <w:bookmarkEnd w:id="21"/>
    <w:bookmarkStart w:id="22" w:name="Xe0011c4970de42e4399f99e53fddc80f39b7b1b"/>
    <w:p>
      <w:pPr>
        <w:pStyle w:val="Heading1"/>
      </w:pPr>
      <w:r>
        <w:t xml:space="preserve">Abbildung 2. Ungleichmäßige Ergebnisse, 2023–2025</w:t>
      </w:r>
    </w:p>
    <w:tbl>
      <w:tblPr>
        <w:tblStyle w:val="Table"/>
        <w:tblW w:type="pct" w:w="4885"/>
        <w:tblLayout w:type="fixed"/>
        <w:tblLook w:firstRow="1" w:lastRow="0" w:firstColumn="0" w:lastColumn="0" w:noHBand="0" w:noVBand="0" w:val="0020"/>
      </w:tblPr>
      <w:tblGrid>
        <w:gridCol w:w="2822"/>
        <w:gridCol w:w="1638"/>
        <w:gridCol w:w="1638"/>
        <w:gridCol w:w="1638"/>
      </w:tblGrid>
      <w:tr>
        <w:trPr>
          <w:tblHeader w:val="on"/>
        </w:trPr>
        <w:tc>
          <w:tcPr/>
          <w:p>
            <w:pPr>
              <w:pStyle w:val="Compact"/>
              <w:jc w:val="left"/>
            </w:pPr>
            <w:r>
              <w:t xml:space="preserve">Bevölkerungsgruppe</w:t>
            </w:r>
          </w:p>
        </w:tc>
        <w:tc>
          <w:tcPr/>
          <w:p>
            <w:pPr>
              <w:pStyle w:val="Compact"/>
              <w:jc w:val="left"/>
            </w:pPr>
            <w:r>
              <w:t xml:space="preserve">Todesfälle 2023</w:t>
            </w:r>
          </w:p>
        </w:tc>
        <w:tc>
          <w:tcPr/>
          <w:p>
            <w:pPr>
              <w:pStyle w:val="Compact"/>
              <w:jc w:val="left"/>
            </w:pPr>
            <w:r>
              <w:t xml:space="preserve">Todesfälle 2025</w:t>
            </w:r>
          </w:p>
        </w:tc>
        <w:tc>
          <w:tcPr/>
          <w:p>
            <w:pPr>
              <w:pStyle w:val="Compact"/>
              <w:jc w:val="left"/>
            </w:pPr>
            <w:r>
              <w:t xml:space="preserve">Veränderung</w:t>
            </w:r>
          </w:p>
        </w:tc>
      </w:tr>
      <w:tr>
        <w:tc>
          <w:tcPr/>
          <w:p>
            <w:pPr>
              <w:pStyle w:val="Compact"/>
              <w:jc w:val="left"/>
            </w:pPr>
            <w:r>
              <w:t xml:space="preserve">Weiße Einwohner</w:t>
            </w:r>
          </w:p>
        </w:tc>
        <w:tc>
          <w:tcPr/>
          <w:p>
            <w:pPr>
              <w:pStyle w:val="Compact"/>
              <w:jc w:val="left"/>
            </w:pPr>
            <w:r>
              <w:t xml:space="preserve">76</w:t>
            </w:r>
          </w:p>
        </w:tc>
        <w:tc>
          <w:tcPr/>
          <w:p>
            <w:pPr>
              <w:pStyle w:val="Compact"/>
              <w:jc w:val="left"/>
            </w:pPr>
            <w:r>
              <w:t xml:space="preserve">55</w:t>
            </w:r>
          </w:p>
        </w:tc>
        <w:tc>
          <w:tcPr/>
          <w:p>
            <w:pPr>
              <w:pStyle w:val="Compact"/>
              <w:jc w:val="left"/>
            </w:pPr>
            <w:r>
              <w:t xml:space="preserve">-28%</w:t>
            </w:r>
          </w:p>
        </w:tc>
      </w:tr>
      <w:tr>
        <w:tc>
          <w:tcPr/>
          <w:p>
            <w:pPr>
              <w:pStyle w:val="Compact"/>
              <w:jc w:val="left"/>
            </w:pPr>
            <w:r>
              <w:t xml:space="preserve">Schwarze Einwohner</w:t>
            </w:r>
          </w:p>
        </w:tc>
        <w:tc>
          <w:tcPr/>
          <w:p>
            <w:pPr>
              <w:pStyle w:val="Compact"/>
              <w:jc w:val="left"/>
            </w:pPr>
            <w:r>
              <w:t xml:space="preserve">34</w:t>
            </w:r>
          </w:p>
        </w:tc>
        <w:tc>
          <w:tcPr/>
          <w:p>
            <w:pPr>
              <w:pStyle w:val="Compact"/>
              <w:jc w:val="left"/>
            </w:pPr>
            <w:r>
              <w:t xml:space="preserve">32</w:t>
            </w:r>
          </w:p>
        </w:tc>
        <w:tc>
          <w:tcPr/>
          <w:p>
            <w:pPr>
              <w:pStyle w:val="Compact"/>
              <w:jc w:val="left"/>
            </w:pPr>
            <w:r>
              <w:t xml:space="preserve">-6%</w:t>
            </w:r>
          </w:p>
        </w:tc>
      </w:tr>
      <w:tr>
        <w:tc>
          <w:tcPr/>
          <w:p>
            <w:pPr>
              <w:pStyle w:val="Compact"/>
              <w:jc w:val="left"/>
            </w:pPr>
            <w:r>
              <w:t xml:space="preserve">Hispanische Einwohner</w:t>
            </w:r>
          </w:p>
        </w:tc>
        <w:tc>
          <w:tcPr/>
          <w:p>
            <w:pPr>
              <w:pStyle w:val="Compact"/>
              <w:jc w:val="left"/>
            </w:pPr>
            <w:r>
              <w:t xml:space="preserve">19</w:t>
            </w:r>
          </w:p>
        </w:tc>
        <w:tc>
          <w:tcPr/>
          <w:p>
            <w:pPr>
              <w:pStyle w:val="Compact"/>
              <w:jc w:val="left"/>
            </w:pPr>
            <w:r>
              <w:t xml:space="preserve">11</w:t>
            </w:r>
          </w:p>
        </w:tc>
        <w:tc>
          <w:tcPr/>
          <w:p>
            <w:pPr>
              <w:pStyle w:val="Compact"/>
              <w:jc w:val="left"/>
            </w:pPr>
            <w:r>
              <w:t xml:space="preserve">-42%</w:t>
            </w:r>
          </w:p>
        </w:tc>
      </w:tr>
      <w:tr>
        <w:tc>
          <w:tcPr/>
          <w:p>
            <w:pPr>
              <w:pStyle w:val="Compact"/>
              <w:jc w:val="left"/>
            </w:pPr>
            <w:r>
              <w:t xml:space="preserve">Sonstige/multirassische</w:t>
            </w:r>
            <w:r>
              <w:t xml:space="preserve"> </w:t>
            </w:r>
            <w:r>
              <w:t xml:space="preserve">Einwohner</w:t>
            </w:r>
          </w:p>
        </w:tc>
        <w:tc>
          <w:tcPr/>
          <w:p>
            <w:pPr>
              <w:pStyle w:val="Compact"/>
              <w:jc w:val="left"/>
            </w:pPr>
            <w:r>
              <w:t xml:space="preserve">7</w:t>
            </w:r>
          </w:p>
        </w:tc>
        <w:tc>
          <w:tcPr/>
          <w:p>
            <w:pPr>
              <w:pStyle w:val="Compact"/>
              <w:jc w:val="left"/>
            </w:pPr>
            <w:r>
              <w:t xml:space="preserve">3</w:t>
            </w:r>
          </w:p>
        </w:tc>
        <w:tc>
          <w:tcPr/>
          <w:p>
            <w:pPr>
              <w:pStyle w:val="Compact"/>
              <w:jc w:val="left"/>
            </w:pPr>
            <w:r>
              <w:t xml:space="preserve">-57%</w:t>
            </w:r>
          </w:p>
        </w:tc>
      </w:tr>
      <w:tr>
        <w:tc>
          <w:tcPr/>
          <w:p>
            <w:pPr>
              <w:pStyle w:val="Compact"/>
              <w:jc w:val="left"/>
            </w:pPr>
            <w:r>
              <w:t xml:space="preserve">Alter 45–64</w:t>
            </w:r>
          </w:p>
        </w:tc>
        <w:tc>
          <w:tcPr/>
          <w:p>
            <w:pPr>
              <w:pStyle w:val="Compact"/>
              <w:jc w:val="left"/>
            </w:pPr>
            <w:r>
              <w:t xml:space="preserve">47</w:t>
            </w:r>
          </w:p>
        </w:tc>
        <w:tc>
          <w:tcPr/>
          <w:p>
            <w:pPr>
              <w:pStyle w:val="Compact"/>
              <w:jc w:val="left"/>
            </w:pPr>
            <w:r>
              <w:t xml:space="preserve">47</w:t>
            </w:r>
          </w:p>
        </w:tc>
        <w:tc>
          <w:tcPr/>
          <w:p>
            <w:pPr>
              <w:pStyle w:val="Compact"/>
              <w:jc w:val="left"/>
            </w:pPr>
            <w:r>
              <w:t xml:space="preserve">0%</w:t>
            </w:r>
          </w:p>
        </w:tc>
      </w:tr>
      <w:tr>
        <w:tc>
          <w:tcPr/>
          <w:p>
            <w:pPr>
              <w:pStyle w:val="Compact"/>
              <w:jc w:val="left"/>
            </w:pPr>
            <w:r>
              <w:t xml:space="preserve">Westliche ländliche Gemeinden</w:t>
            </w:r>
          </w:p>
        </w:tc>
        <w:tc>
          <w:tcPr/>
          <w:p>
            <w:pPr>
              <w:pStyle w:val="Compact"/>
              <w:jc w:val="left"/>
            </w:pPr>
            <w:r>
              <w:t xml:space="preserve">29</w:t>
            </w:r>
          </w:p>
        </w:tc>
        <w:tc>
          <w:tcPr/>
          <w:p>
            <w:pPr>
              <w:pStyle w:val="Compact"/>
              <w:jc w:val="left"/>
            </w:pPr>
            <w:r>
              <w:t xml:space="preserve">27</w:t>
            </w:r>
          </w:p>
        </w:tc>
        <w:tc>
          <w:tcPr/>
          <w:p>
            <w:pPr>
              <w:pStyle w:val="Compact"/>
              <w:jc w:val="left"/>
            </w:pPr>
            <w:r>
              <w:t xml:space="preserve">-7%</w:t>
            </w:r>
          </w:p>
        </w:tc>
      </w:tr>
    </w:tbl>
    <w:bookmarkEnd w:id="22"/>
    <w:bookmarkStart w:id="23" w:name="diskussionsfragen"/>
    <w:p>
      <w:pPr>
        <w:pStyle w:val="Heading1"/>
      </w:pPr>
      <w:r>
        <w:t xml:space="preserve">Diskussionsfragen</w:t>
      </w:r>
    </w:p>
    <w:p>
      <w:pPr>
        <w:numPr>
          <w:ilvl w:val="0"/>
          <w:numId w:val="1001"/>
        </w:numPr>
      </w:pPr>
      <w:r>
        <w:t xml:space="preserve">Welches Problem soll Torres eigentlich lösen? Wie würden unterschiedliche Problemdefinitionen die Empfehlung verändern?</w:t>
      </w:r>
    </w:p>
    <w:p>
      <w:pPr>
        <w:numPr>
          <w:ilvl w:val="0"/>
          <w:numId w:val="1001"/>
        </w:numPr>
      </w:pPr>
      <w:r>
        <w:t xml:space="preserve">Welche Leistungskennzahlen sollten das Portfolio bestimmen: Todesfälle, nicht tödliche Überdosen, Behandlungsbeginne, Verbleibquote, Gerechtigkeit, öffentliche Störungen, Kosten oder eine Kombination?</w:t>
      </w:r>
    </w:p>
    <w:p>
      <w:pPr>
        <w:numPr>
          <w:ilvl w:val="0"/>
          <w:numId w:val="1001"/>
        </w:numPr>
      </w:pPr>
      <w:r>
        <w:t xml:space="preserve">Welche Entscheidungen sind dringend und welche könnten aufgeschoben werden, bis bessere Informationen verfügbar sind?</w:t>
      </w:r>
    </w:p>
    <w:p>
      <w:pPr>
        <w:numPr>
          <w:ilvl w:val="0"/>
          <w:numId w:val="1001"/>
        </w:numPr>
      </w:pPr>
      <w:r>
        <w:t xml:space="preserve">Welche Unsicherheiten sind am wichtigsten? Welche könnten durch Datenerhebung oder ein begrenztes Pilotprojekt verringert werden?</w:t>
      </w:r>
    </w:p>
    <w:p>
      <w:pPr>
        <w:numPr>
          <w:ilvl w:val="0"/>
          <w:numId w:val="1001"/>
        </w:numPr>
      </w:pPr>
      <w:r>
        <w:t xml:space="preserve">Wie sollte der County sinkende nationale und lokale Todeszahlen interpretieren, wenn Fentanyl-Exposition und Nachfrage nach Leistungen weiterhin hoch bleiben?</w:t>
      </w:r>
    </w:p>
    <w:p>
      <w:pPr>
        <w:numPr>
          <w:ilvl w:val="0"/>
          <w:numId w:val="1001"/>
        </w:numPr>
      </w:pPr>
      <w:r>
        <w:t xml:space="preserve">Welche Verteilungsprinzipien wären vertretbar, wenn sich die Ergebnisse zwischen demografischen Gruppen und Stadtvierteln stark unterscheiden?</w:t>
      </w:r>
    </w:p>
    <w:p>
      <w:pPr>
        <w:numPr>
          <w:ilvl w:val="0"/>
          <w:numId w:val="1001"/>
        </w:numPr>
      </w:pPr>
      <w:r>
        <w:t xml:space="preserve">Bereiten Sie eine Empfehlung für die Sitzung um 16:00 Uhr vor, einschließlich eines Budgets, von Umsetzungsprioritäten und Indikatoren, die künftige Änderungen auslösen würden.</w:t>
      </w:r>
    </w:p>
    <w:bookmarkEnd w:id="23"/>
    <w:bookmarkStart w:id="29" w:name="fragen-zur-entscheidungsstrukturierung"/>
    <w:p>
      <w:pPr>
        <w:pStyle w:val="Heading1"/>
      </w:pPr>
      <w:r>
        <w:t xml:space="preserve">Fragen zur Entscheidungsstrukturierung</w:t>
      </w:r>
    </w:p>
    <w:p>
      <w:pPr>
        <w:numPr>
          <w:ilvl w:val="0"/>
          <w:numId w:val="1002"/>
        </w:numPr>
      </w:pPr>
      <w:r>
        <w:t xml:space="preserve">Identifizieren und beschreiben Sie die Zuständigkeiten der Entscheidungsträgerin. Dies sollte den Umfang des Problems festlegen.</w:t>
      </w:r>
    </w:p>
    <w:p>
      <w:pPr>
        <w:numPr>
          <w:ilvl w:val="0"/>
          <w:numId w:val="1002"/>
        </w:numPr>
      </w:pPr>
      <w:r>
        <w:t xml:space="preserve">Verwenden Sie das</w:t>
      </w:r>
      <w:r>
        <w:t xml:space="preserve"> </w:t>
      </w:r>
      <w:hyperlink r:id="rId24">
        <w:r>
          <w:rPr>
            <w:rStyle w:val="Hyperlink"/>
          </w:rPr>
          <w:t xml:space="preserve">Metrik-Pyramiden-Tool</w:t>
        </w:r>
      </w:hyperlink>
      <w:r>
        <w:t xml:space="preserve">, um die verschiedenen Leistungskennzahlen zu identifizieren und zu priorisieren. Klicken Sie auf das Oval, das die Kennzahl enthält, um festzulegen, ob es sich um eine zu maximierende Kennzahl (grün), eine zu minimierende Kennzahl (rot), ein Ziel handelt, das eine Untergrenze darstellt (hellgrün) oder eine Obergrenze (hellrot), oder schließlich um einen Zielwert (lila).</w:t>
      </w:r>
    </w:p>
    <w:p>
      <w:pPr>
        <w:numPr>
          <w:ilvl w:val="0"/>
          <w:numId w:val="1002"/>
        </w:numPr>
      </w:pPr>
      <w:r>
        <w:t xml:space="preserve">Verwenden Sie das</w:t>
      </w:r>
      <w:r>
        <w:t xml:space="preserve"> </w:t>
      </w:r>
      <w:hyperlink r:id="rId25">
        <w:r>
          <w:rPr>
            <w:rStyle w:val="Hyperlink"/>
          </w:rPr>
          <w:t xml:space="preserve">Tool zur Priorisierung von Entscheidungen</w:t>
        </w:r>
      </w:hyperlink>
      <w:r>
        <w:t xml:space="preserve">, um zunächst die verschiedenen Arten von Entscheidungen aufzulisten (nutzen Sie die</w:t>
      </w:r>
      <w:r>
        <w:t xml:space="preserve"> </w:t>
      </w:r>
      <w:hyperlink r:id="rId26">
        <w:r>
          <w:rPr>
            <w:rStyle w:val="Hyperlink"/>
          </w:rPr>
          <w:t xml:space="preserve">Arten von Entscheidungen</w:t>
        </w:r>
      </w:hyperlink>
      <w:r>
        <w:t xml:space="preserve"> </w:t>
      </w:r>
      <w:r>
        <w:t xml:space="preserve">als Orientierung). Diese füllen dann die Zeilen der Matrix rechts, wobei die Spalten die Leistungskennzahlen sind, sortiert von links nach rechts nach Priorität in der obigen Pyramide. Klicken Sie auf jede Zelle, um anzugeben, ob die Auswirkung der Entscheidung auf jede Kennzahl hoch (rot), mittel (orange), niedrig (gelb) oder keine (weiß) ist.</w:t>
      </w:r>
    </w:p>
    <w:p>
      <w:pPr>
        <w:numPr>
          <w:ilvl w:val="0"/>
          <w:numId w:val="1002"/>
        </w:numPr>
      </w:pPr>
      <w:r>
        <w:t xml:space="preserve">Sie können den Griff (drei Balken) ganz links in jeder Zeile fassen, um sie nach oben oder unten zu verschieben. Sortieren Sie die Zeilen so, dass die Entscheidungen mit den größten Auswirkungen auf die wichtigsten Kennzahlen weiter oben stehen. Die Zellen in der oberen linken Ecke sollten die höchste Konzentration an roten und orangefarbenen Zellen aufweisen. Identifizieren Sie an diesem Punkt die Entscheidungen, die in Ihrer Studie die meiste Aufmerksamkeit erhalten sollten. Wenn Sie keine Entscheidungen mit mittlerer oder hoher Auswirkung auf die wichtigsten Kennzahlen haben, überarbeiten Sie Ihre Liste der Entscheidungen.</w:t>
      </w:r>
    </w:p>
    <w:p>
      <w:pPr>
        <w:numPr>
          <w:ilvl w:val="0"/>
          <w:numId w:val="1002"/>
        </w:numPr>
      </w:pPr>
      <w:r>
        <w:t xml:space="preserve">Wiederholen Sie den Prozess, um die Unsicherheiten mithilfe des</w:t>
      </w:r>
      <w:r>
        <w:t xml:space="preserve"> </w:t>
      </w:r>
      <w:hyperlink r:id="rId27">
        <w:r>
          <w:rPr>
            <w:rStyle w:val="Hyperlink"/>
          </w:rPr>
          <w:t xml:space="preserve">Tools zur Priorisierung von Unsicherheiten</w:t>
        </w:r>
      </w:hyperlink>
      <w:r>
        <w:t xml:space="preserve"> </w:t>
      </w:r>
      <w:r>
        <w:t xml:space="preserve">aufzulisten und zu priorisieren. Nutzen Sie die</w:t>
      </w:r>
      <w:r>
        <w:t xml:space="preserve"> </w:t>
      </w:r>
      <w:hyperlink r:id="rId28">
        <w:r>
          <w:rPr>
            <w:rStyle w:val="Hyperlink"/>
          </w:rPr>
          <w:t xml:space="preserve">Kategorien von Unsicherheit</w:t>
        </w:r>
      </w:hyperlink>
      <w:r>
        <w:t xml:space="preserve">, um diese zu identifizieren.</w:t>
      </w:r>
    </w:p>
    <w:p>
      <w:pPr>
        <w:numPr>
          <w:ilvl w:val="0"/>
          <w:numId w:val="1002"/>
        </w:numPr>
      </w:pPr>
      <w:r>
        <w:t xml:space="preserve">Es ist wichtig, zwischen Unsicherheiten zu unterscheiden, die im Durchschnitt oder als Risikoereignisse bewertet werden können:</w:t>
      </w:r>
    </w:p>
    <w:p>
      <w:pPr>
        <w:numPr>
          <w:ilvl w:val="1"/>
          <w:numId w:val="1003"/>
        </w:numPr>
      </w:pPr>
      <w:r>
        <w:t xml:space="preserve">Welche Unsicherheitsquellen würden anhand der durchschnittlichen Leistung über die Zeit erfasst?</w:t>
      </w:r>
    </w:p>
    <w:p>
      <w:pPr>
        <w:numPr>
          <w:ilvl w:val="1"/>
          <w:numId w:val="1003"/>
        </w:numPr>
      </w:pPr>
      <w:r>
        <w:t xml:space="preserve">Welche Unsicherheitsquellen stellen Formen von Risiko dar, die durch Durchschnittswerte nicht angemessen erfasst werden?</w:t>
      </w:r>
    </w:p>
    <w:p>
      <w:pPr>
        <w:numPr>
          <w:ilvl w:val="0"/>
          <w:numId w:val="1002"/>
        </w:numPr>
      </w:pPr>
      <w:r>
        <w:t xml:space="preserve">Wählen Sie die einzelne Entscheidung aus, die die größte Auswirkung auf die wichtigste Kennzahl zu haben scheint.</w:t>
      </w:r>
    </w:p>
    <w:p>
      <w:pPr>
        <w:numPr>
          <w:ilvl w:val="1"/>
          <w:numId w:val="1004"/>
        </w:numPr>
      </w:pPr>
      <w:r>
        <w:t xml:space="preserve">Welchen Ansatz würden Sie Ihrer Meinung nach verwenden, um diese Entscheidung zu treffen?</w:t>
      </w:r>
    </w:p>
    <w:p>
      <w:pPr>
        <w:numPr>
          <w:ilvl w:val="1"/>
          <w:numId w:val="1004"/>
        </w:numPr>
      </w:pPr>
      <w:r>
        <w:t xml:space="preserve">Welche Daten scheinen notwendig zu sein, um diese Entscheidung zu treffen, einschließlich der Berechnung etwaiger Leistungskennzahlen, auf die die Entscheidung eine hohe oder mittlere Auswirkung hätte.</w:t>
      </w:r>
    </w:p>
    <w:p>
      <w:pPr>
        <w:numPr>
          <w:ilvl w:val="0"/>
          <w:numId w:val="1002"/>
        </w:numPr>
      </w:pPr>
      <w:r>
        <w:t xml:space="preserve">Identifizieren Sie unter Verwendung derselben Entscheidung, die Sie in (7) benannt haben, die Personen, Abteilungen, Gruppen oder Organisationen, mit denen Sie zusammenarbeiten müssten, um die Entscheidung umzusetzen.</w:t>
      </w:r>
    </w:p>
    <w:bookmarkEnd w:id="29"/>
    <w:bookmarkStart w:id="30" w:name="quellen-und-anmerkungen"/>
    <w:p>
      <w:pPr>
        <w:pStyle w:val="Heading1"/>
      </w:pPr>
      <w:r>
        <w:t xml:space="preserve">Quellen und Anmerkungen</w:t>
      </w:r>
    </w:p>
    <w:p>
      <w:pPr>
        <w:pStyle w:val="FirstParagraph"/>
      </w:pPr>
      <w:r>
        <w:t xml:space="preserve">1. CDC, „U.S. Overdose Deaths Decrease Almost 27% in 2024,” 14. Mai 2025. Die geschätzten Todesfälle mit Opioidbeteiligung sanken von 83.140 im Jahr 2023 auf 54.743 im Jahr 2024.</w:t>
      </w:r>
    </w:p>
    <w:p>
      <w:pPr>
        <w:pStyle w:val="BodyText"/>
      </w:pPr>
      <w:r>
        <w:t xml:space="preserve">2. CDC, „U.S. Overdose Deaths Decrease for Third Consecutive Year,” 13. Mai 2026. Die geschätzten Todesfälle mit Opioidbeteiligung sanken 2025 auf 44.564; mehrere Bundesstaaten verzeichneten Anstiege.</w:t>
      </w:r>
    </w:p>
    <w:p>
      <w:pPr>
        <w:pStyle w:val="BodyText"/>
      </w:pPr>
      <w:r>
        <w:t xml:space="preserve">3. CDC/NCHS, „Drug Overdose Deaths in the United States, 2023–2024,” Data Brief Nr. 549. Die altersbereinigte Rate mit Beteiligung synthetischer Opioide außer Methadon sank von 22,2 auf 14,3 pro 100.000.</w:t>
      </w:r>
    </w:p>
    <w:p>
      <w:pPr>
        <w:pStyle w:val="BodyText"/>
      </w:pPr>
      <w:r>
        <w:t xml:space="preserve">4. SAMHSA, Veröffentlichung der 2024 National Survey on Drug Use and Health: 48,4 Millionen Menschen ab 12 Jahren hatten im vergangenen Jahr eine Substanzgebrauchsstörung.</w:t>
      </w:r>
    </w:p>
    <w:p>
      <w:pPr>
        <w:pStyle w:val="BodyText"/>
      </w:pPr>
      <w:r>
        <w:t xml:space="preserve">5. SAMHSA, Ergebnisse der 2024 National Survey on Drug Use and Health. Unter Personen, deren Opioidgebrauchsstörung mit Missbrauch einherging, hatten 42,4% eine leichte und 37,1% eine schwere Störung.</w:t>
      </w:r>
    </w:p>
    <w:p>
      <w:pPr>
        <w:pStyle w:val="BodyText"/>
      </w:pPr>
      <w:r>
        <w:t xml:space="preserve">6. CDC, Vital Signs: Drug Overdose Deaths and Disparities. Von 2019 bis 2020 stiegen die Überdosis-Sterberaten um 44% bei Schwarzen Menschen und um 39% bei amerikanischen Ureinwohnern/Alaska-Ureinwohnern; die Behandlungsevidenz war bei mehreren rassischen und ethnischen Gruppen am geringsten.</w:t>
      </w:r>
    </w:p>
    <w:p>
      <w:pPr>
        <w:pStyle w:val="BodyText"/>
      </w:pPr>
      <w:r>
        <w:t xml:space="preserve">7. National Institute on Drug Abuse, Juni 2024, Bericht über die HEALing Communities Study: Die Intervention steigerte evidenzbasierte Praktiken, verringerte jedoch die Sterberate durch Opioid-Überdosen während des Evaluationszeitraums nicht signifikant.</w:t>
      </w:r>
    </w:p>
    <w:bookmarkEnd w:id="30"/>
    <w:bookmarkStart w:id="33" w:name="chatgpt-notizen"/>
    <w:p>
      <w:pPr>
        <w:pStyle w:val="Heading1"/>
      </w:pPr>
      <w:r>
        <w:t xml:space="preserve">ChatGPT-Notizen</w:t>
      </w:r>
    </w:p>
    <w:bookmarkStart w:id="31" w:name="prompt"/>
    <w:p>
      <w:pPr>
        <w:pStyle w:val="Heading2"/>
      </w:pPr>
      <w:r>
        <w:t xml:space="preserve">Prompt</w:t>
      </w:r>
    </w:p>
    <w:p>
      <w:pPr>
        <w:pStyle w:val="FirstParagraph"/>
      </w:pPr>
      <w:r>
        <w:t xml:space="preserve">Fallstudien - Erstellen Sie im Stil einer betriebswirtschaftlichen Fallstudie eine Fallstudie zu einem Problem der öffentlichen Gesundheit, gestützt durch Statistiken. Sie sollte 3 bis 5 Seiten in einem Word-Dokument umfassen, gut strukturiert sein, jedoch ohne eine klare Vorstellung davon, wie das Problem zu lösen ist.</w:t>
      </w:r>
    </w:p>
    <w:bookmarkEnd w:id="31"/>
    <w:bookmarkStart w:id="32" w:name="zusammenfassung"/>
    <w:p>
      <w:pPr>
        <w:pStyle w:val="Heading2"/>
      </w:pPr>
      <w:r>
        <w:t xml:space="preserve">Zusammenfassung</w:t>
      </w:r>
    </w:p>
    <w:p>
      <w:pPr>
        <w:pStyle w:val="FirstParagraph"/>
      </w:pPr>
      <w:r>
        <w:t xml:space="preserve">Es verwendet das Format einer Business-School-Fallstudie und enthält:</w:t>
      </w:r>
    </w:p>
    <w:p>
      <w:pPr>
        <w:numPr>
          <w:ilvl w:val="0"/>
          <w:numId w:val="1005"/>
        </w:numPr>
      </w:pPr>
      <w:r>
        <w:t xml:space="preserve">Ein fiktives County, das mit einer Fentanyl- und Überdosiskrise konfrontiert ist</w:t>
      </w:r>
    </w:p>
    <w:p>
      <w:pPr>
        <w:numPr>
          <w:ilvl w:val="0"/>
          <w:numId w:val="1005"/>
        </w:numPr>
      </w:pPr>
      <w:r>
        <w:t xml:space="preserve">Aktuelle nationale Statistiken von CDC, SAMHSA und NIDA</w:t>
      </w:r>
    </w:p>
    <w:p>
      <w:pPr>
        <w:numPr>
          <w:ilvl w:val="0"/>
          <w:numId w:val="1005"/>
        </w:numPr>
      </w:pPr>
      <w:r>
        <w:t xml:space="preserve">Konkurrierende Perspektiven von Interessengruppen</w:t>
      </w:r>
    </w:p>
    <w:p>
      <w:pPr>
        <w:numPr>
          <w:ilvl w:val="0"/>
          <w:numId w:val="1005"/>
        </w:numPr>
      </w:pPr>
      <w:r>
        <w:t xml:space="preserve">Eine Finanzierungslücke und Budgetdaten auf Programmebene</w:t>
      </w:r>
    </w:p>
    <w:p>
      <w:pPr>
        <w:numPr>
          <w:ilvl w:val="0"/>
          <w:numId w:val="1005"/>
        </w:numPr>
      </w:pPr>
      <w:r>
        <w:t xml:space="preserve">Unsicherheiten bei Leistung, Gerechtigkeit und Messung</w:t>
      </w:r>
    </w:p>
    <w:p>
      <w:pPr>
        <w:numPr>
          <w:ilvl w:val="0"/>
          <w:numId w:val="1005"/>
        </w:numPr>
      </w:pPr>
      <w:r>
        <w:t xml:space="preserve">Quantitative Abbildungen und Diskussionsfragen</w:t>
      </w:r>
    </w:p>
    <w:p>
      <w:pPr>
        <w:numPr>
          <w:ilvl w:val="0"/>
          <w:numId w:val="1005"/>
        </w:numPr>
      </w:pPr>
      <w:r>
        <w:t xml:space="preserve">Keine eindeutig bevorzugte Lösung</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2026-09-11T16:29:47Z</dcterms:created>
  <dcterms:modified xsi:type="dcterms:W3CDTF">2026-09-11T16:29:47Z</dcterms:modified>
</cp:coreProperties>
</file>

<file path=docProps/custom.xml><?xml version="1.0" encoding="utf-8"?>
<Properties xmlns="http://schemas.openxmlformats.org/officeDocument/2006/custom-properties" xmlns:vt="http://schemas.openxmlformats.org/officeDocument/2006/docPropsVTypes"/>
</file>