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SUMMIT RIDGE ASSET MANAGEMENT</w:t>
      </w:r>
    </w:p>
    <w:p>
      <w:pPr>
        <w:pStyle w:val="BodyText"/>
      </w:pPr>
      <w:r>
        <w:t xml:space="preserve">Die Cash-Entscheidung am Montagmorgen</w:t>
      </w:r>
    </w:p>
    <w:p>
      <w:pPr>
        <w:pStyle w:val="BodyText"/>
      </w:pPr>
      <w:r>
        <w:t xml:space="preserve">Ein Investmentfonds-Fallstudie über Anlegerströme, Liquidität, Portfolioperformance und Handel unter Druck</w:t>
      </w:r>
    </w:p>
    <w:p>
      <w:pPr>
        <w:pStyle w:val="BodyText"/>
      </w:pPr>
      <w:r>
        <w:t xml:space="preserve">Diese Fallstudie ist fiktiv und für den didaktischen Diskurs gedacht. Namen, Ereignisse, Fonds und interne Zahlen sind erfunden, wenngleich das Branchenumfeld durch öffentliche Daten motiviert ist.</w:t>
      </w:r>
    </w:p>
    <w:bookmarkStart w:id="9" w:name="Xbf24cc65e01437829fcbe9e723ba467776585fe"/>
    <w:p>
      <w:pPr>
        <w:pStyle w:val="Heading1"/>
      </w:pPr>
      <w:r>
        <w:t xml:space="preserve">Ein Wochenende voller schlechter Nachrichten</w:t>
      </w:r>
    </w:p>
    <w:p>
      <w:pPr>
        <w:pStyle w:val="FirstParagraph"/>
      </w:pPr>
      <w:r>
        <w:t xml:space="preserve">Um 7:05 Uhr morgens am Montag, den 12. Oktober 2026, öffnete Elena Marquez, Chief Investment Officer von Summit Ridge Asset Management, eine Nachricht der Transferstelle des Unternehmens. Investoren des Summit Ridge Select Equity Fund hatten seit Freitagnachmittag geschätzte $318 Millionen an Rücknahmeanträgen eingereicht. Die meisten stammten von drei institutionellen Konten. Retail-Orders wurden noch bearbeitet und könnten vor der nachmittäglichen Preisfeststellung des Fonds weitere $40 Millionen bis $90 Millionen hinzufügen.</w:t>
      </w:r>
    </w:p>
    <w:p>
      <w:pPr>
        <w:pStyle w:val="BodyText"/>
      </w:pPr>
      <w:r>
        <w:t xml:space="preserve">Die Anträge kamen nach einem schwierigen Wochenende. Ein großes Technologieunternehmen hatte gewarnt, dass der Quartalsumsatz die Erwartungen verfehlen würde. Die Übersee-Märkte waren stark gefallen, die Treasury-Renditen waren gestiegen, und Indexfutures deuteten darauf hin, dass US-Aktien bei Handelseröffnung mehr als 2 Prozent im Minus liegen könnten. Mehrere der größten Positionen des Fonds würden voraussichtlich zu den am stärksten gehandelten Wertpapieren beim Handelsbeginn zählen.</w:t>
      </w:r>
    </w:p>
    <w:p>
      <w:pPr>
        <w:pStyle w:val="BodyText"/>
      </w:pPr>
      <w:r>
        <w:t xml:space="preserve">Der Fonds hielt $246 Millionen in bar und Schatzwechseln, was 2,9 Prozent des Nettovermögens entsprach. Marquez konnte einen Großteil der bekannten Rücknahmenachfrage decken, ohne Aktien zu verkaufen, doch dies würde nur wenig Liquidität für zusätzliche Abhebungen übriglassen. Sie könnte sofort mehr Bargeld beschaffen, doch Verkäufe in einen fallenden Markt hinein könnten ungünstige Preise festschreiben und das Portfolio verändern. Das Halten einer größeren dauerhaften Barreserve würde dieses Risiko verringern, könnte aber auch dazu führen, dass der Fonds in steigenden Märkten hinter seiner Benchmark zurückbleibt.</w:t>
      </w:r>
    </w:p>
    <w:tbl>
      <w:tblPr>
        <w:tblStyle w:val="Table"/>
        <w:tblW w:type="auto" w:w="0"/>
        <w:tblLook w:firstRow="0" w:lastRow="0" w:firstColumn="0" w:lastColumn="0" w:noHBand="0" w:noVBand="0" w:val="0000"/>
      </w:tblPr>
      <w:tblGrid>
        <w:gridCol w:w="7920"/>
      </w:tblGrid>
      <w:tr>
        <w:tc>
          <w:tcPr/>
          <w:p>
            <w:pPr>
              <w:pStyle w:val="Compact"/>
            </w:pPr>
            <w:r>
              <w:t xml:space="preserve">Summit Ridge musste nicht entscheiden, ob Bargeld nützlich war. Es musste entscheiden, wie viel Liquidität ausreichend ist, wann sie beschafft werden soll und welche Anleger die Kosten tragen sollten, wenn Ströme das Portfolio zum Handeln zwingen.</w:t>
            </w:r>
          </w:p>
        </w:tc>
      </w:tr>
    </w:tbl>
    <w:p>
      <w:r>
        <w:pict>
          <v:rect style="width:0;height:1.5pt" o:hralign="center" o:hrstd="t" o:hr="t"/>
        </w:pict>
      </w:r>
    </w:p>
    <w:bookmarkEnd w:id="9"/>
    <w:bookmarkStart w:id="11" w:name="summit-ridge-und-der-select-equity-fund"/>
    <w:p>
      <w:pPr>
        <w:pStyle w:val="Heading1"/>
      </w:pPr>
      <w:r>
        <w:t xml:space="preserve">Summit Ridge und der Select Equity Fund</w:t>
      </w:r>
    </w:p>
    <w:p>
      <w:pPr>
        <w:pStyle w:val="FirstParagraph"/>
      </w:pPr>
      <w:r>
        <w:t xml:space="preserve">Summit Ridge war ein in Privatbesitz befindlicher Vermögensverwalter mit $41 Milliarden verwaltetem Vermögen in Investmentfonds, separat verwalteten Konten und Altersvorsorgeprodukten. Der Select Equity Fund war seine Vorzeigestrategie und hielt ein konzentriertes Portfolio großer und mittelgroßer US-Unternehmen. Er hatte über lange Zeit starke Ergebnisse erzielt, doch die jüngste Performance war uneinheitlich gewesen, da Anleger zwischen Wachstumsaktien, defensiven Sektoren, Anleihen und Geldmarktfonds wechselten.</w:t>
      </w:r>
    </w:p>
    <w:p>
      <w:pPr>
        <w:pStyle w:val="BodyText"/>
      </w:pPr>
      <w:r>
        <w:t xml:space="preserve">Die US-Investmentfondsbranche war enorm. Langfristige Investmentfonds hielten im Mai 2026 etwa $25,3 Billionen an Vermögenswerten, darunter etwa $17,8 Billionen in Aktienfonds und $5,7 Billionen in Rentenfonds. Die Größe der Branche beseitigte die Volatilität der Mittelflüsse nicht. In der Woche zum 15. Juli 2026 verzeichneten langfristige Investmentfonds geschätzte Nettoabflüsse von $15,43 Milliarden, während börsengehandelte Fonds Nettozuflüsse meldeten. Die Vermögenswerte von Geldmarktfonds hatten im März 2025 $7 Billionen überschritten, da Anleger Liquidität und attraktive kurzfristige Renditen suchten.</w:t>
      </w:r>
    </w:p>
    <w:p>
      <w:pPr>
        <w:pStyle w:val="BodyText"/>
      </w:pPr>
      <w:r>
        <w:t xml:space="preserve">Offene Investmentfonds waren verpflichtet, jederzeit bereit zu sein, Anteile zum Nettoinventarwert zurückzunehmen. Summit Ridge musste daher einen Teil des Portfolios in Bargeld umwandeln, wenn Rücknahmen die Neukäufe überstiegen. Die Liquiditätsregeln der Securities and Exchange Commission verlangten von Fonds außerdem, zu beurteilen, wie schnell Bestände in Bargeld umgewandelt werden könnten, und gegebenenfalls ein Mindestniveau an hochliquiden Anlagen aufrechtzuerhalten.</w:t>
      </w:r>
    </w:p>
    <w:bookmarkStart w:id="10" w:name="exhibit-1.-profil-des-select-equity-fund"/>
    <w:p>
      <w:pPr>
        <w:pStyle w:val="Heading2"/>
      </w:pPr>
      <w:r>
        <w:t xml:space="preserve">Exhibit 1. Profil des Select Equity Fund</w:t>
      </w:r>
    </w:p>
    <w:tbl>
      <w:tblPr>
        <w:tblStyle w:val="Table"/>
        <w:tblW w:type="pct" w:w="4861"/>
        <w:tblLayout w:type="fixed"/>
        <w:tblLook w:firstRow="1" w:lastRow="0" w:firstColumn="0" w:lastColumn="0" w:noHBand="0" w:noVBand="0" w:val="0020"/>
      </w:tblPr>
      <w:tblGrid>
        <w:gridCol w:w="3630"/>
        <w:gridCol w:w="1980"/>
        <w:gridCol w:w="2090"/>
      </w:tblGrid>
      <w:tr>
        <w:trPr>
          <w:tblHeader w:val="on"/>
        </w:trPr>
        <w:tc>
          <w:tcPr/>
          <w:p>
            <w:pPr>
              <w:pStyle w:val="Compact"/>
              <w:jc w:val="left"/>
            </w:pPr>
            <w:r>
              <w:t xml:space="preserve">Kennzahl</w:t>
            </w:r>
          </w:p>
        </w:tc>
        <w:tc>
          <w:tcPr/>
          <w:p>
            <w:pPr>
              <w:pStyle w:val="Compact"/>
              <w:jc w:val="right"/>
            </w:pPr>
            <w:r>
              <w:t xml:space="preserve">Aktueller Wert</w:t>
            </w:r>
          </w:p>
        </w:tc>
        <w:tc>
          <w:tcPr/>
          <w:p>
            <w:pPr>
              <w:pStyle w:val="Compact"/>
              <w:jc w:val="center"/>
            </w:pPr>
            <w:r>
              <w:t xml:space="preserve">Ein Jahr zuvor</w:t>
            </w:r>
          </w:p>
        </w:tc>
      </w:tr>
      <w:tr>
        <w:tc>
          <w:tcPr/>
          <w:p>
            <w:pPr>
              <w:pStyle w:val="Compact"/>
              <w:jc w:val="left"/>
            </w:pPr>
            <w:r>
              <w:t xml:space="preserve">Nettovermögen</w:t>
            </w:r>
          </w:p>
        </w:tc>
        <w:tc>
          <w:tcPr/>
          <w:p>
            <w:pPr>
              <w:pStyle w:val="Compact"/>
              <w:jc w:val="right"/>
            </w:pPr>
            <w:r>
              <w:t xml:space="preserve">$8,48 Milliarde</w:t>
            </w:r>
          </w:p>
        </w:tc>
        <w:tc>
          <w:tcPr/>
          <w:p>
            <w:pPr>
              <w:pStyle w:val="Compact"/>
              <w:jc w:val="center"/>
            </w:pPr>
            <w:r>
              <w:t xml:space="preserve">n $7,92 Milliarden</w:t>
            </w:r>
          </w:p>
        </w:tc>
      </w:tr>
      <w:tr>
        <w:tc>
          <w:tcPr/>
          <w:p>
            <w:pPr>
              <w:pStyle w:val="Compact"/>
              <w:jc w:val="left"/>
            </w:pPr>
            <w:r>
              <w:t xml:space="preserve">Anzahl der Portfoliopositionen</w:t>
            </w:r>
          </w:p>
        </w:tc>
        <w:tc>
          <w:tcPr/>
          <w:p>
            <w:pPr>
              <w:pStyle w:val="Compact"/>
              <w:jc w:val="right"/>
            </w:pPr>
            <w:r>
              <w:t xml:space="preserve">64</w:t>
            </w:r>
          </w:p>
        </w:tc>
        <w:tc>
          <w:tcPr/>
          <w:p>
            <w:pPr>
              <w:pStyle w:val="Compact"/>
              <w:jc w:val="center"/>
            </w:pPr>
            <w:r>
              <w:t xml:space="preserve">61</w:t>
            </w:r>
          </w:p>
        </w:tc>
      </w:tr>
      <w:tr>
        <w:tc>
          <w:tcPr/>
          <w:p>
            <w:pPr>
              <w:pStyle w:val="Compact"/>
              <w:jc w:val="left"/>
            </w:pPr>
            <w:r>
              <w:t xml:space="preserve">Bargeld und Schatzwechsel</w:t>
            </w:r>
          </w:p>
        </w:tc>
        <w:tc>
          <w:tcPr/>
          <w:p>
            <w:pPr>
              <w:pStyle w:val="Compact"/>
              <w:jc w:val="right"/>
            </w:pPr>
            <w:r>
              <w:t xml:space="preserve">$246 Millionen</w:t>
            </w:r>
          </w:p>
        </w:tc>
        <w:tc>
          <w:tcPr/>
          <w:p>
            <w:pPr>
              <w:pStyle w:val="Compact"/>
              <w:jc w:val="center"/>
            </w:pPr>
            <w:r>
              <w:t xml:space="preserve">$332 Millionen</w:t>
            </w:r>
          </w:p>
        </w:tc>
      </w:tr>
      <w:tr>
        <w:tc>
          <w:tcPr/>
          <w:p>
            <w:pPr>
              <w:pStyle w:val="Compact"/>
              <w:jc w:val="left"/>
            </w:pPr>
            <w:r>
              <w:t xml:space="preserve">Bargeld als % des Nettovermögens</w:t>
            </w:r>
          </w:p>
        </w:tc>
        <w:tc>
          <w:tcPr/>
          <w:p>
            <w:pPr>
              <w:pStyle w:val="Compact"/>
              <w:jc w:val="right"/>
            </w:pPr>
            <w:r>
              <w:t xml:space="preserve">2,9%</w:t>
            </w:r>
          </w:p>
        </w:tc>
        <w:tc>
          <w:tcPr/>
          <w:p>
            <w:pPr>
              <w:pStyle w:val="Compact"/>
              <w:jc w:val="center"/>
            </w:pPr>
            <w:r>
              <w:t xml:space="preserve">4,2%</w:t>
            </w:r>
          </w:p>
        </w:tc>
      </w:tr>
      <w:tr>
        <w:tc>
          <w:tcPr/>
          <w:p>
            <w:pPr>
              <w:pStyle w:val="Compact"/>
              <w:jc w:val="left"/>
            </w:pPr>
            <w:r>
              <w:t xml:space="preserve">Zehn größte Positionen</w:t>
            </w:r>
          </w:p>
        </w:tc>
        <w:tc>
          <w:tcPr/>
          <w:p>
            <w:pPr>
              <w:pStyle w:val="Compact"/>
              <w:jc w:val="right"/>
            </w:pPr>
            <w:r>
              <w:t xml:space="preserve">39,6% des Vermöge</w:t>
            </w:r>
          </w:p>
        </w:tc>
        <w:tc>
          <w:tcPr/>
          <w:p>
            <w:pPr>
              <w:pStyle w:val="Compact"/>
              <w:jc w:val="center"/>
            </w:pPr>
            <w:r>
              <w:t xml:space="preserve">ns 37,8% des Vermögens</w:t>
            </w:r>
          </w:p>
        </w:tc>
      </w:tr>
      <w:tr>
        <w:tc>
          <w:tcPr/>
          <w:p>
            <w:pPr>
              <w:pStyle w:val="Compact"/>
              <w:jc w:val="left"/>
            </w:pPr>
            <w:r>
              <w:t xml:space="preserve">Institutionelle Anteilsklasse</w:t>
            </w:r>
          </w:p>
        </w:tc>
        <w:tc>
          <w:tcPr/>
          <w:p>
            <w:pPr>
              <w:pStyle w:val="Compact"/>
              <w:jc w:val="right"/>
            </w:pPr>
            <w:r>
              <w:t xml:space="preserve">57% des Vermögen</w:t>
            </w:r>
          </w:p>
        </w:tc>
        <w:tc>
          <w:tcPr/>
          <w:p>
            <w:pPr>
              <w:pStyle w:val="Compact"/>
              <w:jc w:val="center"/>
            </w:pPr>
            <w:r>
              <w:t xml:space="preserve">s 54% des Vermögens</w:t>
            </w:r>
          </w:p>
        </w:tc>
      </w:tr>
      <w:tr>
        <w:tc>
          <w:tcPr/>
          <w:p>
            <w:pPr>
              <w:pStyle w:val="Compact"/>
              <w:jc w:val="left"/>
            </w:pPr>
            <w:r>
              <w:t xml:space="preserve">Retail- und Altersvorsorgekonten</w:t>
            </w:r>
          </w:p>
        </w:tc>
        <w:tc>
          <w:tcPr/>
          <w:p>
            <w:pPr>
              <w:pStyle w:val="Compact"/>
              <w:jc w:val="right"/>
            </w:pPr>
            <w:r>
              <w:t xml:space="preserve">43% des Vermögen</w:t>
            </w:r>
          </w:p>
        </w:tc>
        <w:tc>
          <w:tcPr/>
          <w:p>
            <w:pPr>
              <w:pStyle w:val="Compact"/>
              <w:jc w:val="center"/>
            </w:pPr>
            <w:r>
              <w:t xml:space="preserve">s 46% des Vermögens</w:t>
            </w:r>
          </w:p>
        </w:tc>
      </w:tr>
      <w:tr>
        <w:tc>
          <w:tcPr/>
          <w:p>
            <w:pPr>
              <w:pStyle w:val="Compact"/>
              <w:jc w:val="left"/>
            </w:pPr>
            <w:r>
              <w:t xml:space="preserve">Einjahresrendite</w:t>
            </w:r>
          </w:p>
        </w:tc>
        <w:tc>
          <w:tcPr/>
          <w:p>
            <w:pPr>
              <w:pStyle w:val="Compact"/>
              <w:jc w:val="right"/>
            </w:pPr>
            <w:r>
              <w:t xml:space="preserve">8,7%</w:t>
            </w:r>
          </w:p>
        </w:tc>
        <w:tc>
          <w:tcPr/>
          <w:p>
            <w:pPr>
              <w:pStyle w:val="Compact"/>
              <w:jc w:val="center"/>
            </w:pPr>
            <w:r>
              <w:t xml:space="preserve">14,9% Benchmark</w:t>
            </w:r>
          </w:p>
        </w:tc>
      </w:tr>
    </w:tbl>
    <w:p>
      <w:pPr>
        <w:pStyle w:val="BodyText"/>
      </w:pPr>
      <w:r>
        <w:t xml:space="preserve">Quelle: Interne Schätzungen von Summit Ridge; alle fondsspezifischen Zahlen sind fiktiv.</w:t>
      </w:r>
    </w:p>
    <w:bookmarkEnd w:id="10"/>
    <w:bookmarkEnd w:id="11"/>
    <w:bookmarkStart w:id="13" w:name="zwei-arten-von-anlegern"/>
    <w:p>
      <w:pPr>
        <w:pStyle w:val="Heading1"/>
      </w:pPr>
      <w:r>
        <w:t xml:space="preserve">Zwei Arten von Anlegern</w:t>
      </w:r>
    </w:p>
    <w:p>
      <w:pPr>
        <w:pStyle w:val="FirstParagraph"/>
      </w:pPr>
      <w:r>
        <w:t xml:space="preserve">Der Fonds bediente sowohl Retail- als auch institutionelle Anleger. Retail-Käufe und -Rücknahmen kamen über Altersvorsorgepläne, Brokerage-Plattformen, Finanzberater und Direktkonten. Diese Aufträge waren zahlreich, aber meist klein. Die Transferstelle hatte tagsüber oft nur teilweise Einblick, wobei endgültige Summen erst verfügbar waren, nachdem Intermediäre ihre Verarbeitung abgeschlossen hatten.</w:t>
      </w:r>
    </w:p>
    <w:p>
      <w:pPr>
        <w:pStyle w:val="BodyText"/>
      </w:pPr>
      <w:r>
        <w:t xml:space="preserve">Institutionelle Anleger verhielten sich anders. Pensionspläne, Stiftungen und Beratungsfirmen bewegten manchmal zig oder hunderte Millionen Dollar auf einmal. Einige gaben Summit Ridge Vorankündigungen, andere warteten bis zum Tag der Transaktion. Eine Institution, die $200 Millionen zurückgab, konnte die Barposition des Fonds erheblich verändern, selbst wenn Tausende von Retail-Anlegern zur gleichen Zeit Anteile kauften.</w:t>
      </w:r>
    </w:p>
    <w:p>
      <w:pPr>
        <w:pStyle w:val="BodyText"/>
      </w:pPr>
      <w:r>
        <w:t xml:space="preserve">Die Mittelflüsse waren nicht unabhängig von den Märkten. Starke Performance und steigende Märkte zogen oft Käufe an, sodass das Portfolioteam neues Bargeld allmählich einsetzen konnte. Marktrückgänge, negative Publizität oder eine Phase der Underperformance gegenüber der Benchmark konnten Rücknahmen genau dann auslösen, wenn Liquidität am teuersten war. Höhere kurzfristige Zinssätze konnten Anleger auch dazu ermutigen, Geld von Aktienfonds in Geldmarktfonds oder Rentenfonds umzuschichten.</w:t>
      </w:r>
    </w:p>
    <w:bookmarkStart w:id="12" w:name="Xfba04974132874cc8ac96ca0ada0f4b5f5537ae"/>
    <w:p>
      <w:pPr>
        <w:pStyle w:val="Heading2"/>
      </w:pPr>
      <w:r>
        <w:t xml:space="preserve">Exhibit 2. Jüngste tägliche Anlegerströme</w:t>
      </w:r>
    </w:p>
    <w:tbl>
      <w:tblPr>
        <w:tblStyle w:val="Table"/>
        <w:tblW w:type="pct" w:w="4899"/>
        <w:tblLayout w:type="fixed"/>
        <w:tblLook w:firstRow="1" w:lastRow="0" w:firstColumn="0" w:lastColumn="0" w:noHBand="0" w:noVBand="0" w:val="0020"/>
      </w:tblPr>
      <w:tblGrid>
        <w:gridCol w:w="1520"/>
        <w:gridCol w:w="1520"/>
        <w:gridCol w:w="2000"/>
        <w:gridCol w:w="1280"/>
        <w:gridCol w:w="1440"/>
      </w:tblGrid>
      <w:tr>
        <w:trPr>
          <w:tblHeader w:val="on"/>
        </w:trPr>
        <w:tc>
          <w:tcPr/>
          <w:p>
            <w:pPr>
              <w:pStyle w:val="Compact"/>
              <w:jc w:val="left"/>
            </w:pPr>
            <w:r>
              <w:t xml:space="preserve">Handelstag</w:t>
            </w:r>
          </w:p>
        </w:tc>
        <w:tc>
          <w:tcPr/>
          <w:p>
            <w:pPr>
              <w:pStyle w:val="Compact"/>
              <w:jc w:val="right"/>
            </w:pPr>
            <w:r>
              <w:t xml:space="preserve">Netto-Retail-Flus</w:t>
            </w:r>
          </w:p>
        </w:tc>
        <w:tc>
          <w:tcPr/>
          <w:p>
            <w:pPr>
              <w:pStyle w:val="Compact"/>
            </w:pPr>
            <w:r>
              <w:t xml:space="preserve">s Netto-institutioneller</w:t>
            </w:r>
          </w:p>
        </w:tc>
        <w:tc>
          <w:tcPr/>
          <w:p>
            <w:pPr>
              <w:pStyle w:val="Compact"/>
              <w:jc w:val="right"/>
            </w:pPr>
            <w:r>
              <w:t xml:space="preserve">Fluss Marktren</w:t>
            </w:r>
          </w:p>
        </w:tc>
        <w:tc>
          <w:tcPr/>
          <w:p>
            <w:pPr>
              <w:pStyle w:val="Compact"/>
            </w:pPr>
            <w:r>
              <w:t xml:space="preserve">dite Schlussbestand</w:t>
            </w:r>
          </w:p>
        </w:tc>
      </w:tr>
      <w:tr>
        <w:tc>
          <w:tcPr/>
          <w:p>
            <w:pPr>
              <w:pStyle w:val="Compact"/>
              <w:jc w:val="left"/>
            </w:pPr>
            <w:r>
              <w:t xml:space="preserve">Mo., 5. Okt.</w:t>
            </w:r>
          </w:p>
        </w:tc>
        <w:tc>
          <w:tcPr/>
          <w:p>
            <w:pPr>
              <w:pStyle w:val="Compact"/>
              <w:jc w:val="right"/>
            </w:pPr>
            <w:r>
              <w:t xml:space="preserve">+$18M</w:t>
            </w:r>
          </w:p>
        </w:tc>
        <w:tc>
          <w:tcPr/>
          <w:p>
            <w:pPr>
              <w:pStyle w:val="Compact"/>
            </w:pPr>
            <w:r>
              <w:t xml:space="preserve">-$22M</w:t>
            </w:r>
          </w:p>
        </w:tc>
        <w:tc>
          <w:tcPr/>
          <w:p>
            <w:pPr>
              <w:pStyle w:val="Compact"/>
              <w:jc w:val="right"/>
            </w:pPr>
            <w:r>
              <w:t xml:space="preserve">+0,6%</w:t>
            </w:r>
          </w:p>
        </w:tc>
        <w:tc>
          <w:tcPr/>
          <w:p>
            <w:pPr>
              <w:pStyle w:val="Compact"/>
            </w:pPr>
            <w:r>
              <w:t xml:space="preserve">$279M</w:t>
            </w:r>
          </w:p>
        </w:tc>
      </w:tr>
      <w:tr>
        <w:tc>
          <w:tcPr/>
          <w:p>
            <w:pPr>
              <w:pStyle w:val="Compact"/>
              <w:jc w:val="left"/>
            </w:pPr>
            <w:r>
              <w:t xml:space="preserve">Di., 6. Okt.</w:t>
            </w:r>
          </w:p>
        </w:tc>
        <w:tc>
          <w:tcPr/>
          <w:p>
            <w:pPr>
              <w:pStyle w:val="Compact"/>
              <w:jc w:val="right"/>
            </w:pPr>
            <w:r>
              <w:t xml:space="preserve">-$11M</w:t>
            </w:r>
          </w:p>
        </w:tc>
        <w:tc>
          <w:tcPr/>
          <w:p>
            <w:pPr>
              <w:pStyle w:val="Compact"/>
            </w:pPr>
            <w:r>
              <w:t xml:space="preserve">+$35M</w:t>
            </w:r>
          </w:p>
        </w:tc>
        <w:tc>
          <w:tcPr/>
          <w:p>
            <w:pPr>
              <w:pStyle w:val="Compact"/>
              <w:jc w:val="right"/>
            </w:pPr>
            <w:r>
              <w:t xml:space="preserve">+0,2%</w:t>
            </w:r>
          </w:p>
        </w:tc>
        <w:tc>
          <w:tcPr/>
          <w:p>
            <w:pPr>
              <w:pStyle w:val="Compact"/>
            </w:pPr>
            <w:r>
              <w:t xml:space="preserve">$301M</w:t>
            </w:r>
          </w:p>
        </w:tc>
      </w:tr>
      <w:tr>
        <w:tc>
          <w:tcPr/>
          <w:p>
            <w:pPr>
              <w:pStyle w:val="Compact"/>
              <w:jc w:val="left"/>
            </w:pPr>
            <w:r>
              <w:t xml:space="preserve">Mi., 7. Okt.</w:t>
            </w:r>
          </w:p>
        </w:tc>
        <w:tc>
          <w:tcPr/>
          <w:p>
            <w:pPr>
              <w:pStyle w:val="Compact"/>
              <w:jc w:val="right"/>
            </w:pPr>
            <w:r>
              <w:t xml:space="preserve">-$24M</w:t>
            </w:r>
          </w:p>
        </w:tc>
        <w:tc>
          <w:tcPr/>
          <w:p>
            <w:pPr>
              <w:pStyle w:val="Compact"/>
            </w:pPr>
            <w:r>
              <w:t xml:space="preserve">-$61M</w:t>
            </w:r>
          </w:p>
        </w:tc>
        <w:tc>
          <w:tcPr/>
          <w:p>
            <w:pPr>
              <w:pStyle w:val="Compact"/>
              <w:jc w:val="right"/>
            </w:pPr>
            <w:r>
              <w:t xml:space="preserve">-1,1%</w:t>
            </w:r>
          </w:p>
        </w:tc>
        <w:tc>
          <w:tcPr/>
          <w:p>
            <w:pPr>
              <w:pStyle w:val="Compact"/>
            </w:pPr>
            <w:r>
              <w:t xml:space="preserve">$268M</w:t>
            </w:r>
          </w:p>
        </w:tc>
      </w:tr>
      <w:tr>
        <w:tc>
          <w:tcPr/>
          <w:p>
            <w:pPr>
              <w:pStyle w:val="Compact"/>
              <w:jc w:val="left"/>
            </w:pPr>
            <w:r>
              <w:t xml:space="preserve">Do., 8. Okt.</w:t>
            </w:r>
          </w:p>
        </w:tc>
        <w:tc>
          <w:tcPr/>
          <w:p>
            <w:pPr>
              <w:pStyle w:val="Compact"/>
              <w:jc w:val="right"/>
            </w:pPr>
            <w:r>
              <w:t xml:space="preserve">+$7M</w:t>
            </w:r>
          </w:p>
        </w:tc>
        <w:tc>
          <w:tcPr/>
          <w:p>
            <w:pPr>
              <w:pStyle w:val="Compact"/>
            </w:pPr>
            <w:r>
              <w:t xml:space="preserve">-$14M</w:t>
            </w:r>
          </w:p>
        </w:tc>
        <w:tc>
          <w:tcPr/>
          <w:p>
            <w:pPr>
              <w:pStyle w:val="Compact"/>
              <w:jc w:val="right"/>
            </w:pPr>
            <w:r>
              <w:t xml:space="preserve">+0,4%</w:t>
            </w:r>
          </w:p>
        </w:tc>
        <w:tc>
          <w:tcPr/>
          <w:p>
            <w:pPr>
              <w:pStyle w:val="Compact"/>
            </w:pPr>
            <w:r>
              <w:t xml:space="preserve">$251M</w:t>
            </w:r>
          </w:p>
        </w:tc>
      </w:tr>
      <w:tr>
        <w:tc>
          <w:tcPr/>
          <w:p>
            <w:pPr>
              <w:pStyle w:val="Compact"/>
              <w:jc w:val="left"/>
            </w:pPr>
            <w:r>
              <w:t xml:space="preserve">Fr., 9. Okt.</w:t>
            </w:r>
          </w:p>
        </w:tc>
        <w:tc>
          <w:tcPr/>
          <w:p>
            <w:pPr>
              <w:pStyle w:val="Compact"/>
              <w:jc w:val="right"/>
            </w:pPr>
            <w:r>
              <w:t xml:space="preserve">-$16M</w:t>
            </w:r>
          </w:p>
        </w:tc>
        <w:tc>
          <w:tcPr/>
          <w:p>
            <w:pPr>
              <w:pStyle w:val="Compact"/>
            </w:pPr>
            <w:r>
              <w:t xml:space="preserve">+$9M</w:t>
            </w:r>
          </w:p>
        </w:tc>
        <w:tc>
          <w:tcPr/>
          <w:p>
            <w:pPr>
              <w:pStyle w:val="Compact"/>
              <w:jc w:val="right"/>
            </w:pPr>
            <w:r>
              <w:t xml:space="preserve">-0,7%</w:t>
            </w:r>
          </w:p>
        </w:tc>
        <w:tc>
          <w:tcPr/>
          <w:p>
            <w:pPr>
              <w:pStyle w:val="Compact"/>
            </w:pPr>
            <w:r>
              <w:t xml:space="preserve">$246M</w:t>
            </w:r>
          </w:p>
        </w:tc>
      </w:tr>
      <w:tr>
        <w:tc>
          <w:tcPr/>
          <w:p>
            <w:pPr>
              <w:pStyle w:val="Compact"/>
              <w:jc w:val="left"/>
            </w:pPr>
            <w:r>
              <w:t xml:space="preserve">Wochenendschätzung</w:t>
            </w:r>
          </w:p>
        </w:tc>
        <w:tc>
          <w:tcPr/>
          <w:p>
            <w:pPr>
              <w:pStyle w:val="Compact"/>
              <w:jc w:val="right"/>
            </w:pPr>
            <w:r>
              <w:t xml:space="preserve">-$40M bis -$90M</w:t>
            </w:r>
          </w:p>
        </w:tc>
        <w:tc>
          <w:tcPr/>
          <w:p>
            <w:pPr>
              <w:pStyle w:val="Compact"/>
            </w:pPr>
            <w:r>
              <w:t xml:space="preserve">-$278M</w:t>
            </w:r>
          </w:p>
        </w:tc>
        <w:tc>
          <w:tcPr/>
          <w:p>
            <w:pPr>
              <w:pStyle w:val="Compact"/>
              <w:jc w:val="right"/>
            </w:pPr>
            <w:r>
              <w:t xml:space="preserve">Futures -2,1%</w:t>
            </w:r>
          </w:p>
        </w:tc>
        <w:tc>
          <w:tcPr/>
          <w:p>
            <w:pPr>
              <w:pStyle w:val="Compact"/>
            </w:pPr>
            <w:r>
              <w:t xml:space="preserve">Noch nicht abgerechnet</w:t>
            </w:r>
          </w:p>
        </w:tc>
      </w:tr>
    </w:tbl>
    <w:p>
      <w:pPr>
        <w:pStyle w:val="BodyText"/>
      </w:pPr>
      <w:r>
        <w:t xml:space="preserve">Quelle: Summit Ridge Flow-Dashboard; fiktiv.</w:t>
      </w:r>
    </w:p>
    <w:bookmarkEnd w:id="12"/>
    <w:bookmarkEnd w:id="13"/>
    <w:bookmarkStart w:id="15" w:name="die-kosten-von-zu-wenig-bargeld"/>
    <w:p>
      <w:pPr>
        <w:pStyle w:val="Heading1"/>
      </w:pPr>
      <w:r>
        <w:t xml:space="preserve">Die Kosten von zu wenig Bargeld</w:t>
      </w:r>
    </w:p>
    <w:p>
      <w:pPr>
        <w:pStyle w:val="FirstParagraph"/>
      </w:pPr>
      <w:r>
        <w:t xml:space="preserve">Wenn das verfügbare Bargeld des Fonds unter den für Rücknahmen erforderlichen Betrag fiel, musste die Handelsabteilung Wertpapiere verkaufen. Zu den direkten Kosten zählten Provisionen, Geld-Brief-Spannen, in manchen Märkten Steuern sowie Marktwirkung (Market Impact). Die indirekten Kosten konnten größer sein. Ein hastiger Verkauf könnte zu einem gedrückten Preis erfolgen, die Absichten von Summit Ridge gegenüber anderen Händlern offenlegen oder das Portfolio von den bevorzugten Positionen des Investmentteams wegdrängen.</w:t>
      </w:r>
    </w:p>
    <w:p>
      <w:pPr>
        <w:pStyle w:val="BodyText"/>
      </w:pPr>
      <w:r>
        <w:t xml:space="preserve">Portfoliomanager Victor Hale argumentierte, dass die liquidesten Positionen zuerst verkauft werden sollten, da sie schnell und kostengünstig in Bargeld umgewandelt werden könnten. Marquez befürchtete, dass wiederholte Verkäufe der liquidesten Wertpapiere das restliche Portfolio schwerer handelbar machen würden. Dies könnte auch die Konzentration in kleineren Positionen oder Sektoren erhöhen, die das Investmentteam nicht hätte übergewichten wollen.</w:t>
      </w:r>
    </w:p>
    <w:p>
      <w:pPr>
        <w:pStyle w:val="BodyText"/>
      </w:pPr>
      <w:r>
        <w:t xml:space="preserve">Die Handelsabteilung könnte stattdessen Positionen verkaufen, die die Analysten als weniger attraktiv einstuften. Dieser Ansatz könnte das Portfolio verbessern, doch diese Wertpapiere waren manchmal weniger liquide. Auch das Anlageurteil könnte sich als falsch erweisen. Eine Aktie, die zur Erfüllung von Rücknahmen verkauft wurde, könnte sich am folgenden Tag erholen und den verbleibenden Anteilseignern einen dauerhaften Verlust im Vergleich zu einer Strategie hinterlassen, die mehr Bargeld gehalten hätte.</w:t>
      </w:r>
    </w:p>
    <w:bookmarkStart w:id="14" w:name="X2c28bc159de3c8e8e719d0bbe26fd8f29c7e2ec"/>
    <w:p>
      <w:pPr>
        <w:pStyle w:val="Heading2"/>
      </w:pPr>
      <w:r>
        <w:t xml:space="preserve">Exhibit 3. Mögliche Quellen für $200 Millionen zusätzliches Bargeld</w:t>
      </w:r>
    </w:p>
    <w:tbl>
      <w:tblPr>
        <w:tblStyle w:val="Table"/>
        <w:tblW w:type="pct" w:w="4923"/>
        <w:tblLayout w:type="fixed"/>
        <w:tblLook w:firstRow="1" w:lastRow="0" w:firstColumn="0" w:lastColumn="0" w:noHBand="0" w:noVBand="0" w:val="0020"/>
      </w:tblPr>
      <w:tblGrid>
        <w:gridCol w:w="2132"/>
        <w:gridCol w:w="1766"/>
        <w:gridCol w:w="2376"/>
        <w:gridCol w:w="1523"/>
      </w:tblGrid>
      <w:tr>
        <w:trPr>
          <w:tblHeader w:val="on"/>
        </w:trPr>
        <w:tc>
          <w:tcPr/>
          <w:p>
            <w:pPr>
              <w:pStyle w:val="Compact"/>
              <w:jc w:val="left"/>
            </w:pPr>
            <w:r>
              <w:t xml:space="preserve">Maßnahme</w:t>
            </w:r>
          </w:p>
        </w:tc>
        <w:tc>
          <w:tcPr/>
          <w:p>
            <w:pPr>
              <w:pStyle w:val="Compact"/>
              <w:jc w:val="right"/>
            </w:pPr>
            <w:r>
              <w:t xml:space="preserve">Geschätzte Handelskosten</w:t>
            </w:r>
          </w:p>
        </w:tc>
        <w:tc>
          <w:tcPr/>
          <w:p>
            <w:pPr>
              <w:pStyle w:val="Compact"/>
              <w:jc w:val="right"/>
            </w:pPr>
            <w:r>
              <w:t xml:space="preserve">Auswirkung auf das Portfol</w:t>
            </w:r>
          </w:p>
        </w:tc>
        <w:tc>
          <w:tcPr/>
          <w:p>
            <w:pPr>
              <w:pStyle w:val="Compact"/>
            </w:pPr>
            <w:r>
              <w:t xml:space="preserve">io Verfügbarkeit</w:t>
            </w:r>
          </w:p>
        </w:tc>
      </w:tr>
      <w:tr>
        <w:tc>
          <w:tcPr/>
          <w:p>
            <w:pPr>
              <w:pStyle w:val="Compact"/>
              <w:jc w:val="left"/>
            </w:pPr>
            <w:r>
              <w:t xml:space="preserve">Verkauf von Indexfutures / Overlay-</w:t>
            </w:r>
          </w:p>
        </w:tc>
        <w:tc>
          <w:tcPr/>
          <w:p>
            <w:pPr>
              <w:pStyle w:val="Compact"/>
              <w:jc w:val="right"/>
            </w:pPr>
            <w:r>
              <w:t xml:space="preserve">Einsatz $0,3M-$0,7M</w:t>
            </w:r>
          </w:p>
        </w:tc>
        <w:tc>
          <w:tcPr/>
          <w:p>
            <w:pPr>
              <w:pStyle w:val="Compact"/>
              <w:jc w:val="right"/>
            </w:pPr>
            <w:r>
              <w:t xml:space="preserve">Reduziert Marktexposure vorübergehend</w:t>
            </w:r>
          </w:p>
        </w:tc>
        <w:tc>
          <w:tcPr/>
          <w:p>
            <w:pPr>
              <w:pStyle w:val="Compact"/>
            </w:pPr>
            <w:r>
              <w:t xml:space="preserve">Gleicher Tag</w:t>
            </w:r>
          </w:p>
        </w:tc>
      </w:tr>
      <w:tr>
        <w:tc>
          <w:tcPr/>
          <w:p>
            <w:pPr>
              <w:pStyle w:val="Compact"/>
              <w:jc w:val="left"/>
            </w:pPr>
            <w:r>
              <w:t xml:space="preserve">Verkauf der 10 liquidesten Position</w:t>
            </w:r>
          </w:p>
        </w:tc>
        <w:tc>
          <w:tcPr/>
          <w:p>
            <w:pPr>
              <w:pStyle w:val="Compact"/>
              <w:jc w:val="right"/>
            </w:pPr>
            <w:r>
              <w:t xml:space="preserve">en $0,8M-$1,5M</w:t>
            </w:r>
          </w:p>
        </w:tc>
        <w:tc>
          <w:tcPr/>
          <w:p>
            <w:pPr>
              <w:pStyle w:val="Compact"/>
              <w:jc w:val="right"/>
            </w:pPr>
            <w:r>
              <w:t xml:space="preserve">Reduziert bevorzugte Kernpositionen</w:t>
            </w:r>
          </w:p>
        </w:tc>
        <w:tc>
          <w:tcPr/>
          <w:p>
            <w:pPr>
              <w:pStyle w:val="Compact"/>
            </w:pPr>
            <w:r>
              <w:t xml:space="preserve">Gleicher Tag</w:t>
            </w:r>
          </w:p>
        </w:tc>
      </w:tr>
      <w:tr>
        <w:tc>
          <w:tcPr/>
          <w:p>
            <w:pPr>
              <w:pStyle w:val="Compact"/>
              <w:jc w:val="left"/>
            </w:pPr>
            <w:r>
              <w:t xml:space="preserve">Verkauf von Positionen mit geringer</w:t>
            </w:r>
          </w:p>
        </w:tc>
        <w:tc>
          <w:tcPr/>
          <w:p>
            <w:pPr>
              <w:pStyle w:val="Compact"/>
              <w:jc w:val="right"/>
            </w:pPr>
            <w:r>
              <w:t xml:space="preserve">er Überzeugung $1,6M-$3,2M</w:t>
            </w:r>
          </w:p>
        </w:tc>
        <w:tc>
          <w:tcPr/>
          <w:p>
            <w:pPr>
              <w:pStyle w:val="Compact"/>
              <w:jc w:val="right"/>
            </w:pPr>
            <w:r>
              <w:t xml:space="preserve">Kann die Portfoliothese verbessern</w:t>
            </w:r>
          </w:p>
        </w:tc>
        <w:tc>
          <w:tcPr/>
          <w:p>
            <w:pPr>
              <w:pStyle w:val="Compact"/>
            </w:pPr>
            <w:r>
              <w:t xml:space="preserve">Ein bis drei Tage</w:t>
            </w:r>
          </w:p>
        </w:tc>
      </w:tr>
      <w:tr>
        <w:tc>
          <w:tcPr/>
          <w:p>
            <w:pPr>
              <w:pStyle w:val="Compact"/>
              <w:jc w:val="left"/>
            </w:pPr>
            <w:r>
              <w:t xml:space="preserve">Ziehung der Bankkreditlinie</w:t>
            </w:r>
          </w:p>
        </w:tc>
        <w:tc>
          <w:tcPr/>
          <w:p>
            <w:pPr>
              <w:pStyle w:val="Compact"/>
              <w:jc w:val="right"/>
            </w:pPr>
            <w:r>
              <w:t xml:space="preserve">$1,1M monatliches Äquivale</w:t>
            </w:r>
          </w:p>
        </w:tc>
        <w:tc>
          <w:tcPr/>
          <w:p>
            <w:pPr>
              <w:pStyle w:val="Compact"/>
              <w:jc w:val="right"/>
            </w:pPr>
            <w:r>
              <w:t xml:space="preserve">nt Erhält Bestände; erhöht Fremdkapita</w:t>
            </w:r>
          </w:p>
        </w:tc>
        <w:tc>
          <w:tcPr/>
          <w:p>
            <w:pPr>
              <w:pStyle w:val="Compact"/>
            </w:pPr>
            <w:r>
              <w:t xml:space="preserve">l Gleicher Tag, sofern verfügbar</w:t>
            </w:r>
          </w:p>
        </w:tc>
      </w:tr>
      <w:tr>
        <w:tc>
          <w:tcPr/>
          <w:p>
            <w:pPr>
              <w:pStyle w:val="Compact"/>
              <w:jc w:val="left"/>
            </w:pPr>
            <w:r>
              <w:t xml:space="preserve">Nutzung fälliger Schatzwechsel</w:t>
            </w:r>
          </w:p>
        </w:tc>
        <w:tc>
          <w:tcPr/>
          <w:p>
            <w:pPr>
              <w:pStyle w:val="Compact"/>
              <w:jc w:val="right"/>
            </w:pPr>
            <w:r>
              <w:t xml:space="preserve">Minimal</w:t>
            </w:r>
          </w:p>
        </w:tc>
        <w:tc>
          <w:tcPr/>
          <w:p>
            <w:pPr>
              <w:pStyle w:val="Compact"/>
              <w:jc w:val="right"/>
            </w:pPr>
            <w:r>
              <w:t xml:space="preserve">Reduziert Liquiditätspuffer</w:t>
            </w:r>
          </w:p>
        </w:tc>
        <w:tc>
          <w:tcPr/>
          <w:p>
            <w:pPr>
              <w:pStyle w:val="Compact"/>
            </w:pPr>
            <w:r>
              <w:t xml:space="preserve">$72M innerhalb von fünf Tagen</w:t>
            </w:r>
          </w:p>
        </w:tc>
      </w:tr>
      <w:tr>
        <w:tc>
          <w:tcPr/>
          <w:p>
            <w:pPr>
              <w:pStyle w:val="Compact"/>
              <w:jc w:val="left"/>
            </w:pPr>
            <w:r>
              <w:t xml:space="preserve">Verzögerung neuer Käufe</w:t>
            </w:r>
          </w:p>
        </w:tc>
        <w:tc>
          <w:tcPr/>
          <w:p>
            <w:pPr>
              <w:pStyle w:val="Compact"/>
              <w:jc w:val="right"/>
            </w:pPr>
            <w:r>
              <w:t xml:space="preserve">Ungewisse Opportunitätskos</w:t>
            </w:r>
          </w:p>
        </w:tc>
        <w:tc>
          <w:tcPr/>
          <w:p>
            <w:pPr>
              <w:pStyle w:val="Compact"/>
              <w:jc w:val="right"/>
            </w:pPr>
            <w:r>
              <w:t xml:space="preserve">ten Bargeld baut sich nur bei Zuflüsse</w:t>
            </w:r>
          </w:p>
        </w:tc>
        <w:tc>
          <w:tcPr/>
          <w:p>
            <w:pPr>
              <w:pStyle w:val="Compact"/>
            </w:pPr>
            <w:r>
              <w:t xml:space="preserve">n wieder auf Allmählich</w:t>
            </w:r>
          </w:p>
        </w:tc>
      </w:tr>
    </w:tbl>
    <w:p>
      <w:pPr>
        <w:pStyle w:val="BodyText"/>
      </w:pPr>
      <w:r>
        <w:t xml:space="preserve">Quelle: Handels- und Treasury-Schätzungen von Summit Ridge; fiktiv. Kosten variieren mit den Marktbedingungen.</w:t>
      </w:r>
    </w:p>
    <w:bookmarkEnd w:id="14"/>
    <w:bookmarkEnd w:id="15"/>
    <w:bookmarkStart w:id="17" w:name="die-kosten-von-zu-viel-bargeld"/>
    <w:p>
      <w:pPr>
        <w:pStyle w:val="Heading1"/>
      </w:pPr>
      <w:r>
        <w:t xml:space="preserve">Die Kosten von zu viel Bargeld</w:t>
      </w:r>
    </w:p>
    <w:p>
      <w:pPr>
        <w:pStyle w:val="FirstParagraph"/>
      </w:pPr>
      <w:r>
        <w:t xml:space="preserve">Bargeld war nicht kostenlos. In Phasen hoher kurzfristiger Zinssätze erwirtschafteten Schatzwechsel und Geldmarktinstrumente nennenswerte Erträge. Doch der Select Equity Fund wurde als Aktienstrategie vermarktet, und seine Benchmark war nahezu vollständig investiert. Wenn Aktien schneller stiegen als Bargeld, würde eine dauerhafte Barposition eine Performancebelastung darstellen. Eine Barposition von drei Prozentpunkten würde die Jahresrendite um etwa 0,30 Prozentpunkte verringern, wenn Aktien Bargeld um 10 Prozentpunkte übertrafen.</w:t>
      </w:r>
    </w:p>
    <w:p>
      <w:pPr>
        <w:pStyle w:val="BodyText"/>
      </w:pPr>
      <w:r>
        <w:t xml:space="preserve">Der Effekt wirkte gering, bis er mit Wettbewerbern verglichen wurde. Anlageberater ordneten Manager oft nach relativ engen Performanceunterschieden ein. Zusätzliche 0,30 Prozentpunkte könnten Ratings, institutionelle Suchen, Beraterempfehlungen, Mitarbeiterboni und zukünftige Zuflüsse beeinflussen. Ironischerweise könnte das Halten von Bargeld zum Schutz vor Rücknahmen zu einer Underperformance beitragen, die dazu führt, dass noch mehr Anleger den Fonds verlassen.</w:t>
      </w:r>
    </w:p>
    <w:p>
      <w:pPr>
        <w:pStyle w:val="BodyText"/>
      </w:pPr>
      <w:r>
        <w:t xml:space="preserve">Das Portfolioteam stand nach großen Zuflüssen auch vor dem umgekehrten Problem. Zu schnelles Kaufen könnte Preise nach oben treiben oder Käufe erzwingen, bevor Analysten ihre Arbeit abgeschlossen hatten. Zu langsames Investieren ließ den Fonds mit unerwünschtem Bargeld zurück. Das Team musste entscheiden, welche Wertpapiere gekauft werden sollten, wie schnell gehandelt werden sollte und ob Indexfutures als vorübergehendes Exposure genutzt werden sollten, während Recherche und Ausführung aufholten.</w:t>
      </w:r>
    </w:p>
    <w:bookmarkStart w:id="16" w:name="X66230086f6169f0d94beb2f52e4ab65930a67b5"/>
    <w:p>
      <w:pPr>
        <w:pStyle w:val="Heading2"/>
      </w:pPr>
      <w:r>
        <w:t xml:space="preserve">Exhibit 4. Veranschaulichende jährliche Auswirkung alternativer Bargeldniveaus</w:t>
      </w:r>
    </w:p>
    <w:tbl>
      <w:tblPr>
        <w:tblStyle w:val="Table"/>
        <w:tblW w:type="pct" w:w="4912"/>
        <w:tblLayout w:type="fixed"/>
        <w:tblLook w:firstRow="1" w:lastRow="0" w:firstColumn="0" w:lastColumn="0" w:noHBand="0" w:noVBand="0" w:val="0020"/>
      </w:tblPr>
      <w:tblGrid>
        <w:gridCol w:w="1458"/>
        <w:gridCol w:w="2362"/>
        <w:gridCol w:w="1736"/>
        <w:gridCol w:w="2223"/>
      </w:tblGrid>
      <w:tr>
        <w:trPr>
          <w:tblHeader w:val="on"/>
        </w:trPr>
        <w:tc>
          <w:tcPr/>
          <w:p>
            <w:pPr>
              <w:pStyle w:val="Compact"/>
            </w:pPr>
            <w:r>
              <w:t xml:space="preserve">Durchschnittliches Ba</w:t>
            </w:r>
          </w:p>
        </w:tc>
        <w:tc>
          <w:tcPr/>
          <w:p>
            <w:pPr>
              <w:pStyle w:val="Compact"/>
            </w:pPr>
            <w:r>
              <w:t xml:space="preserve">rgeldniveau Aktien-Outperforman</w:t>
            </w:r>
          </w:p>
        </w:tc>
        <w:tc>
          <w:tcPr/>
          <w:p>
            <w:pPr>
              <w:pStyle w:val="Compact"/>
            </w:pPr>
            <w:r>
              <w:t xml:space="preserve">ce gegenüber Bargeld Ge</w:t>
            </w:r>
          </w:p>
        </w:tc>
        <w:tc>
          <w:tcPr/>
          <w:p>
            <w:pPr>
              <w:pStyle w:val="Compact"/>
            </w:pPr>
            <w:r>
              <w:t xml:space="preserve">schätzte Renditebelastung Verfügbares Bargeld bei einem $8,5-Mrd.-Fonds</w:t>
            </w:r>
          </w:p>
        </w:tc>
      </w:tr>
      <w:tr>
        <w:tc>
          <w:tcPr/>
          <w:p>
            <w:pPr>
              <w:pStyle w:val="Compact"/>
            </w:pPr>
            <w:r>
              <w:t xml:space="preserve">2%</w:t>
            </w:r>
          </w:p>
        </w:tc>
        <w:tc>
          <w:tcPr/>
          <w:p>
            <w:pPr>
              <w:pStyle w:val="Compact"/>
            </w:pPr>
            <w:r>
              <w:t xml:space="preserve">4 Prozentpunkte 0,0</w:t>
            </w:r>
          </w:p>
        </w:tc>
        <w:tc>
          <w:tcPr/>
          <w:p>
            <w:pPr>
              <w:pStyle w:val="Compact"/>
            </w:pPr>
            <w:r>
              <w:t xml:space="preserve">8 Prozentpunkte</w:t>
            </w:r>
          </w:p>
        </w:tc>
        <w:tc>
          <w:tcPr/>
          <w:p>
            <w:pPr>
              <w:pStyle w:val="Compact"/>
            </w:pPr>
            <w:r>
              <w:t xml:space="preserve">$170M</w:t>
            </w:r>
          </w:p>
        </w:tc>
      </w:tr>
      <w:tr>
        <w:tc>
          <w:tcPr/>
          <w:p>
            <w:pPr>
              <w:pStyle w:val="Compact"/>
            </w:pPr>
            <w:r>
              <w:t xml:space="preserve">3%</w:t>
            </w:r>
          </w:p>
        </w:tc>
        <w:tc>
          <w:tcPr/>
          <w:p>
            <w:pPr>
              <w:pStyle w:val="Compact"/>
            </w:pPr>
            <w:r>
              <w:t xml:space="preserve">6 Prozentpunkte 0,1</w:t>
            </w:r>
          </w:p>
        </w:tc>
        <w:tc>
          <w:tcPr/>
          <w:p>
            <w:pPr>
              <w:pStyle w:val="Compact"/>
            </w:pPr>
            <w:r>
              <w:t xml:space="preserve">8 Prozentpunkte</w:t>
            </w:r>
          </w:p>
        </w:tc>
        <w:tc>
          <w:tcPr/>
          <w:p>
            <w:pPr>
              <w:pStyle w:val="Compact"/>
            </w:pPr>
            <w:r>
              <w:t xml:space="preserve">$255M</w:t>
            </w:r>
          </w:p>
        </w:tc>
      </w:tr>
      <w:tr>
        <w:tc>
          <w:tcPr/>
          <w:p>
            <w:pPr>
              <w:pStyle w:val="Compact"/>
            </w:pPr>
            <w:r>
              <w:t xml:space="preserve">4%</w:t>
            </w:r>
          </w:p>
        </w:tc>
        <w:tc>
          <w:tcPr/>
          <w:p>
            <w:pPr>
              <w:pStyle w:val="Compact"/>
            </w:pPr>
            <w:r>
              <w:t xml:space="preserve">8 Prozentpunkte 0,3</w:t>
            </w:r>
          </w:p>
        </w:tc>
        <w:tc>
          <w:tcPr/>
          <w:p>
            <w:pPr>
              <w:pStyle w:val="Compact"/>
            </w:pPr>
            <w:r>
              <w:t xml:space="preserve">2 Prozentpunkte</w:t>
            </w:r>
          </w:p>
        </w:tc>
        <w:tc>
          <w:tcPr/>
          <w:p>
            <w:pPr>
              <w:pStyle w:val="Compact"/>
            </w:pPr>
            <w:r>
              <w:t xml:space="preserve">$340M</w:t>
            </w:r>
          </w:p>
        </w:tc>
      </w:tr>
      <w:tr>
        <w:tc>
          <w:tcPr/>
          <w:p>
            <w:pPr>
              <w:pStyle w:val="Compact"/>
            </w:pPr>
            <w:r>
              <w:t xml:space="preserve">5%</w:t>
            </w:r>
          </w:p>
        </w:tc>
        <w:tc>
          <w:tcPr/>
          <w:p>
            <w:pPr>
              <w:pStyle w:val="Compact"/>
            </w:pPr>
            <w:r>
              <w:t xml:space="preserve">10 Prozentpunkte 0,5</w:t>
            </w:r>
          </w:p>
        </w:tc>
        <w:tc>
          <w:tcPr/>
          <w:p>
            <w:pPr>
              <w:pStyle w:val="Compact"/>
            </w:pPr>
            <w:r>
              <w:t xml:space="preserve">0 Prozentpunkte</w:t>
            </w:r>
          </w:p>
        </w:tc>
        <w:tc>
          <w:tcPr/>
          <w:p>
            <w:pPr>
              <w:pStyle w:val="Compact"/>
            </w:pPr>
            <w:r>
              <w:t xml:space="preserve">$425M</w:t>
            </w:r>
          </w:p>
        </w:tc>
      </w:tr>
      <w:tr>
        <w:tc>
          <w:tcPr/>
          <w:p>
            <w:pPr>
              <w:pStyle w:val="Compact"/>
            </w:pPr>
            <w:r>
              <w:t xml:space="preserve">7%</w:t>
            </w:r>
          </w:p>
        </w:tc>
        <w:tc>
          <w:tcPr/>
          <w:p>
            <w:pPr>
              <w:pStyle w:val="Compact"/>
            </w:pPr>
            <w:r>
              <w:t xml:space="preserve">12 Prozentpunkte 0,8</w:t>
            </w:r>
          </w:p>
        </w:tc>
        <w:tc>
          <w:tcPr/>
          <w:p>
            <w:pPr>
              <w:pStyle w:val="Compact"/>
            </w:pPr>
            <w:r>
              <w:t xml:space="preserve">4 Prozentpunkte</w:t>
            </w:r>
          </w:p>
        </w:tc>
        <w:tc>
          <w:tcPr/>
          <w:p>
            <w:pPr>
              <w:pStyle w:val="Compact"/>
            </w:pPr>
            <w:r>
              <w:t xml:space="preserve">$595M</w:t>
            </w:r>
          </w:p>
        </w:tc>
      </w:tr>
    </w:tbl>
    <w:p>
      <w:pPr>
        <w:pStyle w:val="BodyText"/>
      </w:pPr>
      <w:r>
        <w:t xml:space="preserve">Quelle: Illustrative Berechnungen. Tatsächliche Ergebnisse hängen von Marktrenditen, Zinssätzen und Timing ab.</w:t>
      </w:r>
    </w:p>
    <w:bookmarkEnd w:id="16"/>
    <w:bookmarkEnd w:id="17"/>
    <w:bookmarkStart w:id="19" w:name="prognosen-und-frühwarnungen"/>
    <w:p>
      <w:pPr>
        <w:pStyle w:val="Heading1"/>
      </w:pPr>
      <w:r>
        <w:t xml:space="preserve">Prognosen und Frühwarnungen</w:t>
      </w:r>
    </w:p>
    <w:p>
      <w:pPr>
        <w:pStyle w:val="FirstParagraph"/>
      </w:pPr>
      <w:r>
        <w:t xml:space="preserve">Das Treasury-Team von Summit Ridge erstellte tägliche Flow-Prognosen anhand des historischen Anlegerverhaltens, Intermediärberichten, monatlichen Altersvorsorgebeiträgen, Steuerterminen, Marktbewegungen und bekannter institutioneller Aktivität. Das Modell funktionierte während normaler Märkte einigermaßen gut, doch seine größten Fehler traten genau in den Phasen auf, in denen Bargeld am wertvollsten war. Eine auf durchschnittlichem Tagesverhalten basierende Prognose konnte nicht zuverlässig vorhersehen, dass ein Pensionsplan den Manager wechselt oder ein Berater den Fonds auf eine Watchlist setzt.</w:t>
      </w:r>
    </w:p>
    <w:p>
      <w:pPr>
        <w:pStyle w:val="BodyText"/>
      </w:pPr>
      <w:r>
        <w:t xml:space="preserve">Chief Data Officer Nina Shah schlug vor, zeitnähere Informationen von Vertriebsplattformen einzuholen und institutionelle Kunden um unverbindliche Vorabhinweise auf größere Bewegungen zu bitten. Einige Plattformen konnten untertägige Schätzungen liefern, doch sie erhoben Gebühren und deckten nur einen Teil des Fonds ab. Institutionen zögerten, Absichten preiszugeben, die beeinflussen könnten, wie ihre Trades behandelt würden. Das Compliance-Team warnte davor, bevorzugten Kunden Informationen oder eine Behandlung zu geben, die andere Anteilseigner benachteiligen könnte.</w:t>
      </w:r>
    </w:p>
    <w:p>
      <w:pPr>
        <w:pStyle w:val="BodyText"/>
      </w:pPr>
      <w:r>
        <w:t xml:space="preserve">Chief Financial Officer Aaron Bell schlug eine formale Liquiditätsreserve vor, die an die jüngste Flow-Volatilität und die Liquidität des Portfolios gekoppelt wäre. Hale wandte ein, dass eine feste Regel in ruhigen Märkten übermäßig viel Bargeld binden und dennoch bei einem echten Ansturm unzureichend sein würde. Er bevorzugte das Urteilsvermögen des Managers, unterstützt durch Szenarioanalysen und eine Kreditlinie. Die unabhängigen Fondsdirektoren wollten einen Prozess, den sie verstehen, überwachen und im Nachhinein rechtfertigen könnten.</w:t>
      </w:r>
    </w:p>
    <w:bookmarkStart w:id="18" w:name="exhibit-5.-managementalternativen"/>
    <w:p>
      <w:pPr>
        <w:pStyle w:val="Heading2"/>
      </w:pPr>
      <w:r>
        <w:t xml:space="preserve">Exhibit 5. Managementalternativen</w:t>
      </w:r>
    </w:p>
    <w:tbl>
      <w:tblPr>
        <w:tblStyle w:val="Table"/>
        <w:tblW w:type="pct" w:w="4925"/>
        <w:tblLayout w:type="fixed"/>
        <w:tblLook w:firstRow="1" w:lastRow="0" w:firstColumn="0" w:lastColumn="0" w:noHBand="0" w:noVBand="0" w:val="0020"/>
      </w:tblPr>
      <w:tblGrid>
        <w:gridCol w:w="2381"/>
        <w:gridCol w:w="2560"/>
        <w:gridCol w:w="2858"/>
      </w:tblGrid>
      <w:tr>
        <w:trPr>
          <w:tblHeader w:val="on"/>
        </w:trPr>
        <w:tc>
          <w:tcPr/>
          <w:p>
            <w:pPr>
              <w:pStyle w:val="Compact"/>
              <w:jc w:val="left"/>
            </w:pPr>
            <w:r>
              <w:t xml:space="preserve">Alternative</w:t>
            </w:r>
          </w:p>
        </w:tc>
        <w:tc>
          <w:tcPr/>
          <w:p>
            <w:pPr>
              <w:pStyle w:val="Compact"/>
              <w:jc w:val="center"/>
            </w:pPr>
            <w:r>
              <w:t xml:space="preserve">Möglicher Vorteil</w:t>
            </w:r>
          </w:p>
        </w:tc>
        <w:tc>
          <w:tcPr/>
          <w:p>
            <w:pPr>
              <w:pStyle w:val="Compact"/>
              <w:jc w:val="center"/>
            </w:pPr>
            <w:r>
              <w:t xml:space="preserve">Hauptrisiko oder Zielkonflikt</w:t>
            </w:r>
          </w:p>
        </w:tc>
      </w:tr>
      <w:tr>
        <w:tc>
          <w:tcPr/>
          <w:p>
            <w:pPr>
              <w:pStyle w:val="Compact"/>
              <w:jc w:val="left"/>
            </w:pPr>
            <w:r>
              <w:t xml:space="preserve">Zielbargeld von 3% auf 5% erhöhen</w:t>
            </w:r>
          </w:p>
        </w:tc>
        <w:tc>
          <w:tcPr/>
          <w:p>
            <w:pPr>
              <w:pStyle w:val="Compact"/>
              <w:jc w:val="center"/>
            </w:pPr>
            <w:r>
              <w:t xml:space="preserve">Mehr Schutz vor plötzlichen Abhebungen</w:t>
            </w:r>
          </w:p>
        </w:tc>
        <w:tc>
          <w:tcPr/>
          <w:p>
            <w:pPr>
              <w:pStyle w:val="Compact"/>
              <w:jc w:val="center"/>
            </w:pPr>
            <w:r>
              <w:t xml:space="preserve">Dauerhafte Performancebelastung</w:t>
            </w:r>
          </w:p>
        </w:tc>
      </w:tr>
      <w:tr>
        <w:tc>
          <w:tcPr/>
          <w:p>
            <w:pPr>
              <w:pStyle w:val="Compact"/>
              <w:jc w:val="left"/>
            </w:pPr>
            <w:r>
              <w:t xml:space="preserve">3% Bargeld plus Kreditlinie beibehalten</w:t>
            </w:r>
          </w:p>
        </w:tc>
        <w:tc>
          <w:tcPr/>
          <w:p>
            <w:pPr>
              <w:pStyle w:val="Compact"/>
              <w:jc w:val="center"/>
            </w:pPr>
            <w:r>
              <w:t xml:space="preserve">Liquidität ohne dauerhaftes Bargeld</w:t>
            </w:r>
          </w:p>
        </w:tc>
        <w:tc>
          <w:tcPr/>
          <w:p>
            <w:pPr>
              <w:pStyle w:val="Compact"/>
              <w:jc w:val="center"/>
            </w:pPr>
            <w:r>
              <w:t xml:space="preserve">Kreditkosten und Verfügbarkeit bei Marktstress</w:t>
            </w:r>
          </w:p>
        </w:tc>
      </w:tr>
      <w:tr>
        <w:tc>
          <w:tcPr/>
          <w:p>
            <w:pPr>
              <w:pStyle w:val="Compact"/>
              <w:jc w:val="left"/>
            </w:pPr>
            <w:r>
              <w:t xml:space="preserve">Dynamisches Bargeldziel verwenden</w:t>
            </w:r>
          </w:p>
        </w:tc>
        <w:tc>
          <w:tcPr/>
          <w:p>
            <w:pPr>
              <w:pStyle w:val="Compact"/>
              <w:jc w:val="center"/>
            </w:pPr>
            <w:r>
              <w:t xml:space="preserve">Reagiert auf Flüsse und Marktbedingunge</w:t>
            </w:r>
          </w:p>
        </w:tc>
        <w:tc>
          <w:tcPr/>
          <w:p>
            <w:pPr>
              <w:pStyle w:val="Compact"/>
              <w:jc w:val="center"/>
            </w:pPr>
            <w:r>
              <w:t xml:space="preserve">n Modellfehler und häufiger Handel</w:t>
            </w:r>
          </w:p>
        </w:tc>
      </w:tr>
      <w:tr>
        <w:tc>
          <w:tcPr/>
          <w:p>
            <w:pPr>
              <w:pStyle w:val="Compact"/>
              <w:jc w:val="left"/>
            </w:pPr>
            <w:r>
              <w:t xml:space="preserve">Größere Schatzwechsel-Leiter halten</w:t>
            </w:r>
          </w:p>
        </w:tc>
        <w:tc>
          <w:tcPr/>
          <w:p>
            <w:pPr>
              <w:pStyle w:val="Compact"/>
              <w:jc w:val="center"/>
            </w:pPr>
            <w:r>
              <w:t xml:space="preserve">Vorhersehbare Fälligkeiten und Erträ</w:t>
            </w:r>
          </w:p>
        </w:tc>
        <w:tc>
          <w:tcPr/>
          <w:p>
            <w:pPr>
              <w:pStyle w:val="Compact"/>
              <w:jc w:val="center"/>
            </w:pPr>
            <w:r>
              <w:t xml:space="preserve">ge Passt möglicherweise nicht zu taggleichen Rücknahmen</w:t>
            </w:r>
          </w:p>
        </w:tc>
      </w:tr>
      <w:tr>
        <w:tc>
          <w:tcPr/>
          <w:p>
            <w:pPr>
              <w:pStyle w:val="Compact"/>
              <w:jc w:val="left"/>
            </w:pPr>
            <w:r>
              <w:t xml:space="preserve">Verstärkte Nutzung von Indexfutures</w:t>
            </w:r>
          </w:p>
        </w:tc>
        <w:tc>
          <w:tcPr/>
          <w:p>
            <w:pPr>
              <w:pStyle w:val="Compact"/>
              <w:jc w:val="center"/>
            </w:pPr>
            <w:r>
              <w:t xml:space="preserve">Erhält Marktexposure bei gleichzeiti</w:t>
            </w:r>
          </w:p>
        </w:tc>
        <w:tc>
          <w:tcPr/>
          <w:p>
            <w:pPr>
              <w:pStyle w:val="Compact"/>
              <w:jc w:val="center"/>
            </w:pPr>
            <w:r>
              <w:t xml:space="preserve">gem Bargeldhalt Basis-, Margin- und Kontrahentenrisiken</w:t>
            </w:r>
          </w:p>
        </w:tc>
      </w:tr>
      <w:tr>
        <w:tc>
          <w:tcPr/>
          <w:p>
            <w:pPr>
              <w:pStyle w:val="Compact"/>
              <w:jc w:val="left"/>
            </w:pPr>
            <w:r>
              <w:t xml:space="preserve">Bessere Anlegerfluss-Informationen suche</w:t>
            </w:r>
          </w:p>
        </w:tc>
        <w:tc>
          <w:tcPr/>
          <w:p>
            <w:pPr>
              <w:pStyle w:val="Compact"/>
              <w:jc w:val="center"/>
            </w:pPr>
            <w:r>
              <w:t xml:space="preserve">n Kann Prognosefehler reduzieren</w:t>
            </w:r>
          </w:p>
        </w:tc>
        <w:tc>
          <w:tcPr/>
          <w:p>
            <w:pPr>
              <w:pStyle w:val="Compact"/>
              <w:jc w:val="center"/>
            </w:pPr>
            <w:r>
              <w:t xml:space="preserve">Kosten, unvollständige Abdeckung, Kundenwiderstand</w:t>
            </w:r>
          </w:p>
        </w:tc>
      </w:tr>
      <w:tr>
        <w:tc>
          <w:tcPr/>
          <w:p>
            <w:pPr>
              <w:pStyle w:val="Compact"/>
              <w:jc w:val="left"/>
            </w:pPr>
            <w:r>
              <w:t xml:space="preserve">Portfolio auf Liquidität hin umgestalten</w:t>
            </w:r>
          </w:p>
        </w:tc>
        <w:tc>
          <w:tcPr/>
          <w:p>
            <w:pPr>
              <w:pStyle w:val="Compact"/>
              <w:jc w:val="center"/>
            </w:pPr>
            <w:r>
              <w:t xml:space="preserve">Geringere Kosten erzwungener V</w:t>
            </w:r>
          </w:p>
        </w:tc>
        <w:tc>
          <w:tcPr/>
          <w:p>
            <w:pPr>
              <w:pStyle w:val="Compact"/>
              <w:jc w:val="center"/>
            </w:pPr>
            <w:r>
              <w:t xml:space="preserve">erkäufe Kann die Anlagestrategie einschränken</w:t>
            </w:r>
          </w:p>
        </w:tc>
      </w:tr>
    </w:tbl>
    <w:p>
      <w:pPr>
        <w:pStyle w:val="BodyText"/>
      </w:pPr>
      <w:r>
        <w:t xml:space="preserve">Quelle: Managementvorschläge von Summit Ridge; fiktiv.</w:t>
      </w:r>
    </w:p>
    <w:bookmarkEnd w:id="18"/>
    <w:bookmarkEnd w:id="19"/>
    <w:bookmarkStart w:id="20" w:name="montag-um-830-uhr"/>
    <w:p>
      <w:pPr>
        <w:pStyle w:val="Heading1"/>
      </w:pPr>
      <w:r>
        <w:t xml:space="preserve">Montag um 8:30 Uhr</w:t>
      </w:r>
    </w:p>
    <w:p>
      <w:pPr>
        <w:pStyle w:val="FirstParagraph"/>
      </w:pPr>
      <w:r>
        <w:t xml:space="preserve">Bis 8:20 Uhr hatte die Transferstelle die geschätzte Rücknahmesumme auf $347 Millionen erhöht. Ein institutioneller Kunde hatte eine Rücknahme von $178 Millionen bestätigt. Ein zweiter hatte Abwicklungsinformationen angefordert, seinen Auftrag jedoch noch nicht förmlich eingereicht. Die Retail-Flüsse waren negativ, obwohl die Schätzung noch instabil war. Die Bank des Fonds bestätigte, dass eine zugesagte Kreditlinie von $250 Millionen verfügbar blieb, vorbehaltlich Kreditkosten und Sicherheitenanforderungen.</w:t>
      </w:r>
    </w:p>
    <w:p>
      <w:pPr>
        <w:pStyle w:val="BodyText"/>
      </w:pPr>
      <w:r>
        <w:t xml:space="preserve">Marquez musste den Eröffnungsplan genehmigen, bevor die Märkte den Handel aufnahmen. Sie konnte den Großteil des Barbestands des Fonds nutzen, mit dem Verkauf liquider Kernpositionen beginnen, Positionen mit geringerer Überzeugung verkaufen, gegen die Kreditlinie Kredit aufnehmen oder diese Maßnahmen kombinieren. Sie musste auch entscheiden, ob sie über die bekannten Rücknahmen hinaus zusätzliches Bargeld beschaffen sollte, um sich auf weitere Abhebungen vorzubereiten. Jede Wahl hing von Ereignissen ab, die sich erst nach der Entscheidung entfalten würden.</w:t>
      </w:r>
    </w:p>
    <w:p>
      <w:pPr>
        <w:pStyle w:val="BodyText"/>
      </w:pPr>
      <w:r>
        <w:t xml:space="preserve">Die größere Frage würde auch nach Montag bestehen bleiben. Summit Ridge benötigte einen wiederholbaren Prozess für gewöhnliche Zuflüsse, unerwartete institutionelle Rücknahmen, Marktschocks und Phasen anhaltender Abhebungen. Doch ein Prozess, der den Fonds während einer Krise schützte, könnte die Performance in normalen Märkten schwächen, die Anlagestrategie verändern oder Handelskosten zwischen Anlegern verschieben, die zu unterschiedlichen Zeiten ein- und aussteigen.</w:t>
      </w:r>
    </w:p>
    <w:p>
      <w:pPr>
        <w:pStyle w:val="BodyText"/>
      </w:pPr>
      <w:r>
        <w:t xml:space="preserve">Um 8:28 Uhr fielen die Futures um weitere einen halben Prozentpunkt. Marquez blickte auf das Cash-Dashboard, die Handelsliste und die Nachricht der zweiten Institution. Der Markt würde in zwei Minuten eröffnen.</w:t>
      </w:r>
    </w:p>
    <w:bookmarkEnd w:id="20"/>
    <w:bookmarkStart w:id="21" w:name="diskussionsfragen"/>
    <w:p>
      <w:pPr>
        <w:pStyle w:val="Heading1"/>
      </w:pPr>
      <w:r>
        <w:t xml:space="preserve">Diskussionsfragen</w:t>
      </w:r>
    </w:p>
    <w:p>
      <w:pPr>
        <w:numPr>
          <w:ilvl w:val="0"/>
          <w:numId w:val="1001"/>
        </w:numPr>
      </w:pPr>
      <w:r>
        <w:t xml:space="preserve">Was ist das zentrale Problem, vor dem Marquez am Montagmorgen steht?</w:t>
      </w:r>
    </w:p>
    <w:p>
      <w:pPr>
        <w:numPr>
          <w:ilvl w:val="0"/>
          <w:numId w:val="1001"/>
        </w:numPr>
      </w:pPr>
      <w:r>
        <w:t xml:space="preserve">Wie viel Gewicht sollte Summit Ridge auf bekannte Rücknahmen im Vergleich zu möglichen zusätzlichen Abhebungen legen?</w:t>
      </w:r>
    </w:p>
    <w:p>
      <w:pPr>
        <w:numPr>
          <w:ilvl w:val="0"/>
          <w:numId w:val="1001"/>
        </w:numPr>
      </w:pPr>
      <w:r>
        <w:t xml:space="preserve">Welche Konsequenzen hat das Halten von zu wenig Bargeld? Welche Konsequenzen hat das Halten von zu viel Bargeld?</w:t>
      </w:r>
    </w:p>
    <w:p>
      <w:pPr>
        <w:numPr>
          <w:ilvl w:val="0"/>
          <w:numId w:val="1001"/>
        </w:numPr>
      </w:pPr>
      <w:r>
        <w:t xml:space="preserve">Welche Wertpapiere sollte der Fonds zuerst verkaufen, wenn er Bargeld beschaffen muss?</w:t>
      </w:r>
    </w:p>
    <w:p>
      <w:pPr>
        <w:numPr>
          <w:ilvl w:val="0"/>
          <w:numId w:val="1001"/>
        </w:numPr>
      </w:pPr>
      <w:r>
        <w:t xml:space="preserve">Wann, wenn überhaupt, sollte der Fonds seine Kreditlinie nutzen, anstatt Portfoliobestände zu verkaufen?</w:t>
      </w:r>
    </w:p>
    <w:p>
      <w:pPr>
        <w:numPr>
          <w:ilvl w:val="0"/>
          <w:numId w:val="1001"/>
        </w:numPr>
      </w:pPr>
      <w:r>
        <w:t xml:space="preserve">Wie sollten Unterschiede zwischen Retail- und institutionellen Anlegern die Bargeldplanung beeinflussen?</w:t>
      </w:r>
    </w:p>
    <w:p>
      <w:pPr>
        <w:numPr>
          <w:ilvl w:val="0"/>
          <w:numId w:val="1001"/>
        </w:numPr>
      </w:pPr>
      <w:r>
        <w:t xml:space="preserve">Welche Informationen würden Summit Ridges Fähigkeit, Anlegerströme zu antizipieren, am stärksten verbessern?</w:t>
      </w:r>
    </w:p>
    <w:p>
      <w:pPr>
        <w:numPr>
          <w:ilvl w:val="0"/>
          <w:numId w:val="1001"/>
        </w:numPr>
      </w:pPr>
      <w:r>
        <w:t xml:space="preserve">Würde ein festes Bargeldziel, eine dynamische Regel oder das Urteilsvermögen des Managers den stärksten Prozess bieten?</w:t>
      </w:r>
    </w:p>
    <w:p>
      <w:pPr>
        <w:numPr>
          <w:ilvl w:val="0"/>
          <w:numId w:val="1001"/>
        </w:numPr>
      </w:pPr>
      <w:r>
        <w:t xml:space="preserve">Wie sollte der Fonds Marktbedingungen und Zinssätze bei der Festlegung seiner Liquiditätsposition berücksichtigen?</w:t>
      </w:r>
    </w:p>
    <w:p>
      <w:pPr>
        <w:numPr>
          <w:ilvl w:val="0"/>
          <w:numId w:val="1001"/>
        </w:numPr>
      </w:pPr>
      <w:r>
        <w:t xml:space="preserve">Wie sollte Summit Ridge bewerten, ob sein Cash-Management-Prozess die verbleibenden Anteilseigner fair schützt?</w:t>
      </w:r>
    </w:p>
    <w:bookmarkEnd w:id="21"/>
    <w:bookmarkStart w:id="27"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2">
        <w:r>
          <w:rPr>
            <w:rStyle w:val="Hyperlink"/>
          </w:rPr>
          <w:t xml:space="preserve">Metrikpyramiden-Tool</w:t>
        </w:r>
      </w:hyperlink>
      <w:r>
        <w:t xml:space="preserve">, um die verschiedenen Leistungskennzahlen zu identifizieren und zu priorisieren. Klicken Sie auf das Oval, das die Kennzahl enthält, um festzustellen, ob es sich um eine zu maximierende Kennzahl (grün), eine zu minimierende Kennzahl (rot), ein Ziel handelt, das eine Untergrenze (hellgrün) oder eine Obergrenze (hellrot) ist, oder schließlich um einen Zielwert (lila).</w:t>
      </w:r>
    </w:p>
    <w:p>
      <w:pPr>
        <w:numPr>
          <w:ilvl w:val="0"/>
          <w:numId w:val="1002"/>
        </w:numPr>
      </w:pPr>
      <w:r>
        <w:t xml:space="preserve">Verwenden Sie das</w:t>
      </w:r>
      <w:r>
        <w:t xml:space="preserve"> </w:t>
      </w:r>
      <w:hyperlink r:id="rId23">
        <w:r>
          <w:rPr>
            <w:rStyle w:val="Hyperlink"/>
          </w:rPr>
          <w:t xml:space="preserve">Entscheidungspriorisierungs-Tool</w:t>
        </w:r>
      </w:hyperlink>
      <w:r>
        <w:t xml:space="preserve">, um zunächst die verschiedenen Arten von Entscheidungen aufzulisten (verwenden Sie die</w:t>
      </w:r>
      <w:r>
        <w:t xml:space="preserve"> </w:t>
      </w:r>
      <w:hyperlink r:id="rId24">
        <w:r>
          <w:rPr>
            <w:rStyle w:val="Hyperlink"/>
          </w:rPr>
          <w:t xml:space="preserve">Arten von Entscheidungen</w:t>
        </w:r>
      </w:hyperlink>
      <w:r>
        <w:t xml:space="preserve"> </w:t>
      </w:r>
      <w:r>
        <w:t xml:space="preserve">als Leitfaden).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dem größten Einfluss auf die wichtigsten Kennzahlen weiter oben stehen. Die Zellen in der oberen linken Ecke sollten die größte Konzentration an roten und orangen Zellen aufweisen. Identifizieren Sie an diesem Punkt die Entscheidungen, die in Ihrer Studie die meiste Aufmerksamkeit erhalten sollten. Wenn Sie keine Entscheidungen mit mittlerem oder hohem Einfluss auf die wichtigsten Kennzahlen haben, überarbeiten Sie Ihre Liste der Entscheidungen.</w:t>
      </w:r>
    </w:p>
    <w:p>
      <w:pPr>
        <w:numPr>
          <w:ilvl w:val="0"/>
          <w:numId w:val="1002"/>
        </w:numPr>
      </w:pPr>
      <w:r>
        <w:t xml:space="preserve">Wiederholen Sie den Prozess, um die Unsicherheiten mithilfe des</w:t>
      </w:r>
      <w:r>
        <w:t xml:space="preserve"> </w:t>
      </w:r>
      <w:hyperlink r:id="rId25">
        <w:r>
          <w:rPr>
            <w:rStyle w:val="Hyperlink"/>
          </w:rPr>
          <w:t xml:space="preserve">Unsicherheitspriorisierungs-Tools</w:t>
        </w:r>
      </w:hyperlink>
      <w:r>
        <w:t xml:space="preserve"> </w:t>
      </w:r>
      <w:r>
        <w:t xml:space="preserve">aufzulisten und zu priorisieren. Verwenden Sie die</w:t>
      </w:r>
      <w:r>
        <w:t xml:space="preserve"> </w:t>
      </w:r>
      <w:hyperlink r:id="rId26">
        <w:r>
          <w:rPr>
            <w:rStyle w:val="Hyperlink"/>
          </w:rPr>
          <w:t xml:space="preserve">Kategorien der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Performance über die Zeit erfasst werden?</w:t>
      </w:r>
    </w:p>
    <w:p>
      <w:pPr>
        <w:numPr>
          <w:ilvl w:val="1"/>
          <w:numId w:val="1003"/>
        </w:numPr>
      </w:pPr>
      <w:r>
        <w:t xml:space="preserve">Welche Unsicherheitsquellen stellen Risikoformen dar, die durch Durchschnittswerte nicht angemessen erfasst werden?</w:t>
      </w:r>
    </w:p>
    <w:p>
      <w:pPr>
        <w:numPr>
          <w:ilvl w:val="0"/>
          <w:numId w:val="1002"/>
        </w:numPr>
      </w:pPr>
      <w:r>
        <w:t xml:space="preserve">Wählen Sie die einzelne Entscheidung aus, die den größten Einfluss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für diese Entscheidung notwendig zu sein, einschließlich der Berechnung etwaiger Leistungskennzahlen, auf die die Entscheidung einen hohen oder mittleren Einfluss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7"/>
    <w:bookmarkStart w:id="30" w:name="chatgpt-notizen"/>
    <w:p>
      <w:pPr>
        <w:pStyle w:val="Heading1"/>
      </w:pPr>
      <w:r>
        <w:t xml:space="preserve">ChatGPT-Notizen</w:t>
      </w:r>
    </w:p>
    <w:bookmarkStart w:id="28" w:name="prompt"/>
    <w:p>
      <w:pPr>
        <w:pStyle w:val="Heading2"/>
      </w:pPr>
      <w:r>
        <w:t xml:space="preserve">Prompt</w:t>
      </w:r>
    </w:p>
    <w:p>
      <w:pPr>
        <w:pStyle w:val="FirstParagraph"/>
      </w:pPr>
      <w:r>
        <w:t xml:space="preserve">Schreiben Sie eine 4-6-seitige Fallstudie basierend auf dem Material im Abschnitt unter https://warrenpowell.org/bridging-vol1/chapter-2/#mutual-fund-cash-management. Erstellen Sie einen Kontext basierend auf den Kennzahlen, Entscheidungen und Unsicherheiten in dem Abschnitt, ohne jedoch explizit darauf hinzuweisen. Motivieren Sie Ihr Fallproblem mit Daten.</w:t>
      </w:r>
    </w:p>
    <w:bookmarkEnd w:id="28"/>
    <w:bookmarkStart w:id="29" w:name="zusammenfassung"/>
    <w:p>
      <w:pPr>
        <w:pStyle w:val="Heading2"/>
      </w:pPr>
      <w:r>
        <w:t xml:space="preserve">Zusammenfassung</w:t>
      </w:r>
    </w:p>
    <w:p>
      <w:pPr>
        <w:pStyle w:val="FirstParagraph"/>
      </w:pPr>
      <w:r>
        <w:t xml:space="preserve">Die Fallstudie stellt einen fiktiven Aktienfonds vor, der nach einem Marktschock am Wochenende einer großen institutionellen Rücknahme gegenübersteht. Das Management muss entscheiden, wie viel Bargeld gehalten werden soll, ob Kredite aufgenommen oder Wertpapiere verkauft werden sollen, welche Positionen gehandelt werden sollen und wie man sich auf zusätzliche Abhebungen vorbereitet, ohne eine dauerhafte Belastung der Anlageperformance zu erzeugen.</w:t>
      </w:r>
    </w:p>
    <w:p>
      <w:pPr>
        <w:pStyle w:val="BodyText"/>
      </w:pPr>
      <w:r>
        <w:t xml:space="preserve">Das Umfeld basiert auf dem angegebenen Abschnitt zum Cash-Management von Investmentfonds, einschließlich des Spannungsfelds zwischen dem Halten übermäßigen Bargelds und dem Zwang zur Liquidation von Anlagen bei eintreffenden Rücknahmen. Es wird durch Branchendaten motiviert, die etwa</w:t>
      </w:r>
      <w:r>
        <w:t xml:space="preserve"> </w:t>
      </w:r>
      <w:r>
        <w:rPr>
          <w:b/>
          <w:bCs/>
        </w:rPr>
        <w:t xml:space="preserve">$25,3 Billionen</w:t>
      </w:r>
      <w:r>
        <w:t xml:space="preserve"> </w:t>
      </w:r>
      <w:r>
        <w:t xml:space="preserve">an langfristigen US-Investmentfondsvermögen im Mai 2026, geschätzte wöchentliche Investmentfonds-Abflüsse von</w:t>
      </w:r>
      <w:r>
        <w:t xml:space="preserve"> </w:t>
      </w:r>
      <w:r>
        <w:rPr>
          <w:b/>
          <w:bCs/>
        </w:rPr>
        <w:t xml:space="preserve">$15,43 Milliarden</w:t>
      </w:r>
      <w:r>
        <w:t xml:space="preserve"> </w:t>
      </w:r>
      <w:r>
        <w:t xml:space="preserve">im Juli 2026 und Geldmarktvermögen von über</w:t>
      </w:r>
      <w:r>
        <w:t xml:space="preserve"> </w:t>
      </w:r>
      <w:r>
        <w:rPr>
          <w:b/>
          <w:bCs/>
        </w:rPr>
        <w:t xml:space="preserve">$7 Billionen</w:t>
      </w:r>
      <w:r>
        <w:t xml:space="preserve"> </w:t>
      </w:r>
      <w:r>
        <w:t xml:space="preserve">im März 2025 zeigen.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2026-09-11T16:31:20Z</dcterms:created>
  <dcterms:modified xsi:type="dcterms:W3CDTF">2026-09-11T16:31:20Z</dcterms:modified>
</cp:coreProperties>
</file>

<file path=docProps/custom.xml><?xml version="1.0" encoding="utf-8"?>
<Properties xmlns="http://schemas.openxmlformats.org/officeDocument/2006/custom-properties" xmlns:vt="http://schemas.openxmlformats.org/officeDocument/2006/docPropsVTypes"/>
</file>