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AURORA MOTORS</w:t>
      </w:r>
    </w:p>
    <w:p>
      <w:pPr>
        <w:pStyle w:val="BodyText"/>
      </w:pPr>
      <w:r>
        <w:t xml:space="preserve">El Dilema de la Coordinación de Flujos</w:t>
      </w:r>
    </w:p>
    <w:p>
      <w:pPr>
        <w:pStyle w:val="BodyText"/>
      </w:pPr>
      <w:r>
        <w:t xml:space="preserve">Un caso didáctico ficticio sobre la sincronización de piezas globales, producción y entregas a clientes</w:t>
      </w:r>
    </w:p>
    <w:p>
      <w:pPr>
        <w:pStyle w:val="BodyText"/>
      </w:pPr>
      <w:r>
        <w:t xml:space="preserve">+————————————————————————————————————————————————————————————————————————–+</w:t>
      </w:r>
      <w:r>
        <w:t xml:space="preserve"> </w:t>
      </w:r>
      <w:r>
        <w:t xml:space="preserve">| LA DECISIÓN |</w:t>
      </w:r>
      <w:r>
        <w:t xml:space="preserve"> </w:t>
      </w:r>
      <w:r>
        <w:t xml:space="preserve">| |</w:t>
      </w:r>
      <w:r>
        <w:t xml:space="preserve"> </w:t>
      </w:r>
      <w:r>
        <w:t xml:space="preserve">| ¿Cómo debería Aurora Motors coordinar los suministros entrantes inciertos con la producción y las entregas a clientes cuando los aranceles, los incentivos federales, los precios de la gasolina y las preferencias de los compradores pueden cambiar más rápido que su cadena de suministro? |</w:t>
      </w:r>
      <w:r>
        <w:t xml:space="preserve"> </w:t>
      </w:r>
      <w:r>
        <w:t xml:space="preserve">+==========================================================================================================================================================================================================================+</w:t>
      </w:r>
    </w:p>
    <w:p>
      <w:pPr>
        <w:pStyle w:val="BodyText"/>
      </w:pPr>
      <w:r>
        <w:t xml:space="preserve">El lunes 6 de octubre de 2025, Maya Chen, directora de operaciones de Aurora Motors, entró a una reunión ejecutiva de planificación con tres pronósticos que no podían ser todos correctos. El equipo de compras esperaba que los costos de los componentes importados aumentaran. El equipo de ventas esperaba que la demanda del vehículo utilitario deportivo híbrido de Aurora se acelerara tras un nuevo repunte en los precios de la gasolina. Finanzas advirtió que el crédito federal para vehículos limpios había expirado para los vehículos adquiridos después del 30 de septiembre, eliminando un beneficio que algunos concesionarios habían incorporado en las estimaciones de pago a clientes. Mientras tanto, 3,800 pedidos de clientes completados estaban a la espera de fechas de producción.</w:t>
      </w:r>
    </w:p>
    <w:p>
      <w:pPr>
        <w:pStyle w:val="BodyText"/>
      </w:pPr>
      <w:r>
        <w:t xml:space="preserve">Aurora ensamblaba vehículos eléctricos híbridos en una planta en Estados Unidos. Su modelo más importante, el Aurora Crosswind, combinaba un motor de gasolina, un motor eléctrico, electrónica de potencia y un paquete de baterías de 1.8 kWh. Aunque el ensamblaje final era nacional, el vehículo dependía de celdas de batería y módulos semiconductores provenientes de Asia, inversores especializados de Europa, y motores, paneles de carrocería y asientos de Norteamérica. Un módulo de control faltante de $180 podía retrasar el envío de un vehículo de $42,000.</w:t>
      </w:r>
    </w:p>
    <w:bookmarkStart w:id="9" w:name="X05dc19c43830bb9eb309ce66f3b344d7a00382d"/>
    <w:p>
      <w:pPr>
        <w:pStyle w:val="Heading1"/>
      </w:pPr>
      <w:r>
        <w:t xml:space="preserve">Una Empresa Construida en Torno al Flujo Coordinado</w:t>
      </w:r>
    </w:p>
    <w:p>
      <w:pPr>
        <w:pStyle w:val="FirstParagraph"/>
      </w:pPr>
      <w:r>
        <w:t xml:space="preserve">Aurora había crecido prometiendo a los concesionarios una ventana confiable de ocho semanas desde el pedido hasta la entrega. Su sistema operativo convertía los pedidos de los concesionarios en un programa de producción de 12 semanas y luego liberaba órdenes de compra, reservas de transporte oceánico, capacidad ferroviaria y citas de entrega de vehículos terminados. El sistema funcionaba bien cuando los pronósticos y los tiempos de entrega eran estables. Presentaba dificultades cuando la política comercial y los mercados energéticos se movían de forma abrupta.</w:t>
      </w:r>
    </w:p>
    <w:p>
      <w:pPr>
        <w:pStyle w:val="BodyText"/>
      </w:pPr>
      <w:r>
        <w:t xml:space="preserve">La planta de manufactura podía construir 1,150 vehículos por semana en dos turnos. La línea del tren motriz híbrido era la restricción, pero las escaseces en otros puntos frecuentemente impedían que la línea usara toda su capacidad. Aurora podía sustituir algunos componentes, cambiar la secuencia de modelos, retener vehículos casi terminados para completarlos después, o usar transporte aéreo. Cada respuesta desplazaba costos y demoras hacia una parte distinta del sistema.</w:t>
      </w:r>
    </w:p>
    <w:tbl>
      <w:tblPr>
        <w:tblStyle w:val="Table"/>
        <w:tblW w:type="pct" w:w="4921"/>
        <w:tblLayout w:type="fixed"/>
        <w:tblLook w:firstRow="1" w:lastRow="0" w:firstColumn="0" w:lastColumn="0" w:noHBand="0" w:noVBand="0" w:val="0020"/>
      </w:tblPr>
      <w:tblGrid>
        <w:gridCol w:w="1508"/>
        <w:gridCol w:w="1445"/>
        <w:gridCol w:w="1194"/>
        <w:gridCol w:w="1005"/>
        <w:gridCol w:w="2640"/>
      </w:tblGrid>
      <w:tr>
        <w:trPr>
          <w:tblHeader w:val="on"/>
        </w:trPr>
        <w:tc>
          <w:tcPr/>
          <w:p>
            <w:pPr>
              <w:pStyle w:val="Compact"/>
              <w:jc w:val="left"/>
            </w:pPr>
            <w:r>
              <w:t xml:space="preserve">Artículo entrante</w:t>
            </w:r>
          </w:p>
        </w:tc>
        <w:tc>
          <w:tcPr/>
          <w:p>
            <w:pPr>
              <w:pStyle w:val="Compact"/>
              <w:jc w:val="center"/>
            </w:pPr>
            <w:r>
              <w:t xml:space="preserve">Fuente principal</w:t>
            </w:r>
          </w:p>
        </w:tc>
        <w:tc>
          <w:tcPr/>
          <w:p>
            <w:pPr>
              <w:pStyle w:val="Compact"/>
              <w:jc w:val="right"/>
            </w:pPr>
            <w:r>
              <w:t xml:space="preserve">Tiempo de entrega</w:t>
            </w:r>
          </w:p>
        </w:tc>
        <w:tc>
          <w:tcPr/>
          <w:p>
            <w:pPr>
              <w:pStyle w:val="Compact"/>
              <w:jc w:val="right"/>
            </w:pPr>
            <w:r>
              <w:t xml:space="preserve">normal Unidad</w:t>
            </w:r>
          </w:p>
        </w:tc>
        <w:tc>
          <w:tcPr/>
          <w:p>
            <w:pPr>
              <w:pStyle w:val="Compact"/>
              <w:jc w:val="left"/>
            </w:pPr>
            <w:r>
              <w:t xml:space="preserve">es en mano Exposición</w:t>
            </w:r>
          </w:p>
        </w:tc>
      </w:tr>
      <w:tr>
        <w:tc>
          <w:tcPr/>
          <w:p>
            <w:pPr>
              <w:pStyle w:val="Compact"/>
              <w:jc w:val="left"/>
            </w:pPr>
            <w:r>
              <w:t xml:space="preserve">Celdas de batería</w:t>
            </w:r>
          </w:p>
        </w:tc>
        <w:tc>
          <w:tcPr/>
          <w:p>
            <w:pPr>
              <w:pStyle w:val="Compact"/>
              <w:jc w:val="center"/>
            </w:pPr>
            <w:r>
              <w:t xml:space="preserve">Asia oriental</w:t>
            </w:r>
          </w:p>
        </w:tc>
        <w:tc>
          <w:tcPr/>
          <w:p>
            <w:pPr>
              <w:pStyle w:val="Compact"/>
              <w:jc w:val="right"/>
            </w:pPr>
            <w:r>
              <w:t xml:space="preserve">11 semanas</w:t>
            </w:r>
          </w:p>
        </w:tc>
        <w:tc>
          <w:tcPr/>
          <w:p>
            <w:pPr>
              <w:pStyle w:val="Compact"/>
              <w:jc w:val="right"/>
            </w:pPr>
            <w:r>
              <w:t xml:space="preserve">5.2 se</w:t>
            </w:r>
          </w:p>
        </w:tc>
        <w:tc>
          <w:tcPr/>
          <w:p>
            <w:pPr>
              <w:pStyle w:val="Compact"/>
              <w:jc w:val="left"/>
            </w:pPr>
            <w:r>
              <w:t xml:space="preserve">manas Arancel, demora oceánica, liberación de calidad</w:t>
            </w:r>
          </w:p>
        </w:tc>
      </w:tr>
      <w:tr>
        <w:tc>
          <w:tcPr/>
          <w:p>
            <w:pPr>
              <w:pStyle w:val="Compact"/>
              <w:jc w:val="left"/>
            </w:pPr>
            <w:r>
              <w:t xml:space="preserve">Módulos de control de po</w:t>
            </w:r>
          </w:p>
        </w:tc>
        <w:tc>
          <w:tcPr/>
          <w:p>
            <w:pPr>
              <w:pStyle w:val="Compact"/>
              <w:jc w:val="center"/>
            </w:pPr>
            <w:r>
              <w:t xml:space="preserve">tencia Asia oriental</w:t>
            </w:r>
          </w:p>
        </w:tc>
        <w:tc>
          <w:tcPr/>
          <w:p>
            <w:pPr>
              <w:pStyle w:val="Compact"/>
              <w:jc w:val="right"/>
            </w:pPr>
            <w:r>
              <w:t xml:space="preserve">8 sema</w:t>
            </w:r>
          </w:p>
        </w:tc>
        <w:tc>
          <w:tcPr/>
          <w:p>
            <w:pPr>
              <w:pStyle w:val="Compact"/>
              <w:jc w:val="right"/>
            </w:pPr>
            <w:r>
              <w:t xml:space="preserve">nas 2</w:t>
            </w:r>
          </w:p>
        </w:tc>
        <w:tc>
          <w:tcPr/>
          <w:p>
            <w:pPr>
              <w:pStyle w:val="Compact"/>
              <w:jc w:val="left"/>
            </w:pPr>
            <w:r>
              <w:t xml:space="preserve">.6 semanas Arancel, asignación de semiconductores</w:t>
            </w:r>
          </w:p>
        </w:tc>
      </w:tr>
      <w:tr>
        <w:tc>
          <w:tcPr/>
          <w:p>
            <w:pPr>
              <w:pStyle w:val="Compact"/>
              <w:jc w:val="left"/>
            </w:pPr>
            <w:r>
              <w:t xml:space="preserve">Inversores</w:t>
            </w:r>
          </w:p>
        </w:tc>
        <w:tc>
          <w:tcPr/>
          <w:p>
            <w:pPr>
              <w:pStyle w:val="Compact"/>
              <w:jc w:val="center"/>
            </w:pPr>
            <w:r>
              <w:t xml:space="preserve">Unión Europea</w:t>
            </w:r>
          </w:p>
        </w:tc>
        <w:tc>
          <w:tcPr/>
          <w:p>
            <w:pPr>
              <w:pStyle w:val="Compact"/>
              <w:jc w:val="right"/>
            </w:pPr>
            <w:r>
              <w:t xml:space="preserve">7 semanas</w:t>
            </w:r>
          </w:p>
        </w:tc>
        <w:tc>
          <w:tcPr/>
          <w:p>
            <w:pPr>
              <w:pStyle w:val="Compact"/>
              <w:jc w:val="right"/>
            </w:pPr>
            <w:r>
              <w:t xml:space="preserve">3.1 semanas</w:t>
            </w:r>
          </w:p>
        </w:tc>
        <w:tc>
          <w:tcPr/>
          <w:p>
            <w:pPr>
              <w:pStyle w:val="Compact"/>
              <w:jc w:val="left"/>
            </w:pPr>
            <w:r>
              <w:t xml:space="preserve">Arancel de autopartes, congestión portuaria</w:t>
            </w:r>
          </w:p>
        </w:tc>
      </w:tr>
      <w:tr>
        <w:tc>
          <w:tcPr/>
          <w:p>
            <w:pPr>
              <w:pStyle w:val="Compact"/>
              <w:jc w:val="left"/>
            </w:pPr>
            <w:r>
              <w:t xml:space="preserve">Motores de gasolina</w:t>
            </w:r>
          </w:p>
        </w:tc>
        <w:tc>
          <w:tcPr/>
          <w:p>
            <w:pPr>
              <w:pStyle w:val="Compact"/>
              <w:jc w:val="center"/>
            </w:pPr>
            <w:r>
              <w:t xml:space="preserve">Estados Unidos/Méxic</w:t>
            </w:r>
          </w:p>
        </w:tc>
        <w:tc>
          <w:tcPr/>
          <w:p>
            <w:pPr>
              <w:pStyle w:val="Compact"/>
              <w:jc w:val="right"/>
            </w:pPr>
            <w:r>
              <w:t xml:space="preserve">o 3 semanas</w:t>
            </w:r>
          </w:p>
        </w:tc>
        <w:tc>
          <w:tcPr/>
          <w:p>
            <w:pPr>
              <w:pStyle w:val="Compact"/>
              <w:jc w:val="right"/>
            </w:pPr>
            <w:r>
              <w:t xml:space="preserve">1.8 semana</w:t>
            </w:r>
          </w:p>
        </w:tc>
        <w:tc>
          <w:tcPr/>
          <w:p>
            <w:pPr>
              <w:pStyle w:val="Compact"/>
              <w:jc w:val="left"/>
            </w:pPr>
            <w:r>
              <w:t xml:space="preserve">s Cambios en la mezcla de modelos</w:t>
            </w:r>
          </w:p>
        </w:tc>
      </w:tr>
      <w:tr>
        <w:tc>
          <w:tcPr/>
          <w:p>
            <w:pPr>
              <w:pStyle w:val="Compact"/>
              <w:jc w:val="left"/>
            </w:pPr>
            <w:r>
              <w:t xml:space="preserve">Asientos e interiores</w:t>
            </w:r>
          </w:p>
        </w:tc>
        <w:tc>
          <w:tcPr/>
          <w:p>
            <w:pPr>
              <w:pStyle w:val="Compact"/>
              <w:jc w:val="center"/>
            </w:pPr>
            <w:r>
              <w:t xml:space="preserve">Estados Unidos</w:t>
            </w:r>
          </w:p>
        </w:tc>
        <w:tc>
          <w:tcPr/>
          <w:p>
            <w:pPr>
              <w:pStyle w:val="Compact"/>
              <w:jc w:val="right"/>
            </w:pPr>
            <w:r>
              <w:t xml:space="preserve">2 semanas</w:t>
            </w:r>
          </w:p>
        </w:tc>
        <w:tc>
          <w:tcPr/>
          <w:p>
            <w:pPr>
              <w:pStyle w:val="Compact"/>
              <w:jc w:val="right"/>
            </w:pPr>
            <w:r>
              <w:t xml:space="preserve">1.3 semanas</w:t>
            </w:r>
          </w:p>
        </w:tc>
        <w:tc>
          <w:tcPr/>
          <w:p>
            <w:pPr>
              <w:pStyle w:val="Compact"/>
              <w:jc w:val="left"/>
            </w:pPr>
            <w:r>
              <w:t xml:space="preserve">Específico de secuencia, baja sustituibilidad</w:t>
            </w:r>
          </w:p>
        </w:tc>
      </w:tr>
    </w:tbl>
    <w:bookmarkEnd w:id="9"/>
    <w:bookmarkStart w:id="10" w:name="señales-externas-que-no-se-movían-juntas"/>
    <w:p>
      <w:pPr>
        <w:pStyle w:val="Heading1"/>
      </w:pPr>
      <w:r>
        <w:t xml:space="preserve">Señales Externas Que No Se Movían Juntas</w:t>
      </w:r>
    </w:p>
    <w:p>
      <w:pPr>
        <w:pStyle w:val="FirstParagraph"/>
      </w:pPr>
      <w:r>
        <w:t xml:space="preserve">La economía de las baterías sugería que los vehículos electrificados deberían volverse cada vez más fáciles de producir. Las estimaciones del Departamento de Energía de EE. UU. situaron el costo del paquete de baterías para vehículos eléctricos ligeros en $1,415 por kWh utilizable en 2008 y $139 en 2023, una caída de aproximadamente 90 por ciento en dólares constantes. Pero el pequeño paquete híbrido de Aurora representaba solo una parte del costo total del tren motriz, y el tratamiento arancelario dependía de la química, el origen y la clasificación. En 2024, Estados Unidos elevó el arancel de la Sección 301 sobre baterías de iones de litio para vehículos eléctricos procedentes de China al 25 por ciento. En 2025, una acción separada impuso un arancel del 25 por ciento sobre automóviles específicos importados y piezas clave de automóviles, aunque los acuerdos posteriores con distintos países crearon tasas efectivas diferentes, incluido un marco que apuntaba a una tasa combinada del 15 por ciento para los bienes automotrices de la UE cubiertos.</w:t>
      </w:r>
    </w:p>
    <w:p>
      <w:pPr>
        <w:pStyle w:val="BodyText"/>
      </w:pPr>
      <w:r>
        <w:t xml:space="preserve">Los precios de la energía crearon una incertidumbre distinta. El crudo WTI promedió anualmente alrededor de $39 por barril en 2020, $68 en 2021, $95 en 2022, $78 en 2023 y $77 en 2024. La secuencia recordó a los ejecutivos que las guerras, las sanciones, las decisiones de producción y las interrupciones en el transporte marítimo podían cambiar rápidamente el valor que los clientes otorgaban a la economía de combustible. Sin embargo, un precio alto del petróleo podía retroceder antes de que Aurora recibiera las piezas ordenadas en respuesta a él.</w:t>
      </w:r>
    </w:p>
    <w:tbl>
      <w:tblPr>
        <w:tblStyle w:val="Table"/>
        <w:tblW w:type="pct" w:w="4928"/>
        <w:tblLayout w:type="fixed"/>
        <w:tblLook w:firstRow="1" w:lastRow="0" w:firstColumn="0" w:lastColumn="0" w:noHBand="0" w:noVBand="0" w:val="0020"/>
      </w:tblPr>
      <w:tblGrid>
        <w:gridCol w:w="401"/>
        <w:gridCol w:w="1606"/>
        <w:gridCol w:w="2295"/>
        <w:gridCol w:w="3500"/>
      </w:tblGrid>
      <w:tr>
        <w:trPr>
          <w:tblHeader w:val="on"/>
        </w:trPr>
        <w:tc>
          <w:tcPr/>
          <w:p>
            <w:pPr>
              <w:pStyle w:val="Compact"/>
            </w:pPr>
            <w:r>
              <w:t xml:space="preserve">Año C</w:t>
            </w:r>
          </w:p>
        </w:tc>
        <w:tc>
          <w:tcPr/>
          <w:p>
            <w:pPr>
              <w:pStyle w:val="Compact"/>
            </w:pPr>
            <w:r>
              <w:t xml:space="preserve">rudo WTI ($/barril) Costo</w:t>
            </w:r>
          </w:p>
        </w:tc>
        <w:tc>
          <w:tcPr/>
          <w:p>
            <w:pPr>
              <w:pStyle w:val="Compact"/>
              <w:jc w:val="right"/>
            </w:pPr>
            <w:r>
              <w:t xml:space="preserve">del paquete de baterías DOE ($/kWh uti</w:t>
            </w:r>
          </w:p>
        </w:tc>
        <w:tc>
          <w:tcPr/>
          <w:p>
            <w:pPr>
              <w:pStyle w:val="Compact"/>
              <w:jc w:val="left"/>
            </w:pPr>
            <w:r>
              <w:t xml:space="preserve">lizable) Señal de mercado/política seleccionada</w:t>
            </w:r>
          </w:p>
        </w:tc>
      </w:tr>
      <w:tr>
        <w:tc>
          <w:tcPr/>
          <w:p>
            <w:pPr>
              <w:pStyle w:val="Compact"/>
            </w:pPr>
            <w:r>
              <w:t xml:space="preserve">2008</w:t>
            </w:r>
          </w:p>
        </w:tc>
        <w:tc>
          <w:tcPr/>
          <w:p>
            <w:pPr>
              <w:pStyle w:val="Compact"/>
            </w:pPr>
            <w:r>
              <w:t xml:space="preserve">99.67*</w:t>
            </w:r>
          </w:p>
        </w:tc>
        <w:tc>
          <w:tcPr/>
          <w:p>
            <w:pPr>
              <w:pStyle w:val="Compact"/>
              <w:jc w:val="right"/>
            </w:pPr>
            <w:r>
              <w:t xml:space="preserve">1,415</w:t>
            </w:r>
          </w:p>
        </w:tc>
        <w:tc>
          <w:tcPr/>
          <w:p>
            <w:pPr>
              <w:pStyle w:val="Compact"/>
              <w:jc w:val="left"/>
            </w:pPr>
            <w:r>
              <w:t xml:space="preserve">Alta volatilidad del petróleo; inversión temprana en electrificación</w:t>
            </w:r>
          </w:p>
        </w:tc>
      </w:tr>
      <w:tr>
        <w:tc>
          <w:tcPr/>
          <w:p>
            <w:pPr>
              <w:pStyle w:val="Compact"/>
            </w:pPr>
            <w:r>
              <w:t xml:space="preserve">2020</w:t>
            </w:r>
          </w:p>
        </w:tc>
        <w:tc>
          <w:tcPr/>
          <w:p>
            <w:pPr>
              <w:pStyle w:val="Compact"/>
            </w:pPr>
            <w:r>
              <w:t xml:space="preserve">39.16</w:t>
            </w:r>
          </w:p>
        </w:tc>
        <w:tc>
          <w:tcPr/>
          <w:p>
            <w:pPr>
              <w:pStyle w:val="Compact"/>
              <w:jc w:val="right"/>
            </w:pPr>
            <w:r>
              <w:t xml:space="preserve">—</w:t>
            </w:r>
          </w:p>
        </w:tc>
        <w:tc>
          <w:tcPr/>
          <w:p>
            <w:pPr>
              <w:pStyle w:val="Compact"/>
              <w:jc w:val="left"/>
            </w:pPr>
            <w:r>
              <w:t xml:space="preserve">Choque de demanda por la pandemia</w:t>
            </w:r>
          </w:p>
        </w:tc>
      </w:tr>
      <w:tr>
        <w:tc>
          <w:tcPr/>
          <w:p>
            <w:pPr>
              <w:pStyle w:val="Compact"/>
            </w:pPr>
            <w:r>
              <w:t xml:space="preserve">2021</w:t>
            </w:r>
          </w:p>
        </w:tc>
        <w:tc>
          <w:tcPr/>
          <w:p>
            <w:pPr>
              <w:pStyle w:val="Compact"/>
            </w:pPr>
            <w:r>
              <w:t xml:space="preserve">68.13</w:t>
            </w:r>
          </w:p>
        </w:tc>
        <w:tc>
          <w:tcPr/>
          <w:p>
            <w:pPr>
              <w:pStyle w:val="Compact"/>
              <w:jc w:val="right"/>
            </w:pPr>
            <w:r>
              <w:t xml:space="preserve">157</w:t>
            </w:r>
          </w:p>
        </w:tc>
        <w:tc>
          <w:tcPr/>
          <w:p>
            <w:pPr>
              <w:pStyle w:val="Compact"/>
              <w:jc w:val="left"/>
            </w:pPr>
            <w:r>
              <w:t xml:space="preserve">Recuperación de la demanda de combustible</w:t>
            </w:r>
          </w:p>
        </w:tc>
      </w:tr>
      <w:tr>
        <w:tc>
          <w:tcPr/>
          <w:p>
            <w:pPr>
              <w:pStyle w:val="Compact"/>
            </w:pPr>
            <w:r>
              <w:t xml:space="preserve">2022</w:t>
            </w:r>
          </w:p>
        </w:tc>
        <w:tc>
          <w:tcPr/>
          <w:p>
            <w:pPr>
              <w:pStyle w:val="Compact"/>
            </w:pPr>
            <w:r>
              <w:t xml:space="preserve">94.90</w:t>
            </w:r>
          </w:p>
        </w:tc>
        <w:tc>
          <w:tcPr/>
          <w:p>
            <w:pPr>
              <w:pStyle w:val="Compact"/>
              <w:jc w:val="right"/>
            </w:pPr>
            <w:r>
              <w:t xml:space="preserve">153</w:t>
            </w:r>
          </w:p>
        </w:tc>
        <w:tc>
          <w:tcPr/>
          <w:p>
            <w:pPr>
              <w:pStyle w:val="Compact"/>
              <w:jc w:val="left"/>
            </w:pPr>
            <w:r>
              <w:t xml:space="preserve">Choque energético relacionado con la guerra; se promulga la IRA</w:t>
            </w:r>
          </w:p>
        </w:tc>
      </w:tr>
      <w:tr>
        <w:tc>
          <w:tcPr/>
          <w:p>
            <w:pPr>
              <w:pStyle w:val="Compact"/>
            </w:pPr>
            <w:r>
              <w:t xml:space="preserve">2023</w:t>
            </w:r>
          </w:p>
        </w:tc>
        <w:tc>
          <w:tcPr/>
          <w:p>
            <w:pPr>
              <w:pStyle w:val="Compact"/>
            </w:pPr>
            <w:r>
              <w:t xml:space="preserve">77.58</w:t>
            </w:r>
          </w:p>
        </w:tc>
        <w:tc>
          <w:tcPr/>
          <w:p>
            <w:pPr>
              <w:pStyle w:val="Compact"/>
              <w:jc w:val="right"/>
            </w:pPr>
            <w:r>
              <w:t xml:space="preserve">139</w:t>
            </w:r>
          </w:p>
        </w:tc>
        <w:tc>
          <w:tcPr/>
          <w:p>
            <w:pPr>
              <w:pStyle w:val="Compact"/>
              <w:jc w:val="left"/>
            </w:pPr>
            <w:r>
              <w:t xml:space="preserve">Comienzan nuevas reglas sobre minerales y componentes de baterías</w:t>
            </w:r>
          </w:p>
        </w:tc>
      </w:tr>
      <w:tr>
        <w:tc>
          <w:tcPr/>
          <w:p>
            <w:pPr>
              <w:pStyle w:val="Compact"/>
            </w:pPr>
            <w:r>
              <w:t xml:space="preserve">2024</w:t>
            </w:r>
          </w:p>
        </w:tc>
        <w:tc>
          <w:tcPr/>
          <w:p>
            <w:pPr>
              <w:pStyle w:val="Compact"/>
            </w:pPr>
            <w:r>
              <w:t xml:space="preserve">76.63</w:t>
            </w:r>
          </w:p>
        </w:tc>
        <w:tc>
          <w:tcPr/>
          <w:p>
            <w:pPr>
              <w:pStyle w:val="Compact"/>
              <w:jc w:val="right"/>
            </w:pPr>
            <w:r>
              <w:t xml:space="preserve">—</w:t>
            </w:r>
          </w:p>
        </w:tc>
        <w:tc>
          <w:tcPr/>
          <w:p>
            <w:pPr>
              <w:pStyle w:val="Compact"/>
              <w:jc w:val="left"/>
            </w:pPr>
            <w:r>
              <w:t xml:space="preserve">Arancel a baterías de VE de China elevado al 25%</w:t>
            </w:r>
          </w:p>
        </w:tc>
      </w:tr>
      <w:tr>
        <w:tc>
          <w:tcPr/>
          <w:p>
            <w:pPr>
              <w:pStyle w:val="Compact"/>
            </w:pPr>
            <w:r>
              <w:t xml:space="preserve">2025</w:t>
            </w:r>
          </w:p>
        </w:tc>
        <w:tc>
          <w:tcPr/>
          <w:p>
            <w:pPr>
              <w:pStyle w:val="Compact"/>
            </w:pPr>
            <w:r>
              <w:t xml:space="preserve">65.39</w:t>
            </w:r>
          </w:p>
        </w:tc>
        <w:tc>
          <w:tcPr/>
          <w:p>
            <w:pPr>
              <w:pStyle w:val="Compact"/>
              <w:jc w:val="right"/>
            </w:pPr>
            <w:r>
              <w:t xml:space="preserve">—</w:t>
            </w:r>
          </w:p>
        </w:tc>
        <w:tc>
          <w:tcPr/>
          <w:p>
            <w:pPr>
              <w:pStyle w:val="Compact"/>
              <w:jc w:val="left"/>
            </w:pPr>
            <w:r>
              <w:t xml:space="preserve">Aranceles a autos/piezas; el nuevo crédito para vehículos limpios expira el 30 de sept.</w:t>
            </w:r>
          </w:p>
        </w:tc>
      </w:tr>
    </w:tbl>
    <w:p>
      <w:pPr>
        <w:pStyle w:val="BodyText"/>
      </w:pPr>
      <w:r>
        <w:t xml:space="preserve">*El valor de 2008 corresponde a una serie de precios spot anuales de WTI de la EIA; los costos de baterías son estimaciones del DOE en dólares constantes y no son directamente comparables entre cada publicación anual.</w:t>
      </w:r>
    </w:p>
    <w:bookmarkEnd w:id="10"/>
    <w:bookmarkStart w:id="11" w:name="Xea1b5ee9c6a55d552ced03e4764768b8a72d5d1"/>
    <w:p>
      <w:pPr>
        <w:pStyle w:val="Heading1"/>
      </w:pPr>
      <w:r>
        <w:t xml:space="preserve">La Demanda Se Volvía Más Atractiva - y Menos Predecible</w:t>
      </w:r>
    </w:p>
    <w:p>
      <w:pPr>
        <w:pStyle w:val="FirstParagraph"/>
      </w:pPr>
      <w:r>
        <w:t xml:space="preserve">Las actitudes de los consumidores complicaron el panorama. AAA reportó en 2024 que el 18 por ciento de los adultos estadounidenses eran propensos a comprar un vehículo totalmente eléctrico, una baja respecto al 23 por ciento del año anterior, mientras que el 31 por ciento dijo ser propenso a comprar un híbrido. En 2025, la probabilidad declarada de comprar un vehículo totalmente eléctrico cayó nuevamente al 16 por ciento. Los concesionarios de Aurora interpretaron las cifras como evidencia de que los híbridos se estaban convirtiendo en una tecnología práctica de transición. La organización de ventas advirtió, sin embargo, que el interés expresado en las encuestas no necesariamente se traducía en pedidos firmados a los precios de Aurora.</w:t>
      </w:r>
    </w:p>
    <w:p>
      <w:pPr>
        <w:pStyle w:val="BodyText"/>
      </w:pPr>
      <w:r>
        <w:t xml:space="preserve">Los incentivos federales añadieron otra discontinuidad. El crédito revisado para vehículos limpios había exigido ensamblaje final en Norteamérica y, a partir de 2023, pruebas cada vez más restrictivas de abastecimiento de minerales críticos y componentes de batería. Los híbridos enchufables con al menos 7 kWh podían calificar si cumplían las reglas, pero el híbrido convencional Crosswind de Aurora no calificaba. Aurora, por lo tanto, había acelerado el desarrollo de una versión enchufable. La economía de ese programa cambió cuando una guía federal indicó que el nuevo crédito para vehículos limpios no estaría disponible para vehículos adquiridos después del 30 de septiembre de 2025. Los concesionarios aún contaban con incentivos estatales en algunos mercados, pero la disponibilidad y los montos diferían.</w:t>
      </w:r>
    </w:p>
    <w:bookmarkEnd w:id="11"/>
    <w:bookmarkStart w:id="12" w:name="el-problema-de-planificación-de-octubre"/>
    <w:p>
      <w:pPr>
        <w:pStyle w:val="Heading1"/>
      </w:pPr>
      <w:r>
        <w:t xml:space="preserve">El Problema de Planificación de Octubre</w:t>
      </w:r>
    </w:p>
    <w:p>
      <w:pPr>
        <w:pStyle w:val="FirstParagraph"/>
      </w:pPr>
      <w:r>
        <w:t xml:space="preserve">El equipo de planificación de Aurora preparó tres escenarios de demanda para las próximas 16 semanas. Los escenarios no eran probabilidades; cada uno representaba una narrativa coherente que la alta gerencia consideraba plausible.</w:t>
      </w:r>
    </w:p>
    <w:tbl>
      <w:tblPr>
        <w:tblStyle w:val="Table"/>
        <w:tblW w:type="pct" w:w="4937"/>
        <w:tblLayout w:type="fixed"/>
        <w:tblLook w:firstRow="1" w:lastRow="0" w:firstColumn="0" w:lastColumn="0" w:noHBand="0" w:noVBand="0" w:val="0020"/>
      </w:tblPr>
      <w:tblGrid>
        <w:gridCol w:w="902"/>
        <w:gridCol w:w="2456"/>
        <w:gridCol w:w="952"/>
        <w:gridCol w:w="852"/>
        <w:gridCol w:w="2656"/>
      </w:tblGrid>
      <w:tr>
        <w:trPr>
          <w:tblHeader w:val="on"/>
        </w:trPr>
        <w:tc>
          <w:tcPr/>
          <w:p>
            <w:pPr>
              <w:pStyle w:val="Compact"/>
              <w:jc w:val="left"/>
            </w:pPr>
            <w:r>
              <w:t xml:space="preserve">Escenario</w:t>
            </w:r>
          </w:p>
        </w:tc>
        <w:tc>
          <w:tcPr/>
          <w:p>
            <w:pPr>
              <w:pStyle w:val="Compact"/>
              <w:jc w:val="center"/>
            </w:pPr>
            <w:r>
              <w:t xml:space="preserve">Detonante</w:t>
            </w:r>
          </w:p>
        </w:tc>
        <w:tc>
          <w:tcPr/>
          <w:p>
            <w:pPr>
              <w:pStyle w:val="Compact"/>
              <w:jc w:val="right"/>
            </w:pPr>
            <w:r>
              <w:t xml:space="preserve">Demanda de Cross</w:t>
            </w:r>
          </w:p>
        </w:tc>
        <w:tc>
          <w:tcPr/>
          <w:p>
            <w:pPr>
              <w:pStyle w:val="Compact"/>
            </w:pPr>
            <w:r>
              <w:t xml:space="preserve">wind Demanda de</w:t>
            </w:r>
          </w:p>
        </w:tc>
        <w:tc>
          <w:tcPr/>
          <w:p>
            <w:pPr>
              <w:pStyle w:val="Compact"/>
              <w:jc w:val="center"/>
            </w:pPr>
            <w:r>
              <w:t xml:space="preserve">enchufable Consecuencia operativa</w:t>
            </w:r>
          </w:p>
        </w:tc>
      </w:tr>
      <w:tr>
        <w:tc>
          <w:tcPr/>
          <w:p>
            <w:pPr>
              <w:pStyle w:val="Compact"/>
              <w:jc w:val="left"/>
            </w:pPr>
            <w:r>
              <w:t xml:space="preserve">Choque de combusti</w:t>
            </w:r>
          </w:p>
        </w:tc>
        <w:tc>
          <w:tcPr/>
          <w:p>
            <w:pPr>
              <w:pStyle w:val="Compact"/>
              <w:jc w:val="center"/>
            </w:pPr>
            <w:r>
              <w:t xml:space="preserve">ble Interrupción del suministro de petróle</w:t>
            </w:r>
          </w:p>
        </w:tc>
        <w:tc>
          <w:tcPr/>
          <w:p>
            <w:pPr>
              <w:pStyle w:val="Compact"/>
              <w:jc w:val="right"/>
            </w:pPr>
            <w:r>
              <w:t xml:space="preserve">o; la gasolina sube</w:t>
            </w:r>
          </w:p>
        </w:tc>
        <w:tc>
          <w:tcPr/>
          <w:p>
            <w:pPr>
              <w:pStyle w:val="Compact"/>
            </w:pPr>
            <w:r>
              <w:t xml:space="preserve">fuertemente +</w:t>
            </w:r>
          </w:p>
        </w:tc>
        <w:tc>
          <w:tcPr/>
          <w:p>
            <w:pPr>
              <w:pStyle w:val="Compact"/>
              <w:jc w:val="center"/>
            </w:pPr>
            <w:r>
              <w:t xml:space="preserve">22% +35% Acelerar piezas asiáticas; posponer modelos de menor margen</w:t>
            </w:r>
          </w:p>
        </w:tc>
      </w:tr>
      <w:tr>
        <w:tc>
          <w:tcPr/>
          <w:p>
            <w:pPr>
              <w:pStyle w:val="Compact"/>
              <w:jc w:val="left"/>
            </w:pPr>
            <w:r>
              <w:t xml:space="preserve">Resaca de política</w:t>
            </w:r>
          </w:p>
        </w:tc>
        <w:tc>
          <w:tcPr/>
          <w:p>
            <w:pPr>
              <w:pStyle w:val="Compact"/>
              <w:jc w:val="center"/>
            </w:pPr>
            <w:r>
              <w:t xml:space="preserve">El retiro del crédito deprime la demanda elect</w:t>
            </w:r>
          </w:p>
        </w:tc>
        <w:tc>
          <w:tcPr/>
          <w:p>
            <w:pPr>
              <w:pStyle w:val="Compact"/>
              <w:jc w:val="right"/>
            </w:pPr>
            <w:r>
              <w:t xml:space="preserve">rificada -8%</w:t>
            </w:r>
          </w:p>
        </w:tc>
        <w:tc>
          <w:tcPr/>
          <w:p>
            <w:pPr>
              <w:pStyle w:val="Compact"/>
            </w:pPr>
            <w:r>
              <w:t xml:space="preserve">-28%</w:t>
            </w:r>
          </w:p>
        </w:tc>
        <w:tc>
          <w:tcPr/>
          <w:p>
            <w:pPr>
              <w:pStyle w:val="Compact"/>
              <w:jc w:val="center"/>
            </w:pPr>
            <w:r>
              <w:t xml:space="preserve">Componentes enchufables excedentes; cancelaciones de concesionarios</w:t>
            </w:r>
          </w:p>
        </w:tc>
      </w:tr>
      <w:tr>
        <w:tc>
          <w:tcPr/>
          <w:p>
            <w:pPr>
              <w:pStyle w:val="Compact"/>
              <w:jc w:val="left"/>
            </w:pPr>
            <w:r>
              <w:t xml:space="preserve">Giro híbrido</w:t>
            </w:r>
          </w:p>
        </w:tc>
        <w:tc>
          <w:tcPr/>
          <w:p>
            <w:pPr>
              <w:pStyle w:val="Compact"/>
              <w:jc w:val="center"/>
            </w:pPr>
            <w:r>
              <w:t xml:space="preserve">Los compradores evitan los VE totales pero busca</w:t>
            </w:r>
          </w:p>
        </w:tc>
        <w:tc>
          <w:tcPr/>
          <w:p>
            <w:pPr>
              <w:pStyle w:val="Compact"/>
              <w:jc w:val="right"/>
            </w:pPr>
            <w:r>
              <w:t xml:space="preserve">n economía de combu</w:t>
            </w:r>
          </w:p>
        </w:tc>
        <w:tc>
          <w:tcPr/>
          <w:p>
            <w:pPr>
              <w:pStyle w:val="Compact"/>
            </w:pPr>
            <w:r>
              <w:t xml:space="preserve">stible +15%</w:t>
            </w:r>
          </w:p>
        </w:tc>
        <w:tc>
          <w:tcPr/>
          <w:p>
            <w:pPr>
              <w:pStyle w:val="Compact"/>
              <w:jc w:val="center"/>
            </w:pPr>
            <w:r>
              <w:t xml:space="preserve">+5% La demanda de motores, inversores y baterías aumenta en conjunto</w:t>
            </w:r>
          </w:p>
        </w:tc>
      </w:tr>
    </w:tbl>
    <w:p>
      <w:pPr>
        <w:pStyle w:val="BodyText"/>
      </w:pPr>
      <w:r>
        <w:t xml:space="preserve">El plan de producción actual preveía 15,900 vehículos durante el horizonte de 16 semanas. La disponibilidad confirmada de componentes solo sostenía 13,750 unidades sin intervención. Compras propuso $18.6 millones en pedidos acelerados y flete premium. Manufactura propuso resecuenciar la producción en torno a las piezas disponibles, aceptando una producción semanal menor pero evitando la logística de emergencia. Ventas quería que Aurora priorizara los pedidos de concesionarios en regiones con precios de gasolina altos y prometiera fechas de entrega de inmediato. Finanzas argumentó que Aurora no debería comprometer componentes escasos hasta comprender mejor las cancelaciones tras el cambio en el crédito fiscal.</w:t>
      </w:r>
    </w:p>
    <w:tbl>
      <w:tblPr>
        <w:tblStyle w:val="Table"/>
        <w:tblW w:type="pct" w:w="4943"/>
        <w:tblLayout w:type="fixed"/>
        <w:tblLook w:firstRow="1" w:lastRow="0" w:firstColumn="0" w:lastColumn="0" w:noHBand="0" w:noVBand="0" w:val="0020"/>
      </w:tblPr>
      <w:tblGrid>
        <w:gridCol w:w="1855"/>
        <w:gridCol w:w="2036"/>
        <w:gridCol w:w="1855"/>
        <w:gridCol w:w="2081"/>
      </w:tblGrid>
      <w:tr>
        <w:trPr>
          <w:tblHeader w:val="on"/>
        </w:trPr>
        <w:tc>
          <w:tcPr/>
          <w:p>
            <w:pPr>
              <w:pStyle w:val="Compact"/>
              <w:jc w:val="left"/>
            </w:pPr>
            <w:r>
              <w:t xml:space="preserve">Respuesta propuesta</w:t>
            </w:r>
          </w:p>
        </w:tc>
        <w:tc>
          <w:tcPr/>
          <w:p>
            <w:pPr>
              <w:pStyle w:val="Compact"/>
              <w:jc w:val="center"/>
            </w:pPr>
            <w:r>
              <w:t xml:space="preserve">Efectivo/costo inmediato</w:t>
            </w:r>
          </w:p>
        </w:tc>
        <w:tc>
          <w:tcPr/>
          <w:p>
            <w:pPr>
              <w:pStyle w:val="Compact"/>
              <w:jc w:val="center"/>
            </w:pPr>
            <w:r>
              <w:t xml:space="preserve">Ventaja potencial</w:t>
            </w:r>
          </w:p>
        </w:tc>
        <w:tc>
          <w:tcPr/>
          <w:p>
            <w:pPr>
              <w:pStyle w:val="Compact"/>
              <w:jc w:val="center"/>
            </w:pPr>
            <w:r>
              <w:t xml:space="preserve">Preocupación principal</w:t>
            </w:r>
          </w:p>
        </w:tc>
      </w:tr>
      <w:tr>
        <w:tc>
          <w:tcPr/>
          <w:p>
            <w:pPr>
              <w:pStyle w:val="Compact"/>
              <w:jc w:val="left"/>
            </w:pPr>
            <w:r>
              <w:t xml:space="preserve">Comprar y acelerar componentes importados</w:t>
            </w:r>
          </w:p>
        </w:tc>
        <w:tc>
          <w:tcPr/>
          <w:p>
            <w:pPr>
              <w:pStyle w:val="Compact"/>
              <w:jc w:val="center"/>
            </w:pPr>
            <w:r>
              <w:t xml:space="preserve">$18.6M de compromiso; $3.4M de flete p</w:t>
            </w:r>
          </w:p>
        </w:tc>
        <w:tc>
          <w:tcPr/>
          <w:p>
            <w:pPr>
              <w:pStyle w:val="Compact"/>
              <w:jc w:val="center"/>
            </w:pPr>
            <w:r>
              <w:t xml:space="preserve">remium Protege la producción y el servi</w:t>
            </w:r>
          </w:p>
        </w:tc>
        <w:tc>
          <w:tcPr/>
          <w:p>
            <w:pPr>
              <w:pStyle w:val="Compact"/>
              <w:jc w:val="center"/>
            </w:pPr>
            <w:r>
              <w:t xml:space="preserve">cio a concesionarios Los aranceles o la demanda pueden cambiar antes de la llegada</w:t>
            </w:r>
          </w:p>
        </w:tc>
      </w:tr>
      <w:tr>
        <w:tc>
          <w:tcPr/>
          <w:p>
            <w:pPr>
              <w:pStyle w:val="Compact"/>
              <w:jc w:val="left"/>
            </w:pPr>
            <w:r>
              <w:t xml:space="preserve">Construir vehículos incompletos</w:t>
            </w:r>
          </w:p>
        </w:tc>
        <w:tc>
          <w:tcPr/>
          <w:p>
            <w:pPr>
              <w:pStyle w:val="Compact"/>
              <w:jc w:val="center"/>
            </w:pPr>
            <w:r>
              <w:t xml:space="preserve">Capital de trabajo temporal de $6.2M</w:t>
            </w:r>
          </w:p>
        </w:tc>
        <w:tc>
          <w:tcPr/>
          <w:p>
            <w:pPr>
              <w:pStyle w:val="Compact"/>
              <w:jc w:val="center"/>
            </w:pPr>
            <w:r>
              <w:t xml:space="preserve">Mantiene ocupados la mano de obra y el</w:t>
            </w:r>
          </w:p>
        </w:tc>
        <w:tc>
          <w:tcPr/>
          <w:p>
            <w:pPr>
              <w:pStyle w:val="Compact"/>
              <w:jc w:val="center"/>
            </w:pPr>
            <w:r>
              <w:t xml:space="preserve">taller de carrocería Riesgo de retrabajo, almacenamiento y calidad</w:t>
            </w:r>
          </w:p>
        </w:tc>
      </w:tr>
      <w:tr>
        <w:tc>
          <w:tcPr/>
          <w:p>
            <w:pPr>
              <w:pStyle w:val="Compact"/>
              <w:jc w:val="left"/>
            </w:pPr>
            <w:r>
              <w:t xml:space="preserve">Reasignar componentes por margen/región</w:t>
            </w:r>
          </w:p>
        </w:tc>
        <w:tc>
          <w:tcPr/>
          <w:p>
            <w:pPr>
              <w:pStyle w:val="Compact"/>
              <w:jc w:val="center"/>
            </w:pPr>
            <w:r>
              <w:t xml:space="preserve">Costo directo bajo</w:t>
            </w:r>
          </w:p>
        </w:tc>
        <w:tc>
          <w:tcPr/>
          <w:p>
            <w:pPr>
              <w:pStyle w:val="Compact"/>
              <w:jc w:val="center"/>
            </w:pPr>
            <w:r>
              <w:t xml:space="preserve">Ajusta el suministro escaso al valor</w:t>
            </w:r>
          </w:p>
        </w:tc>
        <w:tc>
          <w:tcPr/>
          <w:p>
            <w:pPr>
              <w:pStyle w:val="Compact"/>
              <w:jc w:val="center"/>
            </w:pPr>
            <w:r>
              <w:t xml:space="preserve">actual Equidad hacia los concesionarios y error de pronóstico</w:t>
            </w:r>
          </w:p>
        </w:tc>
      </w:tr>
      <w:tr>
        <w:tc>
          <w:tcPr/>
          <w:p>
            <w:pPr>
              <w:pStyle w:val="Compact"/>
              <w:jc w:val="left"/>
            </w:pPr>
            <w:r>
              <w:t xml:space="preserve">Reducir el plan de producción</w:t>
            </w:r>
          </w:p>
        </w:tc>
        <w:tc>
          <w:tcPr/>
          <w:p>
            <w:pPr>
              <w:pStyle w:val="Compact"/>
              <w:jc w:val="center"/>
            </w:pPr>
            <w:r>
              <w:t xml:space="preserve">Margen de contribución no obtenido</w:t>
            </w:r>
          </w:p>
        </w:tc>
        <w:tc>
          <w:tcPr/>
          <w:p>
            <w:pPr>
              <w:pStyle w:val="Compact"/>
              <w:jc w:val="center"/>
            </w:pPr>
            <w:r>
              <w:t xml:space="preserve">Limita el inventario y la expo</w:t>
            </w:r>
          </w:p>
        </w:tc>
        <w:tc>
          <w:tcPr/>
          <w:p>
            <w:pPr>
              <w:pStyle w:val="Compact"/>
              <w:jc w:val="center"/>
            </w:pPr>
            <w:r>
              <w:t xml:space="preserve">sición arancelaria Largas esperas de clientes; interrupción de proveedores</w:t>
            </w:r>
          </w:p>
        </w:tc>
      </w:tr>
      <w:tr>
        <w:tc>
          <w:tcPr/>
          <w:p>
            <w:pPr>
              <w:pStyle w:val="Compact"/>
              <w:jc w:val="left"/>
            </w:pPr>
            <w:r>
              <w:t xml:space="preserve">Doble abastecimiento y rediseño</w:t>
            </w:r>
          </w:p>
        </w:tc>
        <w:tc>
          <w:tcPr/>
          <w:p>
            <w:pPr>
              <w:pStyle w:val="Compact"/>
              <w:jc w:val="center"/>
            </w:pPr>
            <w:r>
              <w:t xml:space="preserve">Hasta $42M en 18 meses</w:t>
            </w:r>
          </w:p>
        </w:tc>
        <w:tc>
          <w:tcPr/>
          <w:p>
            <w:pPr>
              <w:pStyle w:val="Compact"/>
              <w:jc w:val="center"/>
            </w:pPr>
            <w:r>
              <w:t xml:space="preserve">Resiliencia a largo plazo y contenid</w:t>
            </w:r>
          </w:p>
        </w:tc>
        <w:tc>
          <w:tcPr/>
          <w:p>
            <w:pPr>
              <w:pStyle w:val="Compact"/>
              <w:jc w:val="center"/>
            </w:pPr>
            <w:r>
              <w:t xml:space="preserve">o local Demasiado lento para el retraso actual</w:t>
            </w:r>
          </w:p>
        </w:tc>
      </w:tr>
    </w:tbl>
    <w:bookmarkEnd w:id="12"/>
    <w:bookmarkStart w:id="13" w:name="Xe3897aec3e70356a3669ddb3123c41c068b8cc1"/>
    <w:p>
      <w:pPr>
        <w:pStyle w:val="Heading1"/>
      </w:pPr>
      <w:r>
        <w:t xml:space="preserve">Un Problema de Coordinación, No Cuatro Pronósticos Separados</w:t>
      </w:r>
    </w:p>
    <w:p>
      <w:pPr>
        <w:pStyle w:val="FirstParagraph"/>
      </w:pPr>
      <w:r>
        <w:t xml:space="preserve">Chen creía que los departamentos de Aurora estaban optimizando versiones distintas del problema. Compras medía la disponibilidad de piezas y la varianza del precio de compra. Manufactura medía la utilización de la línea y los vehículos completados. Logística medía el flete premium y el desempeño de entrega. Ventas medía los pedidos y las tasas de cumplimiento de los concesionarios. Finanzas medía el efectivo, el margen y el inventario. Ninguno era dueño de la decisión combinada desde el compromiso de componentes hasta la entrega al cliente.</w:t>
      </w:r>
    </w:p>
    <w:p>
      <w:pPr>
        <w:pStyle w:val="BodyText"/>
      </w:pPr>
      <w:r>
        <w:t xml:space="preserve">Varios gerentes propusieron una reunión semanal de</w:t>
      </w:r>
      <w:r>
        <w:t xml:space="preserve"> </w:t>
      </w:r>
      <w:r>
        <w:t xml:space="preserve">“torre de control”</w:t>
      </w:r>
      <w:r>
        <w:t xml:space="preserve">. Otros argumentaron que una reunión no resolvería el problema subyacente: Aurora necesitaba un modelo de decisión que representara conjuntamente los tiempos de entrega entrantes, los aranceles, las restricciones de producción, las cancelaciones inciertas, la demanda regional y la capacidad de salida. La información necesaria para tal modelo estaba incompleta. Los tiempos de entrega de los proveedores se cotizaban como números únicos incluso cuando sus distribuciones estaban altamente sesgadas. Los pedidos de los concesionarios podían cancelarse sin penalización. Las clasificaciones arancelarias a veces se disputaban después de la entrada. Los pronósticos de precios de la gasolina no proporcionaban una advertencia confiable de choques geopolíticos.</w:t>
      </w:r>
    </w:p>
    <w:bookmarkEnd w:id="13"/>
    <w:bookmarkStart w:id="14" w:name="la-reunión"/>
    <w:p>
      <w:pPr>
        <w:pStyle w:val="Heading1"/>
      </w:pPr>
      <w:r>
        <w:t xml:space="preserve">La Reunión</w:t>
      </w:r>
    </w:p>
    <w:p>
      <w:pPr>
        <w:pStyle w:val="FirstParagraph"/>
      </w:pPr>
      <w:r>
        <w:t xml:space="preserve">A las 4:00 p.m., Chen escribió cinco números en el pizarrón: 3,800 pedidos de clientes; 2.6 semanas de módulos de control; $18.6 millones en compromisos propuestos; 16 semanas de demanda incierta; y una promesa de entrega de ocho semanas. El director ejecutivo quería una recomendación para el viernes. No pidió un pronóstico. Preguntó qué debía hacer Aurora ahora, qué información debía recopilar a continuación, y qué compromisos debían permanecer reversibles.</w:t>
      </w:r>
    </w:p>
    <w:p>
      <w:pPr>
        <w:pStyle w:val="BodyText"/>
      </w:pPr>
      <w:r>
        <w:t xml:space="preserve">Chen no vio una separación clara entre oferta y demanda. Pedir más celdas de batería podría proteger las entregas ante un pico en los precios de combustible, pero también podría crear inventario varado si los aranceles aumentaban o la demanda de enchufables se debilitaba. Reducir la producción podría conservar efectivo, pero podría ceder el mercado justo cuando los compradores se inclinaran hacia los híbridos. Asignar vehículos escasos a las regiones de mayor margen podría mejorar la utilidad a corto plazo mientras dañaba las relaciones con concesionarios en otros lugares. Rediseñar la cadena de suministro podría reducir la exposición futura, pero no llenaría los pedidos ya presentes en el sistema.</w:t>
      </w:r>
    </w:p>
    <w:p>
      <w:pPr>
        <w:pStyle w:val="BodyText"/>
      </w:pPr>
      <w:r>
        <w:t xml:space="preserve">El equipo ejecutivo tendría que elegir una postura operativa antes de saber a qué versión del mercado se enfrentaba.</w:t>
      </w:r>
    </w:p>
    <w:bookmarkEnd w:id="14"/>
    <w:bookmarkStart w:id="15" w:name="preguntas-de-discusión"/>
    <w:p>
      <w:pPr>
        <w:pStyle w:val="Heading1"/>
      </w:pPr>
      <w:r>
        <w:t xml:space="preserve">Preguntas de Discusión</w:t>
      </w:r>
    </w:p>
    <w:p>
      <w:pPr>
        <w:numPr>
          <w:ilvl w:val="0"/>
          <w:numId w:val="1001"/>
        </w:numPr>
      </w:pPr>
      <w:r>
        <w:t xml:space="preserve">¿Cuáles son las métricas de desempeño clave en este caso? ¿Qué métricas entran en conflicto entre sí?</w:t>
      </w:r>
    </w:p>
    <w:p>
      <w:pPr>
        <w:numPr>
          <w:ilvl w:val="0"/>
          <w:numId w:val="1001"/>
        </w:numPr>
      </w:pPr>
      <w:r>
        <w:t xml:space="preserve">¿Qué decisiones debe tomar Aurora ahora, y qué decisiones pueden posponerse hasta que llegue más información?</w:t>
      </w:r>
    </w:p>
    <w:p>
      <w:pPr>
        <w:numPr>
          <w:ilvl w:val="0"/>
          <w:numId w:val="1001"/>
        </w:numPr>
      </w:pPr>
      <w:r>
        <w:t xml:space="preserve">¿Cómo debería Aurora conectar las compras entrantes, la secuenciación de producción, el posicionamiento de inventario, la asignación a concesionarios y las promesas de entrega a clientes?</w:t>
      </w:r>
    </w:p>
    <w:p>
      <w:pPr>
        <w:numPr>
          <w:ilvl w:val="0"/>
          <w:numId w:val="1001"/>
        </w:numPr>
      </w:pPr>
      <w:r>
        <w:t xml:space="preserve">¿Qué incertidumbres son exógenas, y cuáles puede influir Aurora mediante contratos, diseño de productos, recopilación de información o políticas de clientes?</w:t>
      </w:r>
    </w:p>
    <w:p>
      <w:pPr>
        <w:numPr>
          <w:ilvl w:val="0"/>
          <w:numId w:val="1001"/>
        </w:numPr>
      </w:pPr>
      <w:r>
        <w:t xml:space="preserve">¿Qué datos serían más valiosos antes del viernes? ¿Qué información sería útil pero llegaría demasiado tarde?</w:t>
      </w:r>
    </w:p>
    <w:p>
      <w:pPr>
        <w:numPr>
          <w:ilvl w:val="0"/>
          <w:numId w:val="1001"/>
        </w:numPr>
      </w:pPr>
      <w:r>
        <w:t xml:space="preserve">¿Cómo debería Aurora evaluar las cinco respuestas propuestas cuando ninguna domina en todos los escenarios?</w:t>
      </w:r>
    </w:p>
    <w:p>
      <w:pPr>
        <w:numPr>
          <w:ilvl w:val="0"/>
          <w:numId w:val="1001"/>
        </w:numPr>
      </w:pPr>
      <w:r>
        <w:t xml:space="preserve">¿Qué cambios organizacionales podrían requerirse incluso si Aurora desarrolla un modelo de planificación sofisticado?</w:t>
      </w:r>
    </w:p>
    <w:bookmarkEnd w:id="15"/>
    <w:bookmarkStart w:id="21" w:name="preguntas-de-enmarcado-de-decisiones"/>
    <w:p>
      <w:pPr>
        <w:pStyle w:val="Heading1"/>
      </w:pPr>
      <w:r>
        <w:t xml:space="preserve">Preguntas de Enmarcado de Decisiones</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16">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puntual (morado).</w:t>
      </w:r>
    </w:p>
    <w:p>
      <w:pPr>
        <w:numPr>
          <w:ilvl w:val="0"/>
          <w:numId w:val="1002"/>
        </w:numPr>
      </w:pPr>
      <w:r>
        <w:t xml:space="preserve">Use la</w:t>
      </w:r>
      <w:r>
        <w:t xml:space="preserve"> </w:t>
      </w:r>
      <w:hyperlink r:id="rId17">
        <w:r>
          <w:rPr>
            <w:rStyle w:val="Hyperlink"/>
          </w:rPr>
          <w:t xml:space="preserve">herramienta de priorización de decisiones</w:t>
        </w:r>
      </w:hyperlink>
      <w:r>
        <w:t xml:space="preserve"> </w:t>
      </w:r>
      <w:r>
        <w:t xml:space="preserve">para primero enumerar los diferentes tipos de decisiones (use los</w:t>
      </w:r>
      <w:r>
        <w:t xml:space="preserve"> </w:t>
      </w:r>
      <w:hyperlink r:id="rId18">
        <w:r>
          <w:rPr>
            <w:rStyle w:val="Hyperlink"/>
          </w:rPr>
          <w:t xml:space="preserve">tipos de decisiones</w:t>
        </w:r>
      </w:hyperlink>
      <w:r>
        <w:t xml:space="preserve"> </w:t>
      </w:r>
      <w:r>
        <w:t xml:space="preserve">como guía). Estos poblarán las filas de la matriz a la derecha, donde las columnas son las métricas de desempeño ordenadas de izquierda a derecha según la prioridad en la pirámide anterior. Haga clic en cada celda para indicar si el impacto de la decisión sobre cada métrica es alto (rojo), medio (naranja), bajo (amarillo) o nulo (blanco).</w:t>
      </w:r>
    </w:p>
    <w:p>
      <w:pPr>
        <w:numPr>
          <w:ilvl w:val="0"/>
          <w:numId w:val="1002"/>
        </w:numPr>
      </w:pPr>
      <w:r>
        <w:t xml:space="preserve">Puede tomar el manejador (tres barras) que está más a la izquierda en cada fila para moverla hacia arriba o hacia abajo. Ordene las filas de manera que las decisiones con mayor impacto en las métricas más importantes queden hacia arriba. Las celdas de la esquina superior izquierda deberían tener la mayor concentración de celdas rojas y naranjas. En este punto, identifique las decisiones que deberían recibir más atención en su estudio. Si no tiene decisiones con impacto medio o alto en las métricas más importantes, revise su lista de decisiones.</w:t>
      </w:r>
    </w:p>
    <w:p>
      <w:pPr>
        <w:numPr>
          <w:ilvl w:val="0"/>
          <w:numId w:val="1002"/>
        </w:numPr>
      </w:pPr>
      <w:r>
        <w:t xml:space="preserve">Repita el proceso para enumerar y priorizar las incertidumbres usando la</w:t>
      </w:r>
      <w:r>
        <w:t xml:space="preserve"> </w:t>
      </w:r>
      <w:hyperlink r:id="rId19">
        <w:r>
          <w:rPr>
            <w:rStyle w:val="Hyperlink"/>
          </w:rPr>
          <w:t xml:space="preserve">herramienta de priorización de incertidumbre</w:t>
        </w:r>
      </w:hyperlink>
      <w:r>
        <w:t xml:space="preserve">. Use las</w:t>
      </w:r>
      <w:r>
        <w:t xml:space="preserve"> </w:t>
      </w:r>
      <w:hyperlink r:id="rId20">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parezca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necesarios para tomar esta decisión, incluido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1"/>
    <w:bookmarkStart w:id="22" w:name="notas-de-fuentes-para-contexto-histórico"/>
    <w:p>
      <w:pPr>
        <w:pStyle w:val="Heading1"/>
      </w:pPr>
      <w:r>
        <w:t xml:space="preserve">Notas de Fuentes para Contexto Histórico</w:t>
      </w:r>
    </w:p>
    <w:p>
      <w:pPr>
        <w:pStyle w:val="FirstParagraph"/>
      </w:pPr>
      <w:r>
        <w:t xml:space="preserve">U.S. Energy Information Administration,</w:t>
      </w:r>
      <w:r>
        <w:t xml:space="preserve"> </w:t>
      </w:r>
      <w:r>
        <w:t xml:space="preserve">“Cushing, OK WTI Spot Price FOB,”</w:t>
      </w:r>
      <w:r>
        <w:t xml:space="preserve"> </w:t>
      </w:r>
      <w:r>
        <w:t xml:space="preserve">serie anual (consultado en julio de 2026).</w:t>
      </w:r>
    </w:p>
    <w:p>
      <w:pPr>
        <w:pStyle w:val="BodyText"/>
      </w:pPr>
      <w:r>
        <w:t xml:space="preserve">U.S. Department of Energy, Vehicle Technologies Office,</w:t>
      </w:r>
      <w:r>
        <w:t xml:space="preserve"> </w:t>
      </w:r>
      <w:r>
        <w:t xml:space="preserve">“Electric Vehicle Battery Pack Costs for a Light-Duty Vehicle in 2023 Are 90% Lower than in 2008,”</w:t>
      </w:r>
      <w:r>
        <w:t xml:space="preserve"> </w:t>
      </w:r>
      <w:r>
        <w:t xml:space="preserve">5 de agosto de 2024.</w:t>
      </w:r>
    </w:p>
    <w:p>
      <w:pPr>
        <w:pStyle w:val="BodyText"/>
      </w:pPr>
      <w:r>
        <w:t xml:space="preserve">Office of the U.S. Trade Representative, modificaciones arancelarias de la Sección 301, mayo y septiembre de 2024.</w:t>
      </w:r>
    </w:p>
    <w:p>
      <w:pPr>
        <w:pStyle w:val="BodyText"/>
      </w:pPr>
      <w:r>
        <w:t xml:space="preserve">White House, Proclamación 10908 y enmiendas relativas a las importaciones de automóviles y piezas de automóviles, marzo-abril de 2025; declaraciones del marco comercial EE. UU.-UE, julio-agosto de 2025.</w:t>
      </w:r>
    </w:p>
    <w:p>
      <w:pPr>
        <w:pStyle w:val="BodyText"/>
      </w:pPr>
      <w:r>
        <w:t xml:space="preserve">Internal Revenue Service,</w:t>
      </w:r>
      <w:r>
        <w:t xml:space="preserve"> </w:t>
      </w:r>
      <w:r>
        <w:t xml:space="preserve">“Credits for New Clean Vehicles Purchased in 2023 or After”</w:t>
      </w:r>
      <w:r>
        <w:t xml:space="preserve"> </w:t>
      </w:r>
      <w:r>
        <w:t xml:space="preserve">e instrucciones del Formulario 8936 de 2025.</w:t>
      </w:r>
    </w:p>
    <w:p>
      <w:pPr>
        <w:pStyle w:val="BodyText"/>
      </w:pPr>
      <w:r>
        <w:t xml:space="preserve">AAA, encuestas anuales de consumidores sobre vehículos eléctricos, 2024 y 2025.</w:t>
      </w:r>
    </w:p>
    <w:p>
      <w:pPr>
        <w:pStyle w:val="BodyText"/>
      </w:pPr>
      <w:r>
        <w:rPr>
          <w:b/>
          <w:bCs/>
        </w:rPr>
        <w:t xml:space="preserve">Nota del caso:</w:t>
      </w:r>
      <w:r>
        <w:t xml:space="preserve"> </w:t>
      </w:r>
      <w:r>
        <w:t xml:space="preserve">Aurora Motors, sus empleados, productos, proveedores, concesionarios, pedidos, costos, pronósticos y datos operativos son ficticios. Las cifras históricas se incluyen únicamente para establecer un entorno de decisión realista. El caso deliberadamente no prescribe una solución.</w:t>
      </w:r>
    </w:p>
    <w:bookmarkEnd w:id="22"/>
    <w:bookmarkStart w:id="25" w:name="notas-de-chatgpt"/>
    <w:p>
      <w:pPr>
        <w:pStyle w:val="Heading1"/>
      </w:pPr>
      <w:r>
        <w:t xml:space="preserve">Notas de ChatGPT</w:t>
      </w:r>
    </w:p>
    <w:bookmarkStart w:id="23" w:name="prompt"/>
    <w:p>
      <w:pPr>
        <w:pStyle w:val="Heading2"/>
      </w:pPr>
      <w:r>
        <w:t xml:space="preserve">Prompt</w:t>
      </w:r>
    </w:p>
    <w:p>
      <w:pPr>
        <w:pStyle w:val="FirstParagraph"/>
      </w:pPr>
      <w:r>
        <w:t xml:space="preserve">generate a case study around the theme of a manufacturing company that is trying to coordinate inbound flows to the manufacturing process with customer deliveries. The product is hybrid electric vehicles that are subject to tariffs on parts from Asia and Europe, as well as changes in policies on tax discounts that are sometimes available from the federal government, but which may be withdrawn. Another factor is changing gasoline prices which are also subject to international problems, such as sporadic shortages as a result of wars with producing nations. Try to include some historical data on oil prices, the cost of batteries, and tariffs as well as shifting customer attitudes.</w:t>
      </w:r>
    </w:p>
    <w:bookmarkEnd w:id="23"/>
    <w:bookmarkStart w:id="24" w:name="resumen"/>
    <w:p>
      <w:pPr>
        <w:pStyle w:val="Heading2"/>
      </w:pPr>
      <w:r>
        <w:t xml:space="preserve">Resumen</w:t>
      </w:r>
    </w:p>
    <w:p>
      <w:pPr>
        <w:pStyle w:val="FirstParagraph"/>
      </w:pPr>
      <w:r>
        <w:t xml:space="preserve">El caso examina cómo un fabricante ficticio de vehículos híbridos debería coordinar los componentes importados, la secuenciación de producción, el inventario, la asignación a concesionarios y las promesas de entrega a clientes en medio de:</w:t>
      </w:r>
    </w:p>
    <w:p>
      <w:pPr>
        <w:numPr>
          <w:ilvl w:val="0"/>
          <w:numId w:val="1005"/>
        </w:numPr>
      </w:pPr>
      <w:r>
        <w:t xml:space="preserve">Aranceles sobre baterías y componentes electrónicos asiáticos y piezas automotrices europeas</w:t>
      </w:r>
    </w:p>
    <w:p>
      <w:pPr>
        <w:numPr>
          <w:ilvl w:val="0"/>
          <w:numId w:val="1005"/>
        </w:numPr>
      </w:pPr>
      <w:r>
        <w:t xml:space="preserve">Cambios en los incentivos fiscales federales para vehículos limpios</w:t>
      </w:r>
    </w:p>
    <w:p>
      <w:pPr>
        <w:numPr>
          <w:ilvl w:val="0"/>
          <w:numId w:val="1005"/>
        </w:numPr>
      </w:pPr>
      <w:r>
        <w:t xml:space="preserve">Volatilidad del petróleo y del precio de la gasolina causada por interrupciones geopolíticas</w:t>
      </w:r>
    </w:p>
    <w:p>
      <w:pPr>
        <w:numPr>
          <w:ilvl w:val="0"/>
          <w:numId w:val="1005"/>
        </w:numPr>
      </w:pPr>
      <w:r>
        <w:t xml:space="preserve">Caída de los costos de las baterías</w:t>
      </w:r>
    </w:p>
    <w:p>
      <w:pPr>
        <w:numPr>
          <w:ilvl w:val="0"/>
          <w:numId w:val="1005"/>
        </w:numPr>
      </w:pPr>
      <w:r>
        <w:t xml:space="preserve">Un interés cambiante de los consumidores entre vehículos de gasolina, híbridos, híbridos enchufables y totalmente eléctricos</w:t>
      </w:r>
    </w:p>
    <w:p>
      <w:pPr>
        <w:numPr>
          <w:ilvl w:val="0"/>
          <w:numId w:val="1005"/>
        </w:numPr>
      </w:pPr>
      <w:r>
        <w:t xml:space="preserve">Largos tiempos de entrega entrantes y cancelaciones inciertas de clientes</w:t>
      </w:r>
    </w:p>
    <w:p>
      <w:pPr>
        <w:pStyle w:val="FirstParagraph"/>
      </w:pPr>
      <w:r>
        <w:t xml:space="preserve">Incluye datos históricos de precios del petróleo y costos de baterías, historial de aranceles e incentivos, escenarios alternativos de demanda, opciones de respuesta operativa, ejemplos cuantitativos y preguntas de discusión. No se identifica una solución preferida. El contexto histórico se basa en fuentes de la EIA, el Departamento de Energía, la USTR, el IRS, la Casa Blanca y AAA.</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2026-09-11T15:08:27Z</dcterms:created>
  <dcterms:modified xsi:type="dcterms:W3CDTF">2026-09-11T15:08:27Z</dcterms:modified>
</cp:coreProperties>
</file>

<file path=docProps/custom.xml><?xml version="1.0" encoding="utf-8"?>
<Properties xmlns="http://schemas.openxmlformats.org/officeDocument/2006/custom-properties" xmlns:vt="http://schemas.openxmlformats.org/officeDocument/2006/docPropsVTypes"/>
</file>