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Departamento de Salud de Bellwether</w:t>
      </w:r>
    </w:p>
    <w:p>
      <w:pPr>
        <w:pStyle w:val="BodyText"/>
      </w:pPr>
      <w:r>
        <w:rPr>
          <w:b/>
          <w:bCs/>
        </w:rPr>
        <w:t xml:space="preserve">La Decisión de los 36,000 Kits</w:t>
      </w:r>
    </w:p>
    <w:p>
      <w:pPr>
        <w:pStyle w:val="BodyText"/>
      </w:pPr>
      <w:r>
        <w:rPr>
          <w:i/>
          <w:iCs/>
        </w:rPr>
        <w:t xml:space="preserve">Un caso de salud pública sobre cómo colocar un suministro limitado de reversión de sobredosis donde sea más probable que esté disponible, sea reconocido y sea utilizado</w:t>
      </w:r>
    </w:p>
    <w:tbl>
      <w:tblPr>
        <w:tblStyle w:val="Table"/>
        <w:tblW w:type="auto" w:w="0"/>
        <w:tblLook w:firstRow="0" w:lastRow="0" w:firstColumn="0" w:lastColumn="0" w:noHBand="0" w:noVBand="0" w:val="0000"/>
      </w:tblPr>
      <w:tblGrid>
        <w:gridCol w:w="7920"/>
      </w:tblGrid>
      <w:tr>
        <w:tc>
          <w:tcPr/>
          <w:p>
            <w:pPr>
              <w:pStyle w:val="Compact"/>
            </w:pPr>
            <w:r>
              <w:t xml:space="preserve">En septiembre de 2026, la oficina de prevención de sobredosis de Bellwether recibe menos kits de naloxona de los que solicitaron sus socios. Las muertes por sobredosis están disminuyendo en todo el estado, pero varios condados rurales y dos vecindarios urbanos se están deteriorando. La agencia debe asignar el envío, decidir a quién capacitar y determinar si reservar kits para puntos críticos emergentes que quizás aún no aparezcan en los datos oficiales.</w:t>
            </w:r>
          </w:p>
        </w:tc>
      </w:tr>
    </w:tbl>
    <w:p>
      <w:r>
        <w:pict>
          <v:rect style="width:0;height:1.5pt" o:hralign="center" o:hrstd="t" o:hr="t"/>
        </w:pict>
      </w:r>
    </w:p>
    <w:p>
      <w:pPr>
        <w:pStyle w:val="FirstParagraph"/>
      </w:pPr>
      <w:r>
        <w:t xml:space="preserve">Este caso es ficticio y está destinado a la discusión instructiva. Los nombres, eventos y cifras internas fueron creados para el caso. Las estadísticas públicas se resumen en la nota de origen.</w:t>
      </w:r>
    </w:p>
    <w:bookmarkStart w:id="9" w:name="el-envío-del-viernes"/>
    <w:p>
      <w:pPr>
        <w:pStyle w:val="Heading1"/>
      </w:pPr>
      <w:r>
        <w:t xml:space="preserve">El Envío del Viernes</w:t>
      </w:r>
    </w:p>
    <w:p>
      <w:pPr>
        <w:pStyle w:val="FirstParagraph"/>
      </w:pPr>
      <w:r>
        <w:t xml:space="preserve">A las 8:10 de la mañana del viernes, la Dra. Maya Ortiz, directora de prevención de sobredosis del Departamento de Salud de Bellwether, se enteró de que el envío estatal de otoño de naloxona contendría 36,000 kits de spray nasal de dos dosis. Las agencias de condado, hospitales, servicios de emergencia, programas de reducción de daños, cárceles, proveedores de tratamiento, farmacias, despensas de alimentos y organizaciones de vivienda habían solicitado en conjunto 61,400 kits.</w:t>
      </w:r>
    </w:p>
    <w:p>
      <w:pPr>
        <w:pStyle w:val="BodyText"/>
      </w:pPr>
      <w:r>
        <w:t xml:space="preserve">La escasez no fue causada por una falla nacional de producción. La adjudicación federal de Bellwether había llegado más tarde de lo esperado, un contrato de compra estatal había expirado durante el proceso de nueva licitación, y la legislatura había autorizado solo tres meses de financiamiento puente. El departamento podía pedir kits adicionales más adelante, pero nadie podía decir cuándo llegarían ni qué parte de la factura sería reembolsable bajo el próximo período de subvención.</w:t>
      </w:r>
    </w:p>
    <w:p>
      <w:pPr>
        <w:pStyle w:val="BodyText"/>
      </w:pPr>
      <w:r>
        <w:t xml:space="preserve">Ortiz tenía que aprobar un plan de asignación antes del mediodía del lunes. El almacén necesitaba tiempo para etiquetar las cajas, preparar materiales de capacitación y programar las entregas. Varios socios de condado ya estaban racionando kits. Otros reportaban inventario sin usar, pero no podían decir si los kits estaban almacenados, siendo transportados por trabajadores de extensión comunitaria, entregados a personas con probabilidad de presenciar una sobredosis, o descartados por vencimiento o daño.</w:t>
      </w:r>
    </w:p>
    <w:bookmarkEnd w:id="9"/>
    <w:bookmarkStart w:id="11" w:name="X859c349490cc242aba0877dddd84a1ab1c72ee6"/>
    <w:p>
      <w:pPr>
        <w:pStyle w:val="Heading1"/>
      </w:pPr>
      <w:r>
        <w:t xml:space="preserve">Una Crisis que Mejoraba de Forma Desigual</w:t>
      </w:r>
    </w:p>
    <w:p>
      <w:pPr>
        <w:pStyle w:val="FirstParagraph"/>
      </w:pPr>
      <w:r>
        <w:t xml:space="preserve">A nivel nacional, la mortalidad por sobredosis había comenzado a disminuir después de años de crecimiento devastador. Los datos federales finales registraron 79,384 muertes por sobredosis de drogas en EE. UU. en 2024, una disminución del 26.2 por ciento en la tasa de mortalidad ajustada por edad respecto a 2023. Los datos preliminares disponibles en julio de 2026 predijeron 68,641 muertes para los doce meses que terminaron en febrero de 2026, otra disminución del 12.1 por ciento respecto al período anterior. La mejora era sustancial, pero el total seguía siendo alto y el suministro ilegal de drogas continuaba cambiando.</w:t>
      </w:r>
    </w:p>
    <w:p>
      <w:pPr>
        <w:pStyle w:val="BodyText"/>
      </w:pPr>
      <w:r>
        <w:t xml:space="preserve">El acceso a la naloxona también se había expandido. Se dispensaron más de 1.5 millones de recetas a través de farmacias minoristas en EE. UU. en 2024. Sin embargo, la tasa nacional de dispensación en farmacias cayó de 0.6 recetas por cada 100 personas en 2023 a 0.4 en 2024, y las tasas variaron ampliamente entre jurisdicciones. Los datos de farmacias no incluían todos los kits distribuidos por departamentos de salud, primeros respondientes, organizaciones comunitarias, ni amigos y familiares.</w:t>
      </w:r>
    </w:p>
    <w:p>
      <w:pPr>
        <w:pStyle w:val="BodyText"/>
      </w:pPr>
      <w:r>
        <w:t xml:space="preserve">El conteo estatal de muertes de Bellwether había caído un 18 por ciento respecto al año anterior. La disminución se concentraba en la región capital y tres condados suburbanos. En el corredor manufacturero del norte, las muertes eran casi las mismas. En dos regiones rurales habían aumentado, mientras que los departamentos de emergencia reportaban más pacientes que requerían observación prolongada tras una sospecha de exposición a fentanilo mezclado con contaminantes sedantes.</w:t>
      </w:r>
    </w:p>
    <w:bookmarkStart w:id="10" w:name="X15ef8451a125e91f938f5f23087aa54732ed626"/>
    <w:p>
      <w:pPr>
        <w:pStyle w:val="Heading2"/>
      </w:pPr>
      <w:r>
        <w:t xml:space="preserve">Exhibit 1. Indicadores de Sobredosis de Bellwether</w:t>
      </w:r>
    </w:p>
    <w:tbl>
      <w:tblPr>
        <w:tblStyle w:val="Table"/>
        <w:tblW w:type="pct" w:w="4885"/>
        <w:tblLayout w:type="fixed"/>
        <w:tblLook w:firstRow="1" w:lastRow="0" w:firstColumn="0" w:lastColumn="0" w:noHBand="0" w:noVBand="0" w:val="0020"/>
      </w:tblPr>
      <w:tblGrid>
        <w:gridCol w:w="3368"/>
        <w:gridCol w:w="1092"/>
        <w:gridCol w:w="1092"/>
        <w:gridCol w:w="2184"/>
      </w:tblGrid>
      <w:tr>
        <w:trPr>
          <w:tblHeader w:val="on"/>
        </w:trPr>
        <w:tc>
          <w:tcPr/>
          <w:p>
            <w:pPr>
              <w:pStyle w:val="Compact"/>
              <w:jc w:val="left"/>
            </w:pPr>
            <w:r>
              <w:t xml:space="preserve">Indicador</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Últimos 12 meses</w:t>
            </w:r>
          </w:p>
        </w:tc>
      </w:tr>
      <w:tr>
        <w:tc>
          <w:tcPr/>
          <w:p>
            <w:pPr>
              <w:pStyle w:val="Compact"/>
              <w:jc w:val="left"/>
            </w:pPr>
            <w:r>
              <w:t xml:space="preserve">Sobredosis fatales sospechadas</w:t>
            </w:r>
          </w:p>
        </w:tc>
        <w:tc>
          <w:tcPr/>
          <w:p>
            <w:pPr>
              <w:pStyle w:val="Compact"/>
              <w:jc w:val="left"/>
            </w:pPr>
            <w:r>
              <w:t xml:space="preserve">1,184</w:t>
            </w:r>
          </w:p>
        </w:tc>
        <w:tc>
          <w:tcPr/>
          <w:p>
            <w:pPr>
              <w:pStyle w:val="Compact"/>
              <w:jc w:val="left"/>
            </w:pPr>
            <w:r>
              <w:t xml:space="preserve">971</w:t>
            </w:r>
          </w:p>
        </w:tc>
        <w:tc>
          <w:tcPr/>
          <w:p>
            <w:pPr>
              <w:pStyle w:val="Compact"/>
              <w:jc w:val="left"/>
            </w:pPr>
            <w:r>
              <w:t xml:space="preserve">906</w:t>
            </w:r>
          </w:p>
        </w:tc>
      </w:tr>
      <w:tr>
        <w:tc>
          <w:tcPr/>
          <w:p>
            <w:pPr>
              <w:pStyle w:val="Compact"/>
              <w:jc w:val="left"/>
            </w:pPr>
            <w:r>
              <w:t xml:space="preserve">Respuestas de EMS a sobredosis</w:t>
            </w:r>
          </w:p>
        </w:tc>
        <w:tc>
          <w:tcPr/>
          <w:p>
            <w:pPr>
              <w:pStyle w:val="Compact"/>
              <w:jc w:val="left"/>
            </w:pPr>
            <w:r>
              <w:t xml:space="preserve">9,840</w:t>
            </w:r>
          </w:p>
        </w:tc>
        <w:tc>
          <w:tcPr/>
          <w:p>
            <w:pPr>
              <w:pStyle w:val="Compact"/>
              <w:jc w:val="left"/>
            </w:pPr>
            <w:r>
              <w:t xml:space="preserve">10,260</w:t>
            </w:r>
          </w:p>
        </w:tc>
        <w:tc>
          <w:tcPr/>
          <w:p>
            <w:pPr>
              <w:pStyle w:val="Compact"/>
              <w:jc w:val="left"/>
            </w:pPr>
            <w:r>
              <w:t xml:space="preserve">10,710</w:t>
            </w:r>
          </w:p>
        </w:tc>
      </w:tr>
      <w:tr>
        <w:tc>
          <w:tcPr/>
          <w:p>
            <w:pPr>
              <w:pStyle w:val="Compact"/>
              <w:jc w:val="left"/>
            </w:pPr>
            <w:r>
              <w:t xml:space="preserve">Administraciones de naloxona por EMS</w:t>
            </w:r>
          </w:p>
        </w:tc>
        <w:tc>
          <w:tcPr/>
          <w:p>
            <w:pPr>
              <w:pStyle w:val="Compact"/>
              <w:jc w:val="left"/>
            </w:pPr>
            <w:r>
              <w:t xml:space="preserve">6,420</w:t>
            </w:r>
          </w:p>
        </w:tc>
        <w:tc>
          <w:tcPr/>
          <w:p>
            <w:pPr>
              <w:pStyle w:val="Compact"/>
              <w:jc w:val="left"/>
            </w:pPr>
            <w:r>
              <w:t xml:space="preserve">6,980</w:t>
            </w:r>
          </w:p>
        </w:tc>
        <w:tc>
          <w:tcPr/>
          <w:p>
            <w:pPr>
              <w:pStyle w:val="Compact"/>
              <w:jc w:val="left"/>
            </w:pPr>
            <w:r>
              <w:t xml:space="preserve">7,310</w:t>
            </w:r>
          </w:p>
        </w:tc>
      </w:tr>
      <w:tr>
        <w:tc>
          <w:tcPr/>
          <w:p>
            <w:pPr>
              <w:pStyle w:val="Compact"/>
              <w:jc w:val="left"/>
            </w:pPr>
            <w:r>
              <w:t xml:space="preserve">Traslados hospitalarios tras sobredos</w:t>
            </w:r>
          </w:p>
        </w:tc>
        <w:tc>
          <w:tcPr/>
          <w:p>
            <w:pPr>
              <w:pStyle w:val="Compact"/>
              <w:jc w:val="left"/>
            </w:pPr>
            <w:r>
              <w:t xml:space="preserve">is 4,780</w:t>
            </w:r>
          </w:p>
        </w:tc>
        <w:tc>
          <w:tcPr/>
          <w:p>
            <w:pPr>
              <w:pStyle w:val="Compact"/>
              <w:jc w:val="left"/>
            </w:pPr>
            <w:r>
              <w:t xml:space="preserve">4,960</w:t>
            </w:r>
          </w:p>
        </w:tc>
        <w:tc>
          <w:tcPr/>
          <w:p>
            <w:pPr>
              <w:pStyle w:val="Compact"/>
              <w:jc w:val="left"/>
            </w:pPr>
            <w:r>
              <w:t xml:space="preserve">5,240</w:t>
            </w:r>
          </w:p>
        </w:tc>
      </w:tr>
      <w:tr>
        <w:tc>
          <w:tcPr/>
          <w:p>
            <w:pPr>
              <w:pStyle w:val="Compact"/>
              <w:jc w:val="left"/>
            </w:pPr>
            <w:r>
              <w:t xml:space="preserve">Reversiones reportadas por la comunid</w:t>
            </w:r>
          </w:p>
        </w:tc>
        <w:tc>
          <w:tcPr/>
          <w:p>
            <w:pPr>
              <w:pStyle w:val="Compact"/>
              <w:jc w:val="left"/>
            </w:pPr>
            <w:r>
              <w:t xml:space="preserve">ad 2,940</w:t>
            </w:r>
          </w:p>
        </w:tc>
        <w:tc>
          <w:tcPr/>
          <w:p>
            <w:pPr>
              <w:pStyle w:val="Compact"/>
              <w:jc w:val="left"/>
            </w:pPr>
            <w:r>
              <w:t xml:space="preserve">3,880</w:t>
            </w:r>
          </w:p>
        </w:tc>
        <w:tc>
          <w:tcPr/>
          <w:p>
            <w:pPr>
              <w:pStyle w:val="Compact"/>
              <w:jc w:val="left"/>
            </w:pPr>
            <w:r>
              <w:t xml:space="preserve">4,210</w:t>
            </w:r>
          </w:p>
        </w:tc>
      </w:tr>
      <w:tr>
        <w:tc>
          <w:tcPr/>
          <w:p>
            <w:pPr>
              <w:pStyle w:val="Compact"/>
              <w:jc w:val="left"/>
            </w:pPr>
            <w:r>
              <w:t xml:space="preserve">Kits comprados por el estado distribu</w:t>
            </w:r>
          </w:p>
        </w:tc>
        <w:tc>
          <w:tcPr/>
          <w:p>
            <w:pPr>
              <w:pStyle w:val="Compact"/>
              <w:jc w:val="left"/>
            </w:pPr>
            <w:r>
              <w:t xml:space="preserve">idos 118,000</w:t>
            </w:r>
          </w:p>
        </w:tc>
        <w:tc>
          <w:tcPr/>
          <w:p>
            <w:pPr>
              <w:pStyle w:val="Compact"/>
              <w:jc w:val="left"/>
            </w:pPr>
            <w:r>
              <w:t xml:space="preserve">142,000</w:t>
            </w:r>
          </w:p>
        </w:tc>
        <w:tc>
          <w:tcPr/>
          <w:p>
            <w:pPr>
              <w:pStyle w:val="Compact"/>
              <w:jc w:val="left"/>
            </w:pPr>
            <w:r>
              <w:t xml:space="preserve">136,500</w:t>
            </w:r>
          </w:p>
        </w:tc>
      </w:tr>
      <w:tr>
        <w:tc>
          <w:tcPr/>
          <w:p>
            <w:pPr>
              <w:pStyle w:val="Compact"/>
              <w:jc w:val="left"/>
            </w:pPr>
            <w:r>
              <w:t xml:space="preserve">Condados que reportan desabastecimien</w:t>
            </w:r>
          </w:p>
        </w:tc>
        <w:tc>
          <w:tcPr/>
          <w:p>
            <w:pPr>
              <w:pStyle w:val="Compact"/>
              <w:jc w:val="left"/>
            </w:pPr>
            <w:r>
              <w:t xml:space="preserve">to local 4</w:t>
            </w:r>
          </w:p>
        </w:tc>
        <w:tc>
          <w:tcPr/>
          <w:p>
            <w:pPr>
              <w:pStyle w:val="Compact"/>
              <w:jc w:val="left"/>
            </w:pPr>
            <w:r>
              <w:t xml:space="preserve">7</w:t>
            </w:r>
          </w:p>
        </w:tc>
        <w:tc>
          <w:tcPr/>
          <w:p>
            <w:pPr>
              <w:pStyle w:val="Compact"/>
              <w:jc w:val="left"/>
            </w:pPr>
            <w:r>
              <w:t xml:space="preserve">11</w:t>
            </w:r>
          </w:p>
        </w:tc>
      </w:tr>
    </w:tbl>
    <w:p>
      <w:pPr>
        <w:pStyle w:val="BodyText"/>
      </w:pPr>
      <w:r>
        <w:t xml:space="preserve">Ortiz advirtió a su personal que no sacara una conclusión sencilla del conteo decreciente de muertes. Más naloxona podría estar previniendo muertes mientras el número de sobredosis se mantiene sin cambios. Las respuestas de EMS y los traslados hospitalarios seguían en aumento. Las reversiones reportadas por la comunidad eran voluntarias y casi con certeza incompletas. Un condado con pocas reversiones reportadas podría tener poca necesidad, mal reporte, baja conciencia, débil confianza comunitaria, o muy pocos kits en circulación.</w:t>
      </w:r>
    </w:p>
    <w:bookmarkEnd w:id="10"/>
    <w:bookmarkEnd w:id="11"/>
    <w:bookmarkStart w:id="13" w:name="a-dónde-podían-ir-los-kits"/>
    <w:p>
      <w:pPr>
        <w:pStyle w:val="Heading1"/>
      </w:pPr>
      <w:r>
        <w:t xml:space="preserve">A Dónde Podían Ir los Kits</w:t>
      </w:r>
    </w:p>
    <w:p>
      <w:pPr>
        <w:pStyle w:val="FirstParagraph"/>
      </w:pPr>
      <w:r>
        <w:t xml:space="preserve">Bellwether había distribuido naloxona a través de seis canales amplios. Cada uno llegaba a una población diferente y producía información diferente. Los primeros respondientes podían colocar kits en una sobredosis rápidamente, pero generalmente llegaban solo después de que alguien llamara al 911. Las organizaciones de reducción de daños tenían contacto directo con personas que usaban drogas y sus redes sociales, pero varias operaban con personal reducido y registros informales. Las farmacias ofrecían amplia cobertura geográfica, pero a menudo requerían que un cliente solicitara el producto o interactuara con un farmacéutico.</w:t>
      </w:r>
    </w:p>
    <w:p>
      <w:pPr>
        <w:pStyle w:val="BodyText"/>
      </w:pPr>
      <w:r>
        <w:t xml:space="preserve">Los hospitales y proveedores de tratamiento podían dar naloxona a los pacientes al momento del alta, incluyendo a personas con riesgo elevado tras un período de abstinencia. Las cárceles podían distribuir kits al momento de la liberación, cuando la tolerancia podría estar reducida, pero la participación variaba entre los alguaciles de condado. Las despensas de alimentos, refugios, bibliotecas, organizaciones religiosas y proveedores de vivienda llegaban a personas que quizás nunca visitarían un programa de tratamiento, aunque algunas organizaciones se preocupaban de que ofrecer naloxona visiblemente crearía controversia con donantes, juntas directivas o vecinos.</w:t>
      </w:r>
    </w:p>
    <w:bookmarkStart w:id="12" w:name="Xf86063d9fa7da58b3b04b868b765a61b77666a6"/>
    <w:p>
      <w:pPr>
        <w:pStyle w:val="Heading2"/>
      </w:pPr>
      <w:r>
        <w:t xml:space="preserve">Exhibit 2. Solicitudes para el Envío de 36,000 Kits</w:t>
      </w:r>
    </w:p>
    <w:tbl>
      <w:tblPr>
        <w:tblStyle w:val="Table"/>
        <w:tblW w:type="pct" w:w="4920"/>
        <w:tblLayout w:type="fixed"/>
        <w:tblLook w:firstRow="1" w:lastRow="0" w:firstColumn="0" w:lastColumn="0" w:noHBand="0" w:noVBand="0" w:val="0020"/>
      </w:tblPr>
      <w:tblGrid>
        <w:gridCol w:w="3231"/>
        <w:gridCol w:w="1077"/>
        <w:gridCol w:w="2154"/>
        <w:gridCol w:w="1330"/>
      </w:tblGrid>
      <w:tr>
        <w:trPr>
          <w:tblHeader w:val="on"/>
        </w:trPr>
        <w:tc>
          <w:tcPr/>
          <w:p>
            <w:pPr>
              <w:pStyle w:val="Compact"/>
              <w:jc w:val="left"/>
            </w:pPr>
            <w:r>
              <w:t xml:space="preserve">Canal de distribución</w:t>
            </w:r>
          </w:p>
        </w:tc>
        <w:tc>
          <w:tcPr/>
          <w:p>
            <w:pPr>
              <w:pStyle w:val="Compact"/>
            </w:pPr>
            <w:r>
              <w:t xml:space="preserve">Kits solicitados</w:t>
            </w:r>
          </w:p>
        </w:tc>
        <w:tc>
          <w:tcPr/>
          <w:p>
            <w:pPr>
              <w:pStyle w:val="Compact"/>
            </w:pPr>
            <w:r>
              <w:t xml:space="preserve">Kits distribuidos últimos 12 meses</w:t>
            </w:r>
          </w:p>
        </w:tc>
        <w:tc>
          <w:tcPr/>
          <w:p>
            <w:pPr>
              <w:pStyle w:val="Compact"/>
              <w:jc w:val="right"/>
            </w:pPr>
            <w:r>
              <w:t xml:space="preserve">Reversiones reportadas</w:t>
            </w:r>
          </w:p>
        </w:tc>
      </w:tr>
      <w:tr>
        <w:tc>
          <w:tcPr/>
          <w:p>
            <w:pPr>
              <w:pStyle w:val="Compact"/>
              <w:jc w:val="left"/>
            </w:pPr>
            <w:r>
              <w:t xml:space="preserve">Programas de reducción de daños e intercambio de je</w:t>
            </w:r>
          </w:p>
        </w:tc>
        <w:tc>
          <w:tcPr/>
          <w:p>
            <w:pPr>
              <w:pStyle w:val="Compact"/>
            </w:pPr>
            <w:r>
              <w:t xml:space="preserve">ringas 19,600</w:t>
            </w:r>
          </w:p>
        </w:tc>
        <w:tc>
          <w:tcPr/>
          <w:p>
            <w:pPr>
              <w:pStyle w:val="Compact"/>
            </w:pPr>
            <w:r>
              <w:t xml:space="preserve">45,200</w:t>
            </w:r>
          </w:p>
        </w:tc>
        <w:tc>
          <w:tcPr/>
          <w:p>
            <w:pPr>
              <w:pStyle w:val="Compact"/>
              <w:jc w:val="right"/>
            </w:pPr>
            <w:r>
              <w:t xml:space="preserve">2,540</w:t>
            </w:r>
          </w:p>
        </w:tc>
      </w:tr>
      <w:tr>
        <w:tc>
          <w:tcPr/>
          <w:p>
            <w:pPr>
              <w:pStyle w:val="Compact"/>
              <w:jc w:val="left"/>
            </w:pPr>
            <w:r>
              <w:t xml:space="preserve">EMS, bomberos y fuerzas del orden</w:t>
            </w:r>
          </w:p>
        </w:tc>
        <w:tc>
          <w:tcPr/>
          <w:p>
            <w:pPr>
              <w:pStyle w:val="Compact"/>
            </w:pPr>
            <w:r>
              <w:t xml:space="preserve">11,400</w:t>
            </w:r>
          </w:p>
        </w:tc>
        <w:tc>
          <w:tcPr/>
          <w:p>
            <w:pPr>
              <w:pStyle w:val="Compact"/>
            </w:pPr>
            <w:r>
              <w:t xml:space="preserve">28,600</w:t>
            </w:r>
          </w:p>
        </w:tc>
        <w:tc>
          <w:tcPr/>
          <w:p>
            <w:pPr>
              <w:pStyle w:val="Compact"/>
              <w:jc w:val="right"/>
            </w:pPr>
            <w:r>
              <w:t xml:space="preserve">1,020</w:t>
            </w:r>
          </w:p>
        </w:tc>
      </w:tr>
      <w:tr>
        <w:tc>
          <w:tcPr/>
          <w:p>
            <w:pPr>
              <w:pStyle w:val="Compact"/>
              <w:jc w:val="left"/>
            </w:pPr>
            <w:r>
              <w:t xml:space="preserve">Proveedores de tratamiento y hospitales</w:t>
            </w:r>
          </w:p>
        </w:tc>
        <w:tc>
          <w:tcPr/>
          <w:p>
            <w:pPr>
              <w:pStyle w:val="Compact"/>
            </w:pPr>
            <w:r>
              <w:t xml:space="preserve">9,800</w:t>
            </w:r>
          </w:p>
        </w:tc>
        <w:tc>
          <w:tcPr/>
          <w:p>
            <w:pPr>
              <w:pStyle w:val="Compact"/>
            </w:pPr>
            <w:r>
              <w:t xml:space="preserve">21,500</w:t>
            </w:r>
          </w:p>
        </w:tc>
        <w:tc>
          <w:tcPr/>
          <w:p>
            <w:pPr>
              <w:pStyle w:val="Compact"/>
              <w:jc w:val="right"/>
            </w:pPr>
            <w:r>
              <w:t xml:space="preserve">310</w:t>
            </w:r>
          </w:p>
        </w:tc>
      </w:tr>
      <w:tr>
        <w:tc>
          <w:tcPr/>
          <w:p>
            <w:pPr>
              <w:pStyle w:val="Compact"/>
              <w:jc w:val="left"/>
            </w:pPr>
            <w:r>
              <w:t xml:space="preserve">Farmacias</w:t>
            </w:r>
          </w:p>
        </w:tc>
        <w:tc>
          <w:tcPr/>
          <w:p>
            <w:pPr>
              <w:pStyle w:val="Compact"/>
            </w:pPr>
            <w:r>
              <w:t xml:space="preserve">7,200</w:t>
            </w:r>
          </w:p>
        </w:tc>
        <w:tc>
          <w:tcPr/>
          <w:p>
            <w:pPr>
              <w:pStyle w:val="Compact"/>
            </w:pPr>
            <w:r>
              <w:t xml:space="preserve">16,100</w:t>
            </w:r>
          </w:p>
        </w:tc>
        <w:tc>
          <w:tcPr/>
          <w:p>
            <w:pPr>
              <w:pStyle w:val="Compact"/>
              <w:jc w:val="right"/>
            </w:pPr>
            <w:r>
              <w:t xml:space="preserve">90</w:t>
            </w:r>
          </w:p>
        </w:tc>
      </w:tr>
      <w:tr>
        <w:tc>
          <w:tcPr/>
          <w:p>
            <w:pPr>
              <w:pStyle w:val="Compact"/>
              <w:jc w:val="left"/>
            </w:pPr>
            <w:r>
              <w:t xml:space="preserve">Cárceles y programas de reingreso</w:t>
            </w:r>
          </w:p>
        </w:tc>
        <w:tc>
          <w:tcPr/>
          <w:p>
            <w:pPr>
              <w:pStyle w:val="Compact"/>
            </w:pPr>
            <w:r>
              <w:t xml:space="preserve">5,600</w:t>
            </w:r>
          </w:p>
        </w:tc>
        <w:tc>
          <w:tcPr/>
          <w:p>
            <w:pPr>
              <w:pStyle w:val="Compact"/>
            </w:pPr>
            <w:r>
              <w:t xml:space="preserve">10,400</w:t>
            </w:r>
          </w:p>
        </w:tc>
        <w:tc>
          <w:tcPr/>
          <w:p>
            <w:pPr>
              <w:pStyle w:val="Compact"/>
              <w:jc w:val="right"/>
            </w:pPr>
            <w:r>
              <w:t xml:space="preserve">120</w:t>
            </w:r>
          </w:p>
        </w:tc>
      </w:tr>
      <w:tr>
        <w:tc>
          <w:tcPr/>
          <w:p>
            <w:pPr>
              <w:pStyle w:val="Compact"/>
              <w:jc w:val="left"/>
            </w:pPr>
            <w:r>
              <w:t xml:space="preserve">Vivienda, alimentos, fe y otros grupos comunitarios</w:t>
            </w:r>
          </w:p>
        </w:tc>
        <w:tc>
          <w:tcPr/>
          <w:p>
            <w:pPr>
              <w:pStyle w:val="Compact"/>
            </w:pPr>
            <w:r>
              <w:t xml:space="preserve">7,800</w:t>
            </w:r>
          </w:p>
        </w:tc>
        <w:tc>
          <w:tcPr/>
          <w:p>
            <w:pPr>
              <w:pStyle w:val="Compact"/>
            </w:pPr>
            <w:r>
              <w:t xml:space="preserve">14,700</w:t>
            </w:r>
          </w:p>
        </w:tc>
        <w:tc>
          <w:tcPr/>
          <w:p>
            <w:pPr>
              <w:pStyle w:val="Compact"/>
              <w:jc w:val="right"/>
            </w:pPr>
            <w:r>
              <w:t xml:space="preserve">130</w:t>
            </w:r>
          </w:p>
        </w:tc>
      </w:tr>
    </w:tbl>
    <w:p>
      <w:pPr>
        <w:pStyle w:val="BodyText"/>
      </w:pPr>
      <w:r>
        <w:t xml:space="preserve">Los conteos de reversiones reportadas no podían interpretarse como tasas de efectividad. Un kit podía distribuirse a alguien que nunca presenció una sobredosis, usarse exitosamente sin ser reportado, perderse, transferirse a otra persona o mantenerse hasta que expirara. Algunas organizaciones distribuían agresivamente a personas con probabilidad de presenciar una sobredosis; otras mantenían gabinetes para emergencias. El estado no sabía cuántos kits estaban inmediatamente accesibles en el momento en que se necesitaban.</w:t>
      </w:r>
    </w:p>
    <w:bookmarkEnd w:id="12"/>
    <w:bookmarkEnd w:id="13"/>
    <w:bookmarkStart w:id="15" w:name="geografía-y-acceso"/>
    <w:p>
      <w:pPr>
        <w:pStyle w:val="Heading1"/>
      </w:pPr>
      <w:r>
        <w:t xml:space="preserve">Geografía y Acceso</w:t>
      </w:r>
    </w:p>
    <w:p>
      <w:pPr>
        <w:pStyle w:val="FirstParagraph"/>
      </w:pPr>
      <w:r>
        <w:t xml:space="preserve">Los cuarenta y dos condados del estado diferían marcadamente. Los distritos urbanos tenían actividad de sobredosis concentrada, equipos de extensión establecidos, transporte público y múltiples farmacias. Los condados rurales cubrían grandes áreas con transporte limitado y tiempos de respuesta de EMS largos. Varias comunidades Tribales operaban sus propios programas de salud y seguridad pública y querían asignaciones directas en lugar de recibir kits a través de los gobiernos de condado. Los trabajadores estacionales y las personas que vivían en campamentos temporales se movían entre regiones, debilitando las comparaciones basadas en residencia.</w:t>
      </w:r>
    </w:p>
    <w:bookmarkStart w:id="14" w:name="X229c1d37913d44b1927703796e2f5f9a00109ef"/>
    <w:p>
      <w:pPr>
        <w:pStyle w:val="Heading2"/>
      </w:pPr>
      <w:r>
        <w:t xml:space="preserve">Exhibit 3. Condiciones Regionales Seleccionadas</w:t>
      </w:r>
    </w:p>
    <w:tbl>
      <w:tblPr>
        <w:tblStyle w:val="Table"/>
        <w:tblW w:type="pct" w:w="4915"/>
        <w:tblLayout w:type="fixed"/>
        <w:tblLook w:firstRow="1" w:lastRow="0" w:firstColumn="0" w:lastColumn="0" w:noHBand="0" w:noVBand="0" w:val="0020"/>
      </w:tblPr>
      <w:tblGrid>
        <w:gridCol w:w="1946"/>
        <w:gridCol w:w="872"/>
        <w:gridCol w:w="2013"/>
        <w:gridCol w:w="1476"/>
        <w:gridCol w:w="1476"/>
      </w:tblGrid>
      <w:tr>
        <w:trPr>
          <w:tblHeader w:val="on"/>
        </w:trPr>
        <w:tc>
          <w:tcPr/>
          <w:p>
            <w:pPr>
              <w:pStyle w:val="Compact"/>
              <w:jc w:val="left"/>
            </w:pPr>
            <w:r>
              <w:t xml:space="preserve">Región</w:t>
            </w:r>
          </w:p>
        </w:tc>
        <w:tc>
          <w:tcPr/>
          <w:p>
            <w:pPr>
              <w:pStyle w:val="Compact"/>
            </w:pPr>
            <w:r>
              <w:t xml:space="preserve">Población S</w:t>
            </w:r>
          </w:p>
        </w:tc>
        <w:tc>
          <w:tcPr/>
          <w:p>
            <w:pPr>
              <w:pStyle w:val="Compact"/>
            </w:pPr>
            <w:r>
              <w:t xml:space="preserve">obredosis fatales por 100,000</w:t>
            </w:r>
          </w:p>
        </w:tc>
        <w:tc>
          <w:tcPr/>
          <w:p>
            <w:pPr>
              <w:pStyle w:val="Compact"/>
              <w:jc w:val="right"/>
            </w:pPr>
            <w:r>
              <w:t xml:space="preserve">Respuesta mediana EMS</w:t>
            </w:r>
          </w:p>
        </w:tc>
        <w:tc>
          <w:tcPr/>
          <w:p>
            <w:pPr>
              <w:pStyle w:val="Compact"/>
              <w:jc w:val="right"/>
            </w:pPr>
            <w:r>
              <w:t xml:space="preserve">Inventario del socio</w:t>
            </w:r>
          </w:p>
        </w:tc>
      </w:tr>
      <w:tr>
        <w:tc>
          <w:tcPr/>
          <w:p>
            <w:pPr>
              <w:pStyle w:val="Compact"/>
              <w:jc w:val="left"/>
            </w:pPr>
            <w:r>
              <w:t xml:space="preserve">Núcleo capital</w:t>
            </w:r>
          </w:p>
        </w:tc>
        <w:tc>
          <w:tcPr/>
          <w:p>
            <w:pPr>
              <w:pStyle w:val="Compact"/>
            </w:pPr>
            <w:r>
              <w:t xml:space="preserve">740,000</w:t>
            </w:r>
          </w:p>
        </w:tc>
        <w:tc>
          <w:tcPr/>
          <w:p>
            <w:pPr>
              <w:pStyle w:val="Compact"/>
            </w:pPr>
            <w:r>
              <w:t xml:space="preserve">31</w:t>
            </w:r>
          </w:p>
        </w:tc>
        <w:tc>
          <w:tcPr/>
          <w:p>
            <w:pPr>
              <w:pStyle w:val="Compact"/>
              <w:jc w:val="right"/>
            </w:pPr>
            <w:r>
              <w:t xml:space="preserve">7 minutos</w:t>
            </w:r>
          </w:p>
        </w:tc>
        <w:tc>
          <w:tcPr/>
          <w:p>
            <w:pPr>
              <w:pStyle w:val="Compact"/>
              <w:jc w:val="right"/>
            </w:pPr>
            <w:r>
              <w:t xml:space="preserve">18 días</w:t>
            </w:r>
          </w:p>
        </w:tc>
      </w:tr>
      <w:tr>
        <w:tc>
          <w:tcPr/>
          <w:p>
            <w:pPr>
              <w:pStyle w:val="Compact"/>
              <w:jc w:val="left"/>
            </w:pPr>
            <w:r>
              <w:t xml:space="preserve">Corredor urbano este</w:t>
            </w:r>
          </w:p>
        </w:tc>
        <w:tc>
          <w:tcPr/>
          <w:p>
            <w:pPr>
              <w:pStyle w:val="Compact"/>
            </w:pPr>
            <w:r>
              <w:t xml:space="preserve">510,000</w:t>
            </w:r>
          </w:p>
        </w:tc>
        <w:tc>
          <w:tcPr/>
          <w:p>
            <w:pPr>
              <w:pStyle w:val="Compact"/>
            </w:pPr>
            <w:r>
              <w:t xml:space="preserve">44</w:t>
            </w:r>
          </w:p>
        </w:tc>
        <w:tc>
          <w:tcPr/>
          <w:p>
            <w:pPr>
              <w:pStyle w:val="Compact"/>
              <w:jc w:val="right"/>
            </w:pPr>
            <w:r>
              <w:t xml:space="preserve">9 minutos</w:t>
            </w:r>
          </w:p>
        </w:tc>
        <w:tc>
          <w:tcPr/>
          <w:p>
            <w:pPr>
              <w:pStyle w:val="Compact"/>
              <w:jc w:val="right"/>
            </w:pPr>
            <w:r>
              <w:t xml:space="preserve">6 días</w:t>
            </w:r>
          </w:p>
        </w:tc>
      </w:tr>
      <w:tr>
        <w:tc>
          <w:tcPr/>
          <w:p>
            <w:pPr>
              <w:pStyle w:val="Compact"/>
              <w:jc w:val="left"/>
            </w:pPr>
            <w:r>
              <w:t xml:space="preserve">Cinturón industrial norte</w:t>
            </w:r>
          </w:p>
        </w:tc>
        <w:tc>
          <w:tcPr/>
          <w:p>
            <w:pPr>
              <w:pStyle w:val="Compact"/>
            </w:pPr>
            <w:r>
              <w:t xml:space="preserve">430,000</w:t>
            </w:r>
          </w:p>
        </w:tc>
        <w:tc>
          <w:tcPr/>
          <w:p>
            <w:pPr>
              <w:pStyle w:val="Compact"/>
            </w:pPr>
            <w:r>
              <w:t xml:space="preserve">39</w:t>
            </w:r>
          </w:p>
        </w:tc>
        <w:tc>
          <w:tcPr/>
          <w:p>
            <w:pPr>
              <w:pStyle w:val="Compact"/>
              <w:jc w:val="right"/>
            </w:pPr>
            <w:r>
              <w:t xml:space="preserve">12 minutos</w:t>
            </w:r>
          </w:p>
        </w:tc>
        <w:tc>
          <w:tcPr/>
          <w:p>
            <w:pPr>
              <w:pStyle w:val="Compact"/>
              <w:jc w:val="right"/>
            </w:pPr>
            <w:r>
              <w:t xml:space="preserve">9 días</w:t>
            </w:r>
          </w:p>
        </w:tc>
      </w:tr>
      <w:tr>
        <w:tc>
          <w:tcPr/>
          <w:p>
            <w:pPr>
              <w:pStyle w:val="Compact"/>
              <w:jc w:val="left"/>
            </w:pPr>
            <w:r>
              <w:t xml:space="preserve">Condados rurales occidentales</w:t>
            </w:r>
          </w:p>
        </w:tc>
        <w:tc>
          <w:tcPr/>
          <w:p>
            <w:pPr>
              <w:pStyle w:val="Compact"/>
            </w:pPr>
            <w:r>
              <w:t xml:space="preserve">265,000</w:t>
            </w:r>
          </w:p>
        </w:tc>
        <w:tc>
          <w:tcPr/>
          <w:p>
            <w:pPr>
              <w:pStyle w:val="Compact"/>
            </w:pPr>
            <w:r>
              <w:t xml:space="preserve">36</w:t>
            </w:r>
          </w:p>
        </w:tc>
        <w:tc>
          <w:tcPr/>
          <w:p>
            <w:pPr>
              <w:pStyle w:val="Compact"/>
              <w:jc w:val="right"/>
            </w:pPr>
            <w:r>
              <w:t xml:space="preserve">24 minutos</w:t>
            </w:r>
          </w:p>
        </w:tc>
        <w:tc>
          <w:tcPr/>
          <w:p>
            <w:pPr>
              <w:pStyle w:val="Compact"/>
              <w:jc w:val="right"/>
            </w:pPr>
            <w:r>
              <w:t xml:space="preserve">3 días</w:t>
            </w:r>
          </w:p>
        </w:tc>
      </w:tr>
      <w:tr>
        <w:tc>
          <w:tcPr/>
          <w:p>
            <w:pPr>
              <w:pStyle w:val="Compact"/>
              <w:jc w:val="left"/>
            </w:pPr>
            <w:r>
              <w:t xml:space="preserve">Región montañosa y Tribal</w:t>
            </w:r>
          </w:p>
        </w:tc>
        <w:tc>
          <w:tcPr/>
          <w:p>
            <w:pPr>
              <w:pStyle w:val="Compact"/>
            </w:pPr>
            <w:r>
              <w:t xml:space="preserve">148,000</w:t>
            </w:r>
          </w:p>
        </w:tc>
        <w:tc>
          <w:tcPr/>
          <w:p>
            <w:pPr>
              <w:pStyle w:val="Compact"/>
            </w:pPr>
            <w:r>
              <w:t xml:space="preserve">47</w:t>
            </w:r>
          </w:p>
        </w:tc>
        <w:tc>
          <w:tcPr/>
          <w:p>
            <w:pPr>
              <w:pStyle w:val="Compact"/>
              <w:jc w:val="right"/>
            </w:pPr>
            <w:r>
              <w:t xml:space="preserve">31 minutos</w:t>
            </w:r>
          </w:p>
        </w:tc>
        <w:tc>
          <w:tcPr/>
          <w:p>
            <w:pPr>
              <w:pStyle w:val="Compact"/>
              <w:jc w:val="right"/>
            </w:pPr>
            <w:r>
              <w:t xml:space="preserve">5 días</w:t>
            </w:r>
          </w:p>
        </w:tc>
      </w:tr>
      <w:tr>
        <w:tc>
          <w:tcPr/>
          <w:p>
            <w:pPr>
              <w:pStyle w:val="Compact"/>
              <w:jc w:val="left"/>
            </w:pPr>
            <w:r>
              <w:t xml:space="preserve">Suburbios del sur</w:t>
            </w:r>
          </w:p>
        </w:tc>
        <w:tc>
          <w:tcPr/>
          <w:p>
            <w:pPr>
              <w:pStyle w:val="Compact"/>
            </w:pPr>
            <w:r>
              <w:t xml:space="preserve">620,000</w:t>
            </w:r>
          </w:p>
        </w:tc>
        <w:tc>
          <w:tcPr/>
          <w:p>
            <w:pPr>
              <w:pStyle w:val="Compact"/>
            </w:pPr>
            <w:r>
              <w:t xml:space="preserve">18</w:t>
            </w:r>
          </w:p>
        </w:tc>
        <w:tc>
          <w:tcPr/>
          <w:p>
            <w:pPr>
              <w:pStyle w:val="Compact"/>
              <w:jc w:val="right"/>
            </w:pPr>
            <w:r>
              <w:t xml:space="preserve">10 minutos</w:t>
            </w:r>
          </w:p>
        </w:tc>
        <w:tc>
          <w:tcPr/>
          <w:p>
            <w:pPr>
              <w:pStyle w:val="Compact"/>
              <w:jc w:val="right"/>
            </w:pPr>
            <w:r>
              <w:t xml:space="preserve">34 días</w:t>
            </w:r>
          </w:p>
        </w:tc>
      </w:tr>
    </w:tbl>
    <w:p>
      <w:pPr>
        <w:pStyle w:val="BodyText"/>
      </w:pPr>
      <w:r>
        <w:t xml:space="preserve">El equipo de epidemiología propuso asignar kits según las muertes recientes por sobredosis, las respuestas de EMS no fatales y la población. El personal de salud rural objetó que los conteos oficiales tenían retraso y que los largos tiempos de viaje hacían especialmente importante la posesión comunitaria. La coalición de reducción de daños de la capital argumentó que los programas de alto volumen no deberían ser penalizados por haber ya distribuido su inventario. Un condado suburbano ofreció devolver 2,000 kits, pero solo si el estado garantizaba su reemplazo dentro de sesenta días.</w:t>
      </w:r>
    </w:p>
    <w:bookmarkEnd w:id="14"/>
    <w:bookmarkEnd w:id="15"/>
    <w:bookmarkStart w:id="16" w:name="capacitación-conciencia-y-confianza"/>
    <w:p>
      <w:pPr>
        <w:pStyle w:val="Heading1"/>
      </w:pPr>
      <w:r>
        <w:t xml:space="preserve">Capacitación, Conciencia y Confianza</w:t>
      </w:r>
    </w:p>
    <w:p>
      <w:pPr>
        <w:pStyle w:val="FirstParagraph"/>
      </w:pPr>
      <w:r>
        <w:t xml:space="preserve">La posesión no aseguraba el uso. Algunos receptores se preocupaban de que administrar naloxona enojaría a la persona reanimada. Otros temían la implicación policial o no reconocían la respiración lenta como una sobredosis. Los nuevos contaminantes podían producir síntomas que la naloxona no revertiría completamente, incluso cuando también estuvieran presentes opioides. Los funcionarios de salud enfatizaron que dosis adicionales y atención médica de emergencia podrían seguir siendo necesarias.</w:t>
      </w:r>
    </w:p>
    <w:p>
      <w:pPr>
        <w:pStyle w:val="BodyText"/>
      </w:pPr>
      <w:r>
        <w:t xml:space="preserve">La capacitación estándar de Bellwether duraba cuarenta y cinco minutos. Los socios de extensión comunitaria dijeron que podían distribuir más kits usando una demostración de diez minutos y una tarjeta con un código QR. El director médico prefería una capacitación más larga que cubriera la respiración de rescate, la dosificación repetida y la llamada al 911. La unidad de comunicaciones propuso una campaña publicitaria a nivel estatal, mientras que los socios de condado querían fondos para educadores comunitarios locales en quienes confiaran las personas que usaban drogas.</w:t>
      </w:r>
    </w:p>
    <w:bookmarkEnd w:id="16"/>
    <w:bookmarkStart w:id="18" w:name="la-restricción-de-financiamiento"/>
    <w:p>
      <w:pPr>
        <w:pStyle w:val="Heading1"/>
      </w:pPr>
      <w:r>
        <w:t xml:space="preserve">La Restricción de Financiamiento</w:t>
      </w:r>
    </w:p>
    <w:p>
      <w:pPr>
        <w:pStyle w:val="FirstParagraph"/>
      </w:pPr>
      <w:r>
        <w:t xml:space="preserve">El programa federal de Respuesta Estatal a Opioides seguía siendo la mayor fuente externa que apoyaba el trabajo de sobredosis de Bellwether. Las adjudicaciones nacionales de continuación anunciadas en septiembre de 2025 incluyeron $1.48 mil millones para la respuesta estatal a opioides y casi $63 millones para la respuesta Tribal a opioides. La adjudicación de Bellwether apoyaba naloxona, tratamiento, prevención, reducción de daños y servicios de recuperación, pero los gastos tenían que ajustarse al plan aprobado y a las categorías de reporte.</w:t>
      </w:r>
    </w:p>
    <w:p>
      <w:pPr>
        <w:pStyle w:val="BodyText"/>
      </w:pPr>
      <w:r>
        <w:t xml:space="preserve">La legislatura estatal financiaba al personal del almacén, la adquisición y partes del sistema de datos. Los fondos del acuerdo de opioides apoyaban varios programas de condado, pero los usos permitidos y los calendarios de aprobación diferían. Una fundación hospitalaria ofreció $1 millón para distribución en farmacias y educación pública, pero no para programas de intercambio de jeringas. Otro donante apoyaría la extensión móvil rural solo si el estado documentaba el número de personas capacitadas y kits entregados directamente a residentes.</w:t>
      </w:r>
    </w:p>
    <w:bookmarkStart w:id="17" w:name="Xd209ed2232a03b80eee5a8775881bc43ba76c07"/>
    <w:p>
      <w:pPr>
        <w:pStyle w:val="Heading2"/>
      </w:pPr>
      <w:r>
        <w:t xml:space="preserve">Exhibit 4. Financiamiento de Prevención de Sobredosis Bajo Revisión</w:t>
      </w:r>
    </w:p>
    <w:tbl>
      <w:tblPr>
        <w:tblStyle w:val="Table"/>
        <w:tblW w:type="pct" w:w="4928"/>
        <w:tblLayout w:type="fixed"/>
        <w:tblLook w:firstRow="1" w:lastRow="0" w:firstColumn="0" w:lastColumn="0" w:noHBand="0" w:noVBand="0" w:val="0020"/>
      </w:tblPr>
      <w:tblGrid>
        <w:gridCol w:w="2108"/>
        <w:gridCol w:w="1025"/>
        <w:gridCol w:w="4672"/>
      </w:tblGrid>
      <w:tr>
        <w:trPr>
          <w:tblHeader w:val="on"/>
        </w:trPr>
        <w:tc>
          <w:tcPr/>
          <w:p>
            <w:pPr>
              <w:pStyle w:val="Compact"/>
              <w:jc w:val="left"/>
            </w:pPr>
            <w:r>
              <w:t xml:space="preserve">Fuente</w:t>
            </w:r>
          </w:p>
        </w:tc>
        <w:tc>
          <w:tcPr/>
          <w:p>
            <w:pPr>
              <w:pStyle w:val="Compact"/>
              <w:jc w:val="left"/>
            </w:pPr>
            <w:r>
              <w:t xml:space="preserve">Monto esperado</w:t>
            </w:r>
          </w:p>
        </w:tc>
        <w:tc>
          <w:tcPr/>
          <w:p>
            <w:pPr>
              <w:pStyle w:val="Compact"/>
              <w:jc w:val="left"/>
            </w:pPr>
            <w:r>
              <w:t xml:space="preserve">Momento / restricción</w:t>
            </w:r>
          </w:p>
        </w:tc>
      </w:tr>
      <w:tr>
        <w:tc>
          <w:tcPr/>
          <w:p>
            <w:pPr>
              <w:pStyle w:val="Compact"/>
              <w:jc w:val="left"/>
            </w:pPr>
            <w:r>
              <w:t xml:space="preserve">Subvención federal de respuesta a opi</w:t>
            </w:r>
          </w:p>
        </w:tc>
        <w:tc>
          <w:tcPr/>
          <w:p>
            <w:pPr>
              <w:pStyle w:val="Compact"/>
              <w:jc w:val="left"/>
            </w:pPr>
            <w:r>
              <w:t xml:space="preserve">oides $28.4 mill</w:t>
            </w:r>
          </w:p>
        </w:tc>
        <w:tc>
          <w:tcPr/>
          <w:p>
            <w:pPr>
              <w:pStyle w:val="Compact"/>
              <w:jc w:val="left"/>
            </w:pPr>
            <w:r>
              <w:t xml:space="preserve">ones Adjudicación anual; plan aprobado de prevención, tratamiento, reducción de daños y recuperación</w:t>
            </w:r>
          </w:p>
        </w:tc>
      </w:tr>
      <w:tr>
        <w:tc>
          <w:tcPr/>
          <w:p>
            <w:pPr>
              <w:pStyle w:val="Compact"/>
              <w:jc w:val="left"/>
            </w:pPr>
            <w:r>
              <w:t xml:space="preserve">Fondo general estatal</w:t>
            </w:r>
          </w:p>
        </w:tc>
        <w:tc>
          <w:tcPr/>
          <w:p>
            <w:pPr>
              <w:pStyle w:val="Compact"/>
              <w:jc w:val="left"/>
            </w:pPr>
            <w:r>
              <w:t xml:space="preserve">$9.6 millones</w:t>
            </w:r>
          </w:p>
        </w:tc>
        <w:tc>
          <w:tcPr/>
          <w:p>
            <w:pPr>
              <w:pStyle w:val="Compact"/>
              <w:jc w:val="left"/>
            </w:pPr>
            <w:r>
              <w:t xml:space="preserve">Financiamiento puente de tres meses promulgado; el resto sujeto a negociaciones presupuestarias</w:t>
            </w:r>
          </w:p>
        </w:tc>
      </w:tr>
      <w:tr>
        <w:tc>
          <w:tcPr/>
          <w:p>
            <w:pPr>
              <w:pStyle w:val="Compact"/>
              <w:jc w:val="left"/>
            </w:pPr>
            <w:r>
              <w:t xml:space="preserve">Asignaciones del acuerdo de opioides</w:t>
            </w:r>
          </w:p>
        </w:tc>
        <w:tc>
          <w:tcPr/>
          <w:p>
            <w:pPr>
              <w:pStyle w:val="Compact"/>
              <w:jc w:val="left"/>
            </w:pPr>
            <w:r>
              <w:t xml:space="preserve">$7.8 millones</w:t>
            </w:r>
          </w:p>
        </w:tc>
        <w:tc>
          <w:tcPr/>
          <w:p>
            <w:pPr>
              <w:pStyle w:val="Compact"/>
              <w:jc w:val="left"/>
            </w:pPr>
            <w:r>
              <w:t xml:space="preserve">Aprobaciones de condado y estado; plurianual pero con calendarios de liberación desiguales</w:t>
            </w:r>
          </w:p>
        </w:tc>
      </w:tr>
      <w:tr>
        <w:tc>
          <w:tcPr/>
          <w:p>
            <w:pPr>
              <w:pStyle w:val="Compact"/>
              <w:jc w:val="left"/>
            </w:pPr>
            <w:r>
              <w:t xml:space="preserve">Fundación hospitalaria</w:t>
            </w:r>
          </w:p>
        </w:tc>
        <w:tc>
          <w:tcPr/>
          <w:p>
            <w:pPr>
              <w:pStyle w:val="Compact"/>
              <w:jc w:val="left"/>
            </w:pPr>
            <w:r>
              <w:t xml:space="preserve">$1.0 millón</w:t>
            </w:r>
          </w:p>
        </w:tc>
        <w:tc>
          <w:tcPr/>
          <w:p>
            <w:pPr>
              <w:pStyle w:val="Compact"/>
              <w:jc w:val="left"/>
            </w:pPr>
            <w:r>
              <w:t xml:space="preserve">Solo acceso en farmacias y educación pública</w:t>
            </w:r>
          </w:p>
        </w:tc>
      </w:tr>
      <w:tr>
        <w:tc>
          <w:tcPr/>
          <w:p>
            <w:pPr>
              <w:pStyle w:val="Compact"/>
              <w:jc w:val="left"/>
            </w:pPr>
            <w:r>
              <w:t xml:space="preserve">Colaborativa de donantes rurales</w:t>
            </w:r>
          </w:p>
        </w:tc>
        <w:tc>
          <w:tcPr/>
          <w:p>
            <w:pPr>
              <w:pStyle w:val="Compact"/>
              <w:jc w:val="left"/>
            </w:pPr>
            <w:r>
              <w:t xml:space="preserve">$0.7 millones</w:t>
            </w:r>
          </w:p>
        </w:tc>
        <w:tc>
          <w:tcPr/>
          <w:p>
            <w:pPr>
              <w:pStyle w:val="Compact"/>
              <w:jc w:val="left"/>
            </w:pPr>
            <w:r>
              <w:t xml:space="preserve">Extensión móvil; requiere reporte de actividad a nivel de persona</w:t>
            </w:r>
          </w:p>
        </w:tc>
      </w:tr>
      <w:tr>
        <w:tc>
          <w:tcPr/>
          <w:p>
            <w:pPr>
              <w:pStyle w:val="Compact"/>
              <w:jc w:val="left"/>
            </w:pPr>
            <w:r>
              <w:t xml:space="preserve">Reembolso de Medicaid y aseguradoras</w:t>
            </w:r>
          </w:p>
        </w:tc>
        <w:tc>
          <w:tcPr/>
          <w:p>
            <w:pPr>
              <w:pStyle w:val="Compact"/>
              <w:jc w:val="left"/>
            </w:pPr>
            <w:r>
              <w:t xml:space="preserve">$2.3 millones</w:t>
            </w:r>
          </w:p>
        </w:tc>
        <w:tc>
          <w:tcPr/>
          <w:p>
            <w:pPr>
              <w:pStyle w:val="Compact"/>
              <w:jc w:val="left"/>
            </w:pPr>
            <w:r>
              <w:t xml:space="preserve">Principalmente servicios de tratamiento; apoyo limitado para distribución comunitaria</w:t>
            </w:r>
          </w:p>
        </w:tc>
      </w:tr>
    </w:tbl>
    <w:p>
      <w:pPr>
        <w:pStyle w:val="BodyText"/>
      </w:pPr>
      <w:r>
        <w:t xml:space="preserve">El personal de finanzas estimó que los 36,000 kits, los materiales de capacitación, el flete y el manejo costarían $1.34 millones. La agencia podía gastar $410,000 adicionales en capacitación y comunicaciones antes de fin de trimestre. Financiar más educadores comunitarios reduciría el monto disponible para publicidad y recolección de datos. Reservar kits para emergencias futuras protegería contra un incremento repentino, pero dejaría insatisfechas las solicitudes actuales.</w:t>
      </w:r>
    </w:p>
    <w:bookmarkEnd w:id="17"/>
    <w:bookmarkEnd w:id="18"/>
    <w:bookmarkStart w:id="20" w:name="cuatro-propuestas"/>
    <w:p>
      <w:pPr>
        <w:pStyle w:val="Heading1"/>
      </w:pPr>
      <w:r>
        <w:t xml:space="preserve">Cuatro Propuestas</w:t>
      </w:r>
    </w:p>
    <w:p>
      <w:pPr>
        <w:pStyle w:val="FirstParagraph"/>
      </w:pPr>
      <w:r>
        <w:t xml:space="preserve">Para el viernes por la tarde, el equipo de Ortiz había desarrollado cuatro propuestas, ninguna de las cuales atendía todas las preocupaciones.</w:t>
      </w:r>
    </w:p>
    <w:p>
      <w:pPr>
        <w:pStyle w:val="BodyText"/>
      </w:pPr>
      <w:r>
        <w:t xml:space="preserve">Propuesta A: Seguir la carga actual. Asignar la mayoría de los kits a condados y organizaciones con los mayores conteos recientes de sobredosis y las tasas de distribución más rápidas. El enfoque pondría los kits en circulación rápidamente, pero podría reforzar las ventajas geográficas y organizativas existentes.</w:t>
      </w:r>
    </w:p>
    <w:p>
      <w:pPr>
        <w:pStyle w:val="BodyText"/>
      </w:pPr>
      <w:r>
        <w:t xml:space="preserve">Propuesta B: Proteger las brechas de acceso. Dar prioridad a condados rurales, programas Tribales, cárceles, refugios y otros lugares donde la respuesta de EMS fuera lenta o las personas tuvieran pocas alternativas. El plan podría mejorar la equidad y la disponibilidad, pero algunos receptores tenían capacidad limitada para capacitar, distribuir y reportar el uso.</w:t>
      </w:r>
    </w:p>
    <w:p>
      <w:pPr>
        <w:pStyle w:val="BodyText"/>
      </w:pPr>
      <w:r>
        <w:t xml:space="preserve">Propuesta C: Construir una reserva de respuesta rápida. Distribuir 27,000 kits de inmediato y retener 9,000 para desabastecimientos de condado, puntos críticos emergentes, grandes eventos públicos y cambios en el suministro de drogas. Los socios argumentaron que los kits en un almacén no podían revertir una sobredosis; Ortiz se preocupaba de que distribuir todo dejaría al estado incapaz de responder a nueva información.</w:t>
      </w:r>
    </w:p>
    <w:p>
      <w:pPr>
        <w:pStyle w:val="BodyText"/>
      </w:pPr>
      <w:r>
        <w:t xml:space="preserve">Propuesta D: Vincular los kits al aprendizaje. Exigir a los socios seleccionados que registren el entorno de distribución, el tipo de receptor, el método de capacitación, la solicitud de reabastecimiento y el uso reportado. El estado compararía enfoques y desplazaría los envíos posteriores hacia los que parecieran más efectivos. Las organizaciones pequeñas advirtieron que el aumento en la elaboración de reportes podría ralentizar la distribución, desalentar a receptores anónimos y favorecer a programas con mejores sistemas administrativos en lugar de mejor acceso.</w:t>
      </w:r>
    </w:p>
    <w:bookmarkStart w:id="19" w:name="Xab0a5d1e3e3f16ebd891fe7f9564f48b0829df6"/>
    <w:p>
      <w:pPr>
        <w:pStyle w:val="Heading2"/>
      </w:pPr>
      <w:r>
        <w:t xml:space="preserve">Exhibit 5. Consecuencias de Planificación de Asignaciones Alternativas</w:t>
      </w:r>
    </w:p>
    <w:tbl>
      <w:tblPr>
        <w:tblStyle w:val="Table"/>
        <w:tblW w:type="pct" w:w="4923"/>
        <w:tblLayout w:type="fixed"/>
        <w:tblLook w:firstRow="1" w:lastRow="0" w:firstColumn="0" w:lastColumn="0" w:noHBand="0" w:noVBand="0" w:val="0020"/>
      </w:tblPr>
      <w:tblGrid>
        <w:gridCol w:w="1523"/>
        <w:gridCol w:w="1401"/>
        <w:gridCol w:w="609"/>
        <w:gridCol w:w="1644"/>
        <w:gridCol w:w="2619"/>
      </w:tblGrid>
      <w:tr>
        <w:trPr>
          <w:tblHeader w:val="on"/>
        </w:trPr>
        <w:tc>
          <w:tcPr/>
          <w:p>
            <w:pPr>
              <w:pStyle w:val="Compact"/>
              <w:jc w:val="left"/>
            </w:pPr>
            <w:r>
              <w:t xml:space="preserve">Plan</w:t>
            </w:r>
          </w:p>
        </w:tc>
        <w:tc>
          <w:tcPr/>
          <w:p>
            <w:pPr>
              <w:pStyle w:val="Compact"/>
            </w:pPr>
            <w:r>
              <w:t xml:space="preserve">Kits distribuidos ahora</w:t>
            </w:r>
          </w:p>
        </w:tc>
        <w:tc>
          <w:tcPr/>
          <w:p>
            <w:pPr>
              <w:pStyle w:val="Compact"/>
              <w:jc w:val="right"/>
            </w:pPr>
            <w:r>
              <w:t xml:space="preserve">Reserva</w:t>
            </w:r>
          </w:p>
        </w:tc>
        <w:tc>
          <w:tcPr/>
          <w:p>
            <w:pPr>
              <w:pStyle w:val="Compact"/>
              <w:jc w:val="right"/>
            </w:pPr>
            <w:r>
              <w:t xml:space="preserve">Gasto en capacitación /</w:t>
            </w:r>
          </w:p>
        </w:tc>
        <w:tc>
          <w:tcPr/>
          <w:p>
            <w:pPr>
              <w:pStyle w:val="Compact"/>
              <w:jc w:val="left"/>
            </w:pPr>
            <w:r>
              <w:t xml:space="preserve">datos Exposición principal</w:t>
            </w:r>
          </w:p>
        </w:tc>
      </w:tr>
      <w:tr>
        <w:tc>
          <w:tcPr/>
          <w:p>
            <w:pPr>
              <w:pStyle w:val="Compact"/>
              <w:jc w:val="left"/>
            </w:pPr>
            <w:r>
              <w:t xml:space="preserve">A. Carga actual</w:t>
            </w:r>
          </w:p>
        </w:tc>
        <w:tc>
          <w:tcPr/>
          <w:p>
            <w:pPr>
              <w:pStyle w:val="Compact"/>
            </w:pPr>
            <w:r>
              <w:t xml:space="preserve">34,000</w:t>
            </w:r>
          </w:p>
        </w:tc>
        <w:tc>
          <w:tcPr/>
          <w:p>
            <w:pPr>
              <w:pStyle w:val="Compact"/>
              <w:jc w:val="right"/>
            </w:pPr>
            <w:r>
              <w:t xml:space="preserve">2,000</w:t>
            </w:r>
          </w:p>
        </w:tc>
        <w:tc>
          <w:tcPr/>
          <w:p>
            <w:pPr>
              <w:pStyle w:val="Compact"/>
              <w:jc w:val="right"/>
            </w:pPr>
            <w:r>
              <w:t xml:space="preserve">$260,000</w:t>
            </w:r>
          </w:p>
        </w:tc>
        <w:tc>
          <w:tcPr/>
          <w:p>
            <w:pPr>
              <w:pStyle w:val="Compact"/>
              <w:jc w:val="left"/>
            </w:pPr>
            <w:r>
              <w:t xml:space="preserve">Necesidades rurales y emergentes no atendidas</w:t>
            </w:r>
          </w:p>
        </w:tc>
      </w:tr>
      <w:tr>
        <w:tc>
          <w:tcPr/>
          <w:p>
            <w:pPr>
              <w:pStyle w:val="Compact"/>
              <w:jc w:val="left"/>
            </w:pPr>
            <w:r>
              <w:t xml:space="preserve">B. Brechas de acceso</w:t>
            </w:r>
          </w:p>
        </w:tc>
        <w:tc>
          <w:tcPr/>
          <w:p>
            <w:pPr>
              <w:pStyle w:val="Compact"/>
            </w:pPr>
            <w:r>
              <w:t xml:space="preserve">33,000</w:t>
            </w:r>
          </w:p>
        </w:tc>
        <w:tc>
          <w:tcPr/>
          <w:p>
            <w:pPr>
              <w:pStyle w:val="Compact"/>
              <w:jc w:val="right"/>
            </w:pPr>
            <w:r>
              <w:t xml:space="preserve">3,000</w:t>
            </w:r>
          </w:p>
        </w:tc>
        <w:tc>
          <w:tcPr/>
          <w:p>
            <w:pPr>
              <w:pStyle w:val="Compact"/>
              <w:jc w:val="right"/>
            </w:pPr>
            <w:r>
              <w:t xml:space="preserve">$330,000</w:t>
            </w:r>
          </w:p>
        </w:tc>
        <w:tc>
          <w:tcPr/>
          <w:p>
            <w:pPr>
              <w:pStyle w:val="Compact"/>
              <w:jc w:val="left"/>
            </w:pPr>
            <w:r>
              <w:t xml:space="preserve">Distribución más lenta y reporte más débil</w:t>
            </w:r>
          </w:p>
        </w:tc>
      </w:tr>
      <w:tr>
        <w:tc>
          <w:tcPr/>
          <w:p>
            <w:pPr>
              <w:pStyle w:val="Compact"/>
              <w:jc w:val="left"/>
            </w:pPr>
            <w:r>
              <w:t xml:space="preserve">C. Reserva de respuesta r</w:t>
            </w:r>
          </w:p>
        </w:tc>
        <w:tc>
          <w:tcPr/>
          <w:p>
            <w:pPr>
              <w:pStyle w:val="Compact"/>
            </w:pPr>
            <w:r>
              <w:t xml:space="preserve">ápida 27,000</w:t>
            </w:r>
          </w:p>
        </w:tc>
        <w:tc>
          <w:tcPr/>
          <w:p>
            <w:pPr>
              <w:pStyle w:val="Compact"/>
              <w:jc w:val="right"/>
            </w:pPr>
            <w:r>
              <w:t xml:space="preserve">9,0</w:t>
            </w:r>
          </w:p>
        </w:tc>
        <w:tc>
          <w:tcPr/>
          <w:p>
            <w:pPr>
              <w:pStyle w:val="Compact"/>
              <w:jc w:val="right"/>
            </w:pPr>
            <w:r>
              <w:t xml:space="preserve">00 $240,000</w:t>
            </w:r>
          </w:p>
        </w:tc>
        <w:tc>
          <w:tcPr/>
          <w:p>
            <w:pPr>
              <w:pStyle w:val="Compact"/>
              <w:jc w:val="left"/>
            </w:pPr>
            <w:r>
              <w:t xml:space="preserve">Inventario retenido mientras los socios racionan</w:t>
            </w:r>
          </w:p>
        </w:tc>
      </w:tr>
      <w:tr>
        <w:tc>
          <w:tcPr/>
          <w:p>
            <w:pPr>
              <w:pStyle w:val="Compact"/>
              <w:jc w:val="left"/>
            </w:pPr>
            <w:r>
              <w:t xml:space="preserve">D. Asignación de aprendiz</w:t>
            </w:r>
          </w:p>
        </w:tc>
        <w:tc>
          <w:tcPr/>
          <w:p>
            <w:pPr>
              <w:pStyle w:val="Compact"/>
            </w:pPr>
            <w:r>
              <w:t xml:space="preserve">aje 31,000</w:t>
            </w:r>
          </w:p>
        </w:tc>
        <w:tc>
          <w:tcPr/>
          <w:p>
            <w:pPr>
              <w:pStyle w:val="Compact"/>
              <w:jc w:val="right"/>
            </w:pPr>
            <w:r>
              <w:t xml:space="preserve">5,000</w:t>
            </w:r>
          </w:p>
        </w:tc>
        <w:tc>
          <w:tcPr/>
          <w:p>
            <w:pPr>
              <w:pStyle w:val="Compact"/>
              <w:jc w:val="right"/>
            </w:pPr>
            <w:r>
              <w:t xml:space="preserve">$410,000</w:t>
            </w:r>
          </w:p>
        </w:tc>
        <w:tc>
          <w:tcPr/>
          <w:p>
            <w:pPr>
              <w:pStyle w:val="Compact"/>
              <w:jc w:val="left"/>
            </w:pPr>
            <w:r>
              <w:t xml:space="preserve">Carga administrativa y sesgo de selección</w:t>
            </w:r>
          </w:p>
        </w:tc>
      </w:tr>
    </w:tbl>
    <w:p>
      <w:pPr>
        <w:pStyle w:val="BodyText"/>
      </w:pPr>
      <w:r>
        <w:t xml:space="preserve">La tabla no estimaba vidas salvadas. El equipo carecía de una conversión defendible de kits distribuidos a kits llevados, sobredosis presenciadas, dosis administradas, supervivencia, transporte evitado, o costo hospitalario reducido. Incluso la supervivencia tras la administración no podía atribuirse completamente al kit, porque la respuesta de EMS, la respiración de rescate, las sustancias involucradas, la dosificación, el momento y la salud de la persona importaban todos.</w:t>
      </w:r>
    </w:p>
    <w:bookmarkEnd w:id="19"/>
    <w:bookmarkEnd w:id="20"/>
    <w:bookmarkStart w:id="21" w:name="lunes-por-la-mañana"/>
    <w:p>
      <w:pPr>
        <w:pStyle w:val="Heading1"/>
      </w:pPr>
      <w:r>
        <w:t xml:space="preserve">Lunes por la Mañana</w:t>
      </w:r>
    </w:p>
    <w:p>
      <w:pPr>
        <w:pStyle w:val="FirstParagraph"/>
      </w:pPr>
      <w:r>
        <w:t xml:space="preserve">Durante el fin de semana, el Corredor Urbano Este reportó nueve sobredosis sospechadas en cuarenta y ocho horas, incluyendo dos muertes. La confirmación toxicológica tomaría semanas. Un condado occidental anunció que su única enfermera de reducción de daños estaba renunciando. Los suburbios del sur ofrecieron prestar inventario, pero solicitaron reembolso por tiempo de personal y envío. Un director de salud Tribal pidió a Ortiz que se saltara la fórmula de asignación del condado y enviara kits directamente a tres ubicaciones comunitarias antes de un próximo festival.</w:t>
      </w:r>
    </w:p>
    <w:p>
      <w:pPr>
        <w:pStyle w:val="BodyText"/>
      </w:pPr>
      <w:r>
        <w:t xml:space="preserve">Ortiz ahora tenía que determinar no solo a dónde irían los 36,000 kits, sino qué condiciones justificarían cambiar el plan. Podía usar muertes reportadas, llamadas de EMS, niveles de existencias de los socios, nuevos contaminantes, agrupaciones inusualmente grandes, o evidencia de que los kits no estaban llegando a personas con probabilidad de presenciar una sobredosis. Cada señal tenía retrasos y vacíos. Cada reasignación arriesgaba parecer política a una organización que perdiera suministro.</w:t>
      </w:r>
    </w:p>
    <w:p>
      <w:pPr>
        <w:pStyle w:val="BodyText"/>
      </w:pPr>
      <w:r>
        <w:t xml:space="preserve">A las 10:30 del lunes, el comisionado de salud pediría una recomendación. Ortiz necesitaba explicar cómo la asignación protegería la vida, contendría el costo público, llegaría a comunidades desatendidas y seguiría siendo factible para organizaciones con personal limitado. También necesitaba decir cuánta información debería exigir el departamento a los socios cuando el anonimato y la confianza eran parte del servicio que se prestaba.</w:t>
      </w:r>
    </w:p>
    <w:p>
      <w:pPr>
        <w:pStyle w:val="BodyText"/>
      </w:pPr>
      <w:r>
        <w:t xml:space="preserve">El envío era lo suficientemente grande como para importar y demasiado pequeño para satisfacer cada solicitud. El estado podía contar las cajas que salían del almacén. No podía contar fácilmente si la naloxona estaría presente en el lugar correcto, si alguien reconocería la sobredosis, si la administraría, o si el próximo envío llegaría antes de que se agotaran los suministros locales.</w:t>
      </w:r>
    </w:p>
    <w:bookmarkEnd w:id="21"/>
    <w:bookmarkStart w:id="22" w:name="preguntas-de-discusión"/>
    <w:p>
      <w:pPr>
        <w:pStyle w:val="Heading1"/>
      </w:pPr>
      <w:r>
        <w:t xml:space="preserve">Preguntas de Discusión</w:t>
      </w:r>
    </w:p>
    <w:p>
      <w:pPr>
        <w:numPr>
          <w:ilvl w:val="0"/>
          <w:numId w:val="1001"/>
        </w:numPr>
      </w:pPr>
      <w:r>
        <w:t xml:space="preserve">¿Cuál es el problema central que enfrenta Ortiz y el Departamento de Salud de Bellwether?</w:t>
      </w:r>
    </w:p>
    <w:p>
      <w:pPr>
        <w:numPr>
          <w:ilvl w:val="0"/>
          <w:numId w:val="1001"/>
        </w:numPr>
      </w:pPr>
      <w:r>
        <w:t xml:space="preserve">¿Qué información en los exhibits debería tener más peso al asignar los 36,000 kits?</w:t>
      </w:r>
    </w:p>
    <w:p>
      <w:pPr>
        <w:numPr>
          <w:ilvl w:val="0"/>
          <w:numId w:val="1001"/>
        </w:numPr>
      </w:pPr>
      <w:r>
        <w:t xml:space="preserve">¿Cómo debería el estado equilibrar los programas urbanos de alto volumen frente a las comunidades rurales y Tribales con tiempos de respuesta de emergencia más largos?</w:t>
      </w:r>
    </w:p>
    <w:p>
      <w:pPr>
        <w:numPr>
          <w:ilvl w:val="0"/>
          <w:numId w:val="1001"/>
        </w:numPr>
      </w:pPr>
      <w:r>
        <w:t xml:space="preserve">¿Debería Bellwether mantener una reserva central? ¿Qué debería desencadenar su liberación?</w:t>
      </w:r>
    </w:p>
    <w:p>
      <w:pPr>
        <w:numPr>
          <w:ilvl w:val="0"/>
          <w:numId w:val="1001"/>
        </w:numPr>
      </w:pPr>
      <w:r>
        <w:t xml:space="preserve">¿Cómo deberían dividirse los kits entre organizaciones de reducción de daños, primeros respondientes, proveedores de tratamiento, farmacias, cárceles y otras organizaciones comunitarias?</w:t>
      </w:r>
    </w:p>
    <w:p>
      <w:pPr>
        <w:numPr>
          <w:ilvl w:val="0"/>
          <w:numId w:val="1001"/>
        </w:numPr>
      </w:pPr>
      <w:r>
        <w:t xml:space="preserve">¿Cuánta capacitación debería acompañar a la distribución, y quién debería recibirla?</w:t>
      </w:r>
    </w:p>
    <w:p>
      <w:pPr>
        <w:numPr>
          <w:ilvl w:val="0"/>
          <w:numId w:val="1001"/>
        </w:numPr>
      </w:pPr>
      <w:r>
        <w:t xml:space="preserve">¿Qué información deberían estar obligados a reportar los socios? ¿Cuándo podrían los requisitos de reporte reducir el acceso o la confianza?</w:t>
      </w:r>
    </w:p>
    <w:p>
      <w:pPr>
        <w:numPr>
          <w:ilvl w:val="0"/>
          <w:numId w:val="1001"/>
        </w:numPr>
      </w:pPr>
      <w:r>
        <w:t xml:space="preserve">¿Cómo debería afectar el cambiante suministro ilegal de drogas al plan de asignación y comunicación del estado?</w:t>
      </w:r>
    </w:p>
    <w:p>
      <w:pPr>
        <w:numPr>
          <w:ilvl w:val="0"/>
          <w:numId w:val="1001"/>
        </w:numPr>
      </w:pPr>
      <w:r>
        <w:t xml:space="preserve">¿Cómo deberían las restricciones adjuntas al financiamiento federal, estatal, de acuerdos y de donantes moldear el plan operativo?</w:t>
      </w:r>
    </w:p>
    <w:p>
      <w:pPr>
        <w:numPr>
          <w:ilvl w:val="0"/>
          <w:numId w:val="1001"/>
        </w:numPr>
      </w:pPr>
      <w:r>
        <w:t xml:space="preserve">¿Qué evidencia después de tres o seis meses indicaría que la asignación debería continuarse, expandirse o rediseñarse?</w:t>
      </w:r>
    </w:p>
    <w:bookmarkEnd w:id="22"/>
    <w:bookmarkStart w:id="28" w:name="preguntas-de-encuadre-de-decisión"/>
    <w:p>
      <w:pPr>
        <w:pStyle w:val="Heading1"/>
      </w:pPr>
      <w:r>
        <w:t xml:space="preserve">Preguntas de Encuadre de Decisión</w:t>
      </w:r>
    </w:p>
    <w:p>
      <w:pPr>
        <w:numPr>
          <w:ilvl w:val="0"/>
          <w:numId w:val="1002"/>
        </w:numPr>
      </w:pPr>
      <w:r>
        <w:t xml:space="preserve">Identifique y describa las responsabilidades del tomador de decisiones. Esto debería establecer el alcance del problema.</w:t>
      </w:r>
    </w:p>
    <w:p>
      <w:pPr>
        <w:numPr>
          <w:ilvl w:val="0"/>
          <w:numId w:val="1002"/>
        </w:numPr>
      </w:pPr>
      <w:r>
        <w:t xml:space="preserve">Use la</w:t>
      </w:r>
      <w:r>
        <w:t xml:space="preserve"> </w:t>
      </w:r>
      <w:hyperlink r:id="rId23">
        <w:r>
          <w:rPr>
            <w:rStyle w:val="Hyperlink"/>
          </w:rPr>
          <w:t xml:space="preserve">herramienta de pirámide de métricas</w:t>
        </w:r>
      </w:hyperlink>
      <w:r>
        <w:t xml:space="preserve"> </w:t>
      </w:r>
      <w:r>
        <w:t xml:space="preserve">para identificar y priorizar las diferentes métricas de desempeño. Haga clic en el óvalo que contiene la métrica para identificar si es una métrica a maximizar (verde), minimizar (rojo), un objetivo que es un piso (verde claro) o un techo (rojo claro), o finalmente un objetivo (púrpura).</w:t>
      </w:r>
    </w:p>
    <w:p>
      <w:pPr>
        <w:numPr>
          <w:ilvl w:val="0"/>
          <w:numId w:val="1002"/>
        </w:numPr>
      </w:pPr>
      <w:r>
        <w:t xml:space="preserve">Use la</w:t>
      </w:r>
      <w:r>
        <w:t xml:space="preserve"> </w:t>
      </w:r>
      <w:hyperlink r:id="rId24">
        <w:r>
          <w:rPr>
            <w:rStyle w:val="Hyperlink"/>
          </w:rPr>
          <w:t xml:space="preserve">herramienta de priorización de decisiones</w:t>
        </w:r>
      </w:hyperlink>
      <w:r>
        <w:t xml:space="preserve"> </w:t>
      </w:r>
      <w:r>
        <w:t xml:space="preserve">para primero listar los diferentes tipos de decisiones (use los</w:t>
      </w:r>
      <w:r>
        <w:t xml:space="preserve"> </w:t>
      </w:r>
      <w:hyperlink r:id="rId25">
        <w:r>
          <w:rPr>
            <w:rStyle w:val="Hyperlink"/>
          </w:rPr>
          <w:t xml:space="preserve">tipos de decisiones</w:t>
        </w:r>
      </w:hyperlink>
      <w:r>
        <w:t xml:space="preserve"> </w:t>
      </w:r>
      <w:r>
        <w:t xml:space="preserve">como guía). Estos luego poblarán las filas de la matriz a la derecha, donde las columnas son las métricas de desempeño ordenadas de izquierda a derecha por la prioridad en la pirámide anterior. Haga clic en cada celda para indicar si el impacto de la decisión en cada métrica es alto (rojo), medio (naranja), bajo (amarillo) o ninguno (blanco).</w:t>
      </w:r>
    </w:p>
    <w:p>
      <w:pPr>
        <w:numPr>
          <w:ilvl w:val="0"/>
          <w:numId w:val="1002"/>
        </w:numPr>
      </w:pPr>
      <w:r>
        <w:t xml:space="preserve">Puede tomar la manija (tres barras) más a la izquierda en cada fila para moverla hacia arriba o hacia abajo. Ordene las filas de manera que las decisiones con el mayor impacto en las métricas más importantes estén hacia arriba. Las celdas en la esquina superior izquierda deberían tener la mayor concentración de celdas rojas y naranjas. En este punto identifique las decisiones que deberían recibir la mayor atención en su estudio. Si no tiene ninguna decisión con impacto medio o alto en las métricas más importantes, revise su lista de decisiones.</w:t>
      </w:r>
    </w:p>
    <w:p>
      <w:pPr>
        <w:numPr>
          <w:ilvl w:val="0"/>
          <w:numId w:val="1002"/>
        </w:numPr>
      </w:pPr>
      <w:r>
        <w:t xml:space="preserve">Repita el proceso para listar y priorizar las incertidumbres usando la</w:t>
      </w:r>
      <w:r>
        <w:t xml:space="preserve"> </w:t>
      </w:r>
      <w:hyperlink r:id="rId26">
        <w:r>
          <w:rPr>
            <w:rStyle w:val="Hyperlink"/>
          </w:rPr>
          <w:t xml:space="preserve">herramienta de priorización de incertidumbre</w:t>
        </w:r>
      </w:hyperlink>
      <w:r>
        <w:t xml:space="preserve">. Use las</w:t>
      </w:r>
      <w:r>
        <w:t xml:space="preserve"> </w:t>
      </w:r>
      <w:hyperlink r:id="rId27">
        <w:r>
          <w:rPr>
            <w:rStyle w:val="Hyperlink"/>
          </w:rPr>
          <w:t xml:space="preserve">categorías de incertidumbre</w:t>
        </w:r>
      </w:hyperlink>
      <w:r>
        <w:t xml:space="preserve"> </w:t>
      </w:r>
      <w:r>
        <w:t xml:space="preserve">para ayudarle a identificarlas.</w:t>
      </w:r>
    </w:p>
    <w:p>
      <w:pPr>
        <w:numPr>
          <w:ilvl w:val="0"/>
          <w:numId w:val="1002"/>
        </w:numPr>
      </w:pPr>
      <w:r>
        <w:t xml:space="preserve">Es importante diferenciar las incertidumbres que pueden evaluarse en promedio, o como eventos de riesgo:</w:t>
      </w:r>
    </w:p>
    <w:p>
      <w:pPr>
        <w:numPr>
          <w:ilvl w:val="1"/>
          <w:numId w:val="1003"/>
        </w:numPr>
      </w:pPr>
      <w:r>
        <w:t xml:space="preserve">¿Qué fuentes de incertidumbre se capturarían usando el desempeño promedio a lo largo del tiempo?</w:t>
      </w:r>
    </w:p>
    <w:p>
      <w:pPr>
        <w:numPr>
          <w:ilvl w:val="1"/>
          <w:numId w:val="1003"/>
        </w:numPr>
      </w:pPr>
      <w:r>
        <w:t xml:space="preserve">¿Qué fuentes de incertidumbre representan formas de riesgo que no se capturan adecuadamente usando promedios?</w:t>
      </w:r>
    </w:p>
    <w:p>
      <w:pPr>
        <w:numPr>
          <w:ilvl w:val="0"/>
          <w:numId w:val="1002"/>
        </w:numPr>
      </w:pPr>
      <w:r>
        <w:t xml:space="preserve">Elija la única decisión que parezca tener el mayor impacto en la métrica más importante.</w:t>
      </w:r>
    </w:p>
    <w:p>
      <w:pPr>
        <w:numPr>
          <w:ilvl w:val="1"/>
          <w:numId w:val="1004"/>
        </w:numPr>
      </w:pPr>
      <w:r>
        <w:t xml:space="preserve">¿Qué enfoque cree que usaría para tomar esta decisión?</w:t>
      </w:r>
    </w:p>
    <w:p>
      <w:pPr>
        <w:numPr>
          <w:ilvl w:val="1"/>
          <w:numId w:val="1004"/>
        </w:numPr>
      </w:pPr>
      <w:r>
        <w:t xml:space="preserve">¿Qué datos parecen ser necesarios para tomar esta decisión, incluyendo el cálculo de cualquier métrica de desempeño donde la decisión tendría un impacto alto o medio?</w:t>
      </w:r>
    </w:p>
    <w:p>
      <w:pPr>
        <w:numPr>
          <w:ilvl w:val="0"/>
          <w:numId w:val="1002"/>
        </w:numPr>
      </w:pPr>
      <w:r>
        <w:t xml:space="preserve">Usando la misma decisión que identificó en (7), identifique a las personas, departamentos, grupos u organizaciones con los que necesitaría trabajar para implementar la decisión.</w:t>
      </w:r>
    </w:p>
    <w:bookmarkEnd w:id="28"/>
    <w:bookmarkStart w:id="29" w:name="nota-de-origen"/>
    <w:p>
      <w:pPr>
        <w:pStyle w:val="Heading1"/>
      </w:pPr>
      <w:r>
        <w:t xml:space="preserve">Nota de Origen</w:t>
      </w:r>
    </w:p>
    <w:p>
      <w:pPr>
        <w:pStyle w:val="FirstParagraph"/>
      </w:pPr>
      <w:r>
        <w:t xml:space="preserve">El fundamento conceptual de este caso es la sección</w:t>
      </w:r>
      <w:r>
        <w:t xml:space="preserve"> </w:t>
      </w:r>
      <w:r>
        <w:t xml:space="preserve">“Public health - Managing naloxone kits”</w:t>
      </w:r>
      <w:r>
        <w:t xml:space="preserve"> </w:t>
      </w:r>
      <w:r>
        <w:t xml:space="preserve">de Warren B. Powell, Bridging Decision Problems, Volume I: Framing the Problem, Capítulo 2. El caso incorpora los resultados de salud pública de la sección, las decisiones de asignación y extensión comunitaria, las preguntas de financiamiento y los patrones de uso desconocidos en la narrativa y los exhibits sin identificarlos como categorías analíticas separadas.</w:t>
      </w:r>
    </w:p>
    <w:p>
      <w:pPr>
        <w:pStyle w:val="BodyText"/>
      </w:pPr>
      <w:r>
        <w:t xml:space="preserve">Los datos públicos utilizados para motivar el entorno incluyen datos finales de mortalidad de CDC que reportan 79,384 muertes por sobredosis de drogas en EE. UU. en 2024 y una disminución del 26.2 por ciento en la tasa de mortalidad ajustada por edad respecto a 2023; estimaciones preliminares de CDC de 68,641 muertes para los doce meses que terminan en febrero de 2026, 12.1 por ciento por debajo del año anterior; datos de farmacias de CDC que reportan más de 1.5 millones de recetas de naloxona dispensadas en 2024 y una variación geográfica sustancial; y el anuncio de SAMHSA de septiembre de 2025 de $1.48 mil millones en adjudicaciones de continuación de Respuesta Estatal a Opioides y casi $63 millones para la Respuesta Tribal a Opioides. Las alertas de CDC sobre medetomidina en el suministro ilegal de fentanilo informaron la discusión sobre los contaminantes cambiantes. Todos los datos, personas, organizaciones, presupuestos y eventos de Bellwether son ficticios.</w:t>
      </w:r>
    </w:p>
    <w:bookmarkEnd w:id="29"/>
    <w:bookmarkStart w:id="32" w:name="notas-de-chatgpt"/>
    <w:p>
      <w:pPr>
        <w:pStyle w:val="Heading1"/>
      </w:pPr>
      <w:r>
        <w:t xml:space="preserve">Notas de ChatGPT</w:t>
      </w:r>
    </w:p>
    <w:bookmarkStart w:id="30" w:name="prompt"/>
    <w:p>
      <w:pPr>
        <w:pStyle w:val="Heading2"/>
      </w:pPr>
      <w:r>
        <w:t xml:space="preserve">Prompt</w:t>
      </w:r>
    </w:p>
    <w:p>
      <w:pPr>
        <w:pStyle w:val="FirstParagraph"/>
      </w:pPr>
      <w:r>
        <w:t xml:space="preserve">Escribe un estudio de caso de 4-6 páginas basado en el material de la sección en https://warrenpowell.org/bridging-vol1/chapter-2/#public-health--managing-naloxone-kits. Crea un contexto basado en las métricas, decisiones e incertidumbres de la sección, pero sin llamar explícitamente la atención sobre ellas. Motiva tu problema de caso con datos.</w:t>
      </w:r>
    </w:p>
    <w:bookmarkEnd w:id="30"/>
    <w:bookmarkStart w:id="31" w:name="resumen"/>
    <w:p>
      <w:pPr>
        <w:pStyle w:val="Heading2"/>
      </w:pPr>
      <w:r>
        <w:t xml:space="preserve">Resumen</w:t>
      </w:r>
    </w:p>
    <w:p>
      <w:pPr>
        <w:pStyle w:val="FirstParagraph"/>
      </w:pPr>
      <w:r>
        <w:t xml:space="preserve">El caso aborda la asignación de naloxona entre comunidades urbanas, rurales y Tribales; la distribución a través de primeros respondientes, organizaciones de reducción de daños, hospitales, farmacias, cárceles y grupos comunitarios; la capacitación y la conciencia pública; los contaminantes cambiantes en el suministro de drogas; el financiamiento federal y estatal incierto; las cargas de reporte; y si mantener una reserva de inventario de emergencia.</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2026-09-11T15:09:53Z</dcterms:created>
  <dcterms:modified xsi:type="dcterms:W3CDTF">2026-09-11T15:09:53Z</dcterms:modified>
</cp:coreProperties>
</file>

<file path=docProps/custom.xml><?xml version="1.0" encoding="utf-8"?>
<Properties xmlns="http://schemas.openxmlformats.org/officeDocument/2006/custom-properties" xmlns:vt="http://schemas.openxmlformats.org/officeDocument/2006/docPropsVTypes"/>
</file>