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El Operador del Sistema Blue River</w:t>
      </w:r>
    </w:p>
    <w:p>
      <w:pPr>
        <w:pStyle w:val="BodyText"/>
      </w:pPr>
      <w:r>
        <w:t xml:space="preserve">La decisión de confiabilidad de las 6:00 p.m.</w:t>
      </w:r>
    </w:p>
    <w:p>
      <w:pPr>
        <w:pStyle w:val="BodyText"/>
      </w:pPr>
      <w:r>
        <w:t xml:space="preserve">Este caso es ficticio y está destinado a la discusión instructiva. Los nombres, eventos, fondos y cifras internas son inventados, aunque el entorno de la industria está motivado por datos públicos.</w:t>
      </w:r>
    </w:p>
    <w:p>
      <w:pPr>
        <w:pStyle w:val="BodyText"/>
      </w:pPr>
      <w:r>
        <w:rPr>
          <w:b/>
          <w:bCs/>
        </w:rPr>
        <w:t xml:space="preserve">A la 1:40 p.m. del 22 de julio, Elena Marquez, directora de operaciones del Operador del Sistema Blue River (BRSO), estudiaba tres pantallas en la sala de control regional.</w:t>
      </w:r>
      <w:r>
        <w:t xml:space="preserve"> </w:t>
      </w:r>
      <w:r>
        <w:t xml:space="preserve">Una mostraba un pronóstico de demanda que aumentaba hacia un pico vespertino récord. Una segunda mostraba un frente de tormentas eléctricas que se desplazaba hacia el corredor solar occidental. La tercera mostraba una advertencia de la Unidad 4 de Riverbend, un generador de ciclo combinado de 720 megavatios cuyo sistema de refrigeración había comenzado a vibrar fuera de su rango normal.</w:t>
      </w:r>
    </w:p>
    <w:p>
      <w:pPr>
        <w:pStyle w:val="BodyText"/>
      </w:pPr>
      <w:r>
        <w:t xml:space="preserve">BRSO coordinaba la red de alto voltaje que abastecía a 8.7 millones de personas en los estados ficticios de Franklin, Monroe y Easton. No poseía la mayoría de los generadores ni líneas de transmisión. En cambio, comprometía unidades generadoras con antelación, las despachaba en tiempo real, compraba energía a regiones vecinas, mantenía la frecuencia y dirigía acciones de emergencia cuando el suministro no podía cubrir la demanda de forma segura.</w:t>
      </w:r>
    </w:p>
    <w:p>
      <w:pPr>
        <w:pStyle w:val="BodyText"/>
      </w:pPr>
      <w:r>
        <w:t xml:space="preserve">Se esperaba que el pico vespertino ocurriera cerca de las 6:00 p.m., cuando las oficinas y fábricas todavía estarían operando, los viajeros regresarían a casa, y las cargas de aire acondicionado permanecerían altas. El plan del día anterior asumía 7,900 MW de producción solar a las 2:00 p.m., disminuyendo a 2,100 MW hacia las 7:00 p.m. También asumía que la Unidad 4 de Riverbend permanecería disponible. Si la nubosidad llegaba temprano y Riverbend se desconectaba, la reserva operativa podría caer por debajo del objetivo de BRSO antes del pico.</w:t>
      </w:r>
    </w:p>
    <w:p>
      <w:pPr>
        <w:pStyle w:val="BodyText"/>
      </w:pPr>
      <w:r>
        <w:t xml:space="preserve">Marquez tenía opciones inmediatas: pedir a Riverbend que permaneciera en línea con producción reducida; poner en marcha dos unidades de punta más antiguas alimentadas con petróleo; comprar energía en el mercado de cinco minutos; descargar las baterías antes de lo planeado; convocar un evento voluntario de respuesta a la demanda; o preparar interrupciones controladas del servicio para un pequeño grupo de clientes industriales. Cada acción cambiaba las opciones que quedarían disponibles más tarde ese día. Las baterías podían responder en segundos, pero su energía almacenada se agotaría después de cuatro horas. Poner en marcha las unidades de petróleo requería cuarenta minutos y produciría altos costos operativos y emisiones. La energía importada parecía disponible, pero las regiones vecinas estaban experimentando la misma ola de calor.</w:t>
      </w:r>
    </w:p>
    <w:bookmarkStart w:id="9" w:name="X44eac698a7ae9781e7b616afc45b6836c1001b2"/>
    <w:p>
      <w:pPr>
        <w:pStyle w:val="Heading1"/>
      </w:pPr>
      <w:r>
        <w:t xml:space="preserve">Una Red que Entra en una Nueva Era de Crecimiento</w:t>
      </w:r>
    </w:p>
    <w:p>
      <w:pPr>
        <w:pStyle w:val="FirstParagraph"/>
      </w:pPr>
      <w:r>
        <w:t xml:space="preserve">Durante casi dos décadas, el consumo eléctrico en los Estados Unidos había crecido lentamente. Esa suposición ahora estaba desapareciendo. La Administración de Información Energética de EE.UU. (EIA) informó que la demanda eléctrica creció aproximadamente 1.7 por ciento anual entre 2020 y 2025, en comparación con aproximadamente 0.1 por ciento de crecimiento anual durante la década anterior. La EIA esperaba un crecimiento continuo a medida que los centros de datos, la manufactura, la electrificación de edificios y otras grandes cargas se conectaban a la red.</w:t>
      </w:r>
    </w:p>
    <w:p>
      <w:pPr>
        <w:pStyle w:val="BodyText"/>
      </w:pPr>
      <w:r>
        <w:t xml:space="preserve">Los planificadores de confiabilidad de América del Norte también estaban elevando sus pronósticos. La evaluación de largo plazo de 2025 de NERC proyectó que la demanda pico de verano podría crecer en 224 GW en diez años, más de un 69 por ciento por encima del aumento anticipado solo un año antes. Los nuevos centros de datos que respaldan la inteligencia artificial y la economía digital representaron gran parte de la revisión.</w:t>
      </w:r>
    </w:p>
    <w:p>
      <w:pPr>
        <w:pStyle w:val="BodyText"/>
      </w:pPr>
      <w:r>
        <w:t xml:space="preserve">Blue River estaba experimentando estas fuerzas de forma concentrada. Tres campus de centros de datos habían abierto desde 2023. Seis proyectos más, que totalizaban 4,600 MW de servicio solicitado, estaban en diversas etapas de estudio. Algunos nunca se construirían, pero BRSO no podía asumir eso. Una acería también estaba considerando un cambio de hornos alimentados con gas a tecnología de arco eléctrico, mientras los hogares instalaban bombas de calor y vehículos eléctricos. Mientras tanto, las plantas de carbón y petróleo más antiguas se estaban retirando, y la mayor parte de la capacidad de reemplazo propuesta consistía en energía solar, eólica y baterías cuya disponibilidad variaba según la hora y el clima.</w:t>
      </w:r>
    </w:p>
    <w:p>
      <w:pPr>
        <w:pStyle w:val="BodyText"/>
      </w:pPr>
      <w:r>
        <w:t xml:space="preserve">Exhibit 1. Perspectiva de demanda y recursos de Blue River</w:t>
      </w:r>
    </w:p>
    <w:tbl>
      <w:tblPr>
        <w:tblStyle w:val="Table"/>
        <w:tblW w:type="pct" w:w="4907"/>
        <w:tblLayout w:type="fixed"/>
        <w:tblLook w:firstRow="1" w:lastRow="0" w:firstColumn="0" w:lastColumn="0" w:noHBand="0" w:noVBand="0" w:val="0020"/>
      </w:tblPr>
      <w:tblGrid>
        <w:gridCol w:w="2738"/>
        <w:gridCol w:w="1554"/>
        <w:gridCol w:w="1702"/>
        <w:gridCol w:w="1776"/>
      </w:tblGrid>
      <w:tr>
        <w:trPr>
          <w:tblHeader w:val="on"/>
        </w:trPr>
        <w:tc>
          <w:tcPr/>
          <w:p>
            <w:pPr>
              <w:pStyle w:val="Compact"/>
              <w:jc w:val="left"/>
            </w:pPr>
            <w:r>
              <w:t xml:space="preserve">Medida</w:t>
            </w:r>
          </w:p>
        </w:tc>
        <w:tc>
          <w:tcPr/>
          <w:p>
            <w:pPr>
              <w:pStyle w:val="Compact"/>
              <w:jc w:val="center"/>
            </w:pPr>
            <w:r>
              <w:t xml:space="preserve">2022</w:t>
            </w:r>
          </w:p>
        </w:tc>
        <w:tc>
          <w:tcPr/>
          <w:p>
            <w:pPr>
              <w:pStyle w:val="Compact"/>
              <w:jc w:val="center"/>
            </w:pPr>
            <w:r>
              <w:t xml:space="preserve">Estimación 2026</w:t>
            </w:r>
          </w:p>
        </w:tc>
        <w:tc>
          <w:tcPr/>
          <w:p>
            <w:pPr>
              <w:pStyle w:val="Compact"/>
              <w:jc w:val="right"/>
            </w:pPr>
            <w:r>
              <w:t xml:space="preserve">Caso de planificación 2031</w:t>
            </w:r>
          </w:p>
        </w:tc>
      </w:tr>
      <w:tr>
        <w:tc>
          <w:tcPr/>
          <w:p>
            <w:pPr>
              <w:pStyle w:val="Compact"/>
              <w:jc w:val="left"/>
            </w:pPr>
            <w:r>
              <w:t xml:space="preserve">Uso eléctrico anual (TWh)</w:t>
            </w:r>
          </w:p>
        </w:tc>
        <w:tc>
          <w:tcPr/>
          <w:p>
            <w:pPr>
              <w:pStyle w:val="Compact"/>
              <w:jc w:val="center"/>
            </w:pPr>
            <w:r>
              <w:t xml:space="preserve">142</w:t>
            </w:r>
          </w:p>
        </w:tc>
        <w:tc>
          <w:tcPr/>
          <w:p>
            <w:pPr>
              <w:pStyle w:val="Compact"/>
              <w:jc w:val="center"/>
            </w:pPr>
            <w:r>
              <w:t xml:space="preserve">157</w:t>
            </w:r>
          </w:p>
        </w:tc>
        <w:tc>
          <w:tcPr/>
          <w:p>
            <w:pPr>
              <w:pStyle w:val="Compact"/>
              <w:jc w:val="right"/>
            </w:pPr>
            <w:r>
              <w:t xml:space="preserve">190</w:t>
            </w:r>
          </w:p>
        </w:tc>
      </w:tr>
      <w:tr>
        <w:tc>
          <w:tcPr/>
          <w:p>
            <w:pPr>
              <w:pStyle w:val="Compact"/>
              <w:jc w:val="left"/>
            </w:pPr>
            <w:r>
              <w:t xml:space="preserve">Demanda pico de verano (MW)</w:t>
            </w:r>
          </w:p>
        </w:tc>
        <w:tc>
          <w:tcPr/>
          <w:p>
            <w:pPr>
              <w:pStyle w:val="Compact"/>
              <w:jc w:val="center"/>
            </w:pPr>
            <w:r>
              <w:t xml:space="preserve">24,800</w:t>
            </w:r>
          </w:p>
        </w:tc>
        <w:tc>
          <w:tcPr/>
          <w:p>
            <w:pPr>
              <w:pStyle w:val="Compact"/>
              <w:jc w:val="center"/>
            </w:pPr>
            <w:r>
              <w:t xml:space="preserve">28,900</w:t>
            </w:r>
          </w:p>
        </w:tc>
        <w:tc>
          <w:tcPr/>
          <w:p>
            <w:pPr>
              <w:pStyle w:val="Compact"/>
              <w:jc w:val="right"/>
            </w:pPr>
            <w:r>
              <w:t xml:space="preserve">36,500</w:t>
            </w:r>
          </w:p>
        </w:tc>
      </w:tr>
      <w:tr>
        <w:tc>
          <w:tcPr/>
          <w:p>
            <w:pPr>
              <w:pStyle w:val="Compact"/>
              <w:jc w:val="left"/>
            </w:pPr>
            <w:r>
              <w:t xml:space="preserve">Carga pico de centros de datos (MW)</w:t>
            </w:r>
          </w:p>
        </w:tc>
        <w:tc>
          <w:tcPr/>
          <w:p>
            <w:pPr>
              <w:pStyle w:val="Compact"/>
              <w:jc w:val="center"/>
            </w:pPr>
            <w:r>
              <w:t xml:space="preserve">650</w:t>
            </w:r>
          </w:p>
        </w:tc>
        <w:tc>
          <w:tcPr/>
          <w:p>
            <w:pPr>
              <w:pStyle w:val="Compact"/>
              <w:jc w:val="center"/>
            </w:pPr>
            <w:r>
              <w:t xml:space="preserve">2,750</w:t>
            </w:r>
          </w:p>
        </w:tc>
        <w:tc>
          <w:tcPr/>
          <w:p>
            <w:pPr>
              <w:pStyle w:val="Compact"/>
              <w:jc w:val="right"/>
            </w:pPr>
            <w:r>
              <w:t xml:space="preserve">7,200</w:t>
            </w:r>
          </w:p>
        </w:tc>
      </w:tr>
      <w:tr>
        <w:tc>
          <w:tcPr/>
          <w:p>
            <w:pPr>
              <w:pStyle w:val="Compact"/>
              <w:jc w:val="left"/>
            </w:pPr>
            <w:r>
              <w:t xml:space="preserve">Capacidad térmica despachable (MW)</w:t>
            </w:r>
          </w:p>
        </w:tc>
        <w:tc>
          <w:tcPr/>
          <w:p>
            <w:pPr>
              <w:pStyle w:val="Compact"/>
              <w:jc w:val="center"/>
            </w:pPr>
            <w:r>
              <w:t xml:space="preserve">21,400</w:t>
            </w:r>
          </w:p>
        </w:tc>
        <w:tc>
          <w:tcPr/>
          <w:p>
            <w:pPr>
              <w:pStyle w:val="Compact"/>
              <w:jc w:val="center"/>
            </w:pPr>
            <w:r>
              <w:t xml:space="preserve">19,900</w:t>
            </w:r>
          </w:p>
        </w:tc>
        <w:tc>
          <w:tcPr/>
          <w:p>
            <w:pPr>
              <w:pStyle w:val="Compact"/>
              <w:jc w:val="right"/>
            </w:pPr>
            <w:r>
              <w:t xml:space="preserve">18,100</w:t>
            </w:r>
          </w:p>
        </w:tc>
      </w:tr>
      <w:tr>
        <w:tc>
          <w:tcPr/>
          <w:p>
            <w:pPr>
              <w:pStyle w:val="Compact"/>
              <w:jc w:val="left"/>
            </w:pPr>
            <w:r>
              <w:t xml:space="preserve">Potencia / energía de baterías</w:t>
            </w:r>
          </w:p>
        </w:tc>
        <w:tc>
          <w:tcPr/>
          <w:p>
            <w:pPr>
              <w:pStyle w:val="Compact"/>
              <w:jc w:val="center"/>
            </w:pPr>
            <w:r>
              <w:t xml:space="preserve">450 MW / 1,000 MWh</w:t>
            </w:r>
          </w:p>
        </w:tc>
        <w:tc>
          <w:tcPr/>
          <w:p>
            <w:pPr>
              <w:pStyle w:val="Compact"/>
              <w:jc w:val="center"/>
            </w:pPr>
            <w:r>
              <w:t xml:space="preserve">2,250 MW / 7,200 MWh</w:t>
            </w:r>
          </w:p>
        </w:tc>
        <w:tc>
          <w:tcPr/>
          <w:p>
            <w:pPr>
              <w:pStyle w:val="Compact"/>
              <w:jc w:val="right"/>
            </w:pPr>
            <w:r>
              <w:t xml:space="preserve">5,100 MW / 20,400 MWh</w:t>
            </w:r>
          </w:p>
        </w:tc>
      </w:tr>
    </w:tbl>
    <w:p>
      <w:pPr>
        <w:pStyle w:val="BodyText"/>
      </w:pPr>
      <w:r>
        <w:t xml:space="preserve">Todas las cifras de Blue River son ficticias. La capacidad renovable nominal no equivale a la producción disponible durante el pico del sistema.</w:t>
      </w:r>
    </w:p>
    <w:bookmarkEnd w:id="9"/>
    <w:bookmarkStart w:id="10" w:name="el-rompecabezas-operativo-diario"/>
    <w:p>
      <w:pPr>
        <w:pStyle w:val="Heading1"/>
      </w:pPr>
      <w:r>
        <w:t xml:space="preserve">El Rompecabezas Operativo Diario</w:t>
      </w:r>
    </w:p>
    <w:p>
      <w:pPr>
        <w:pStyle w:val="FirstParagraph"/>
      </w:pPr>
      <w:r>
        <w:t xml:space="preserve">Cada tarde, BRSO comprometía suficiente generación para el día siguiente. Las grandes unidades nucleares generalmente funcionaban de forma continua. Las unidades de carbón y vapor requerían muchas horas para arrancar y no podían cambiar su producción rápidamente. Las unidades de gas de ciclo combinado eran más flexibles pero dependían de la capacidad de los gasoductos y de los precios del gas. Las turbinas de ciclo simple podían arrancar rápidamente pero eran costosas. La eólica y la solar tenían bajos costos operativos, pero BRSO no podía ordenar que soplara el viento ni impedir que un banco de nubes cruzara un campo solar.</w:t>
      </w:r>
    </w:p>
    <w:p>
      <w:pPr>
        <w:pStyle w:val="BodyText"/>
      </w:pPr>
      <w:r>
        <w:t xml:space="preserve">En tiempo real, los operadores del sistema debían mantener el suministro y la demanda de electricidad en un equilibrio casi perfecto. Un desajuste podía hacer que la frecuencia se alejara de los 60 hertzios, dañando potencialmente el equipo o provocando desconexiones automáticas. Las instrucciones de despacho y los precios de mercado se actualizaban cada cinco minutos, mientras que los recursos de regulación ajustaban la producción cada pocos segundos. Las restricciones de transmisión complicaban las cosas: la energía económica del norte no siempre podía llegar a los centros de carga del sur porque dos líneas clave se acercaban a sus límites térmicos.</w:t>
      </w:r>
    </w:p>
    <w:p>
      <w:pPr>
        <w:pStyle w:val="BodyText"/>
      </w:pPr>
      <w:r>
        <w:t xml:space="preserve">El pronóstico de demanda era en sí mismo un blanco móvil. Un error de un grado en el pronóstico de temperatura vespertina podía cambiar la demanda pico en aproximadamente 280 MW. La nubosidad podía reducir simultáneamente la producción solar y disminuir la demanda de aire acondicionado, pero no siempre en los mismos lugares. Un gran evento deportivo podía desplazar cientos de megavatios en cuestión de minutos cuando los espectadores regresaran a casa. Los clientes industriales podían reducir su consumo cuando se les llamaba, pero su respuesta dependía de los compromisos de producción, la dotación de personal y el pago de incentivo.</w:t>
      </w:r>
    </w:p>
    <w:p>
      <w:pPr>
        <w:pStyle w:val="BodyText"/>
      </w:pPr>
      <w:r>
        <w:t xml:space="preserve">Exhibit 2. Posición operativa para el 22 de julio, 6:00 p.m.</w:t>
      </w:r>
    </w:p>
    <w:tbl>
      <w:tblPr>
        <w:tblStyle w:val="Table"/>
        <w:tblW w:type="pct" w:w="4917"/>
        <w:tblLayout w:type="fixed"/>
        <w:tblLook w:firstRow="1" w:lastRow="0" w:firstColumn="0" w:lastColumn="0" w:noHBand="0" w:noVBand="0" w:val="0020"/>
      </w:tblPr>
      <w:tblGrid>
        <w:gridCol w:w="2376"/>
        <w:gridCol w:w="1188"/>
        <w:gridCol w:w="1254"/>
        <w:gridCol w:w="2970"/>
      </w:tblGrid>
      <w:tr>
        <w:trPr>
          <w:tblHeader w:val="on"/>
        </w:trPr>
        <w:tc>
          <w:tcPr/>
          <w:p>
            <w:pPr>
              <w:pStyle w:val="Compact"/>
              <w:jc w:val="left"/>
            </w:pPr>
            <w:r>
              <w:t xml:space="preserve">Recurso o requerimiento</w:t>
            </w:r>
          </w:p>
        </w:tc>
        <w:tc>
          <w:tcPr/>
          <w:p>
            <w:pPr>
              <w:pStyle w:val="Compact"/>
              <w:jc w:val="left"/>
            </w:pPr>
            <w:r>
              <w:t xml:space="preserve">MW esperado</w:t>
            </w:r>
          </w:p>
        </w:tc>
        <w:tc>
          <w:tcPr/>
          <w:p>
            <w:pPr>
              <w:pStyle w:val="Compact"/>
              <w:jc w:val="left"/>
            </w:pPr>
            <w:r>
              <w:t xml:space="preserve">MW caso adverso</w:t>
            </w:r>
          </w:p>
        </w:tc>
        <w:tc>
          <w:tcPr/>
          <w:p>
            <w:pPr>
              <w:pStyle w:val="Compact"/>
              <w:jc w:val="left"/>
            </w:pPr>
            <w:r>
              <w:t xml:space="preserve">Consideración operativa</w:t>
            </w:r>
          </w:p>
        </w:tc>
      </w:tr>
      <w:tr>
        <w:tc>
          <w:tcPr/>
          <w:p>
            <w:pPr>
              <w:pStyle w:val="Compact"/>
              <w:jc w:val="left"/>
            </w:pPr>
            <w:r>
              <w:t xml:space="preserve">Demanda de clientes</w:t>
            </w:r>
          </w:p>
        </w:tc>
        <w:tc>
          <w:tcPr/>
          <w:p>
            <w:pPr>
              <w:pStyle w:val="Compact"/>
              <w:jc w:val="left"/>
            </w:pPr>
            <w:r>
              <w:t xml:space="preserve">30,850</w:t>
            </w:r>
          </w:p>
        </w:tc>
        <w:tc>
          <w:tcPr/>
          <w:p>
            <w:pPr>
              <w:pStyle w:val="Compact"/>
              <w:jc w:val="left"/>
            </w:pPr>
            <w:r>
              <w:t xml:space="preserve">31,700</w:t>
            </w:r>
          </w:p>
        </w:tc>
        <w:tc>
          <w:tcPr/>
          <w:p>
            <w:pPr>
              <w:pStyle w:val="Compact"/>
              <w:jc w:val="left"/>
            </w:pPr>
            <w:r>
              <w:t xml:space="preserve">La temperatura y la humedad siguen siendo inciertas</w:t>
            </w:r>
          </w:p>
        </w:tc>
      </w:tr>
      <w:tr>
        <w:tc>
          <w:tcPr/>
          <w:p>
            <w:pPr>
              <w:pStyle w:val="Compact"/>
              <w:jc w:val="left"/>
            </w:pPr>
            <w:r>
              <w:t xml:space="preserve">Generación nuclear y de operación ob</w:t>
            </w:r>
          </w:p>
        </w:tc>
        <w:tc>
          <w:tcPr/>
          <w:p>
            <w:pPr>
              <w:pStyle w:val="Compact"/>
              <w:jc w:val="left"/>
            </w:pPr>
            <w:r>
              <w:t xml:space="preserve">ligada 5,900</w:t>
            </w:r>
          </w:p>
        </w:tc>
        <w:tc>
          <w:tcPr/>
          <w:p>
            <w:pPr>
              <w:pStyle w:val="Compact"/>
              <w:jc w:val="left"/>
            </w:pPr>
            <w:r>
              <w:t xml:space="preserve">5,900</w:t>
            </w:r>
          </w:p>
        </w:tc>
        <w:tc>
          <w:tcPr/>
          <w:p>
            <w:pPr>
              <w:pStyle w:val="Compact"/>
              <w:jc w:val="left"/>
            </w:pPr>
            <w:r>
              <w:t xml:space="preserve">Poca flexibilidad a corto plazo</w:t>
            </w:r>
          </w:p>
        </w:tc>
      </w:tr>
      <w:tr>
        <w:tc>
          <w:tcPr/>
          <w:p>
            <w:pPr>
              <w:pStyle w:val="Compact"/>
              <w:jc w:val="left"/>
            </w:pPr>
            <w:r>
              <w:t xml:space="preserve">Generación de carbón y vapor</w:t>
            </w:r>
          </w:p>
        </w:tc>
        <w:tc>
          <w:tcPr/>
          <w:p>
            <w:pPr>
              <w:pStyle w:val="Compact"/>
              <w:jc w:val="left"/>
            </w:pPr>
            <w:r>
              <w:t xml:space="preserve">4,850</w:t>
            </w:r>
          </w:p>
        </w:tc>
        <w:tc>
          <w:tcPr/>
          <w:p>
            <w:pPr>
              <w:pStyle w:val="Compact"/>
              <w:jc w:val="left"/>
            </w:pPr>
            <w:r>
              <w:t xml:space="preserve">4,550</w:t>
            </w:r>
          </w:p>
        </w:tc>
        <w:tc>
          <w:tcPr/>
          <w:p>
            <w:pPr>
              <w:pStyle w:val="Compact"/>
              <w:jc w:val="left"/>
            </w:pPr>
            <w:r>
              <w:t xml:space="preserve">Una unidad tiene preocupaciones de temperatura en la caldera</w:t>
            </w:r>
          </w:p>
        </w:tc>
      </w:tr>
      <w:tr>
        <w:tc>
          <w:tcPr/>
          <w:p>
            <w:pPr>
              <w:pStyle w:val="Compact"/>
              <w:jc w:val="left"/>
            </w:pPr>
            <w:r>
              <w:t xml:space="preserve">Ciclo combinado de gas</w:t>
            </w:r>
          </w:p>
        </w:tc>
        <w:tc>
          <w:tcPr/>
          <w:p>
            <w:pPr>
              <w:pStyle w:val="Compact"/>
              <w:jc w:val="left"/>
            </w:pPr>
            <w:r>
              <w:t xml:space="preserve">8,300</w:t>
            </w:r>
          </w:p>
        </w:tc>
        <w:tc>
          <w:tcPr/>
          <w:p>
            <w:pPr>
              <w:pStyle w:val="Compact"/>
              <w:jc w:val="left"/>
            </w:pPr>
            <w:r>
              <w:t xml:space="preserve">7,580</w:t>
            </w:r>
          </w:p>
        </w:tc>
        <w:tc>
          <w:tcPr/>
          <w:p>
            <w:pPr>
              <w:pStyle w:val="Compact"/>
              <w:jc w:val="left"/>
            </w:pPr>
            <w:r>
              <w:t xml:space="preserve">Incluye la Unidad 4 de Riverbend</w:t>
            </w:r>
          </w:p>
        </w:tc>
      </w:tr>
      <w:tr>
        <w:tc>
          <w:tcPr/>
          <w:p>
            <w:pPr>
              <w:pStyle w:val="Compact"/>
              <w:jc w:val="left"/>
            </w:pPr>
            <w:r>
              <w:t xml:space="preserve">Gas y petróleo de arranque rápido</w:t>
            </w:r>
          </w:p>
        </w:tc>
        <w:tc>
          <w:tcPr/>
          <w:p>
            <w:pPr>
              <w:pStyle w:val="Compact"/>
              <w:jc w:val="left"/>
            </w:pPr>
            <w:r>
              <w:t xml:space="preserve">1,850</w:t>
            </w:r>
          </w:p>
        </w:tc>
        <w:tc>
          <w:tcPr/>
          <w:p>
            <w:pPr>
              <w:pStyle w:val="Compact"/>
              <w:jc w:val="left"/>
            </w:pPr>
            <w:r>
              <w:t xml:space="preserve">1,850</w:t>
            </w:r>
          </w:p>
        </w:tc>
        <w:tc>
          <w:tcPr/>
          <w:p>
            <w:pPr>
              <w:pStyle w:val="Compact"/>
              <w:jc w:val="left"/>
            </w:pPr>
            <w:r>
              <w:t xml:space="preserve">Alto costo; arranque de 20-60 minutos</w:t>
            </w:r>
          </w:p>
        </w:tc>
      </w:tr>
      <w:tr>
        <w:tc>
          <w:tcPr/>
          <w:p>
            <w:pPr>
              <w:pStyle w:val="Compact"/>
              <w:jc w:val="left"/>
            </w:pPr>
            <w:r>
              <w:t xml:space="preserve">Eólica</w:t>
            </w:r>
          </w:p>
        </w:tc>
        <w:tc>
          <w:tcPr/>
          <w:p>
            <w:pPr>
              <w:pStyle w:val="Compact"/>
              <w:jc w:val="left"/>
            </w:pPr>
            <w:r>
              <w:t xml:space="preserve">3,050</w:t>
            </w:r>
          </w:p>
        </w:tc>
        <w:tc>
          <w:tcPr/>
          <w:p>
            <w:pPr>
              <w:pStyle w:val="Compact"/>
              <w:jc w:val="left"/>
            </w:pPr>
            <w:r>
              <w:t xml:space="preserve">2,200</w:t>
            </w:r>
          </w:p>
        </w:tc>
        <w:tc>
          <w:tcPr/>
          <w:p>
            <w:pPr>
              <w:pStyle w:val="Compact"/>
              <w:jc w:val="left"/>
            </w:pPr>
            <w:r>
              <w:t xml:space="preserve">Un frente podría reducir la producción antes del pico</w:t>
            </w:r>
          </w:p>
        </w:tc>
      </w:tr>
      <w:tr>
        <w:tc>
          <w:tcPr/>
          <w:p>
            <w:pPr>
              <w:pStyle w:val="Compact"/>
              <w:jc w:val="left"/>
            </w:pPr>
            <w:r>
              <w:t xml:space="preserve">Solar</w:t>
            </w:r>
          </w:p>
        </w:tc>
        <w:tc>
          <w:tcPr/>
          <w:p>
            <w:pPr>
              <w:pStyle w:val="Compact"/>
              <w:jc w:val="left"/>
            </w:pPr>
            <w:r>
              <w:t xml:space="preserve">3,600</w:t>
            </w:r>
          </w:p>
        </w:tc>
        <w:tc>
          <w:tcPr/>
          <w:p>
            <w:pPr>
              <w:pStyle w:val="Compact"/>
              <w:jc w:val="left"/>
            </w:pPr>
            <w:r>
              <w:t xml:space="preserve">2,300</w:t>
            </w:r>
          </w:p>
        </w:tc>
        <w:tc>
          <w:tcPr/>
          <w:p>
            <w:pPr>
              <w:pStyle w:val="Compact"/>
              <w:jc w:val="left"/>
            </w:pPr>
            <w:r>
              <w:t xml:space="preserve">Las tormentas eléctricas podrían llegar temprano</w:t>
            </w:r>
          </w:p>
        </w:tc>
      </w:tr>
      <w:tr>
        <w:tc>
          <w:tcPr/>
          <w:p>
            <w:pPr>
              <w:pStyle w:val="Compact"/>
              <w:jc w:val="left"/>
            </w:pPr>
            <w:r>
              <w:t xml:space="preserve">Hidroeléctrica e importaciones</w:t>
            </w:r>
          </w:p>
        </w:tc>
        <w:tc>
          <w:tcPr/>
          <w:p>
            <w:pPr>
              <w:pStyle w:val="Compact"/>
              <w:jc w:val="left"/>
            </w:pPr>
            <w:r>
              <w:t xml:space="preserve">2,150</w:t>
            </w:r>
          </w:p>
        </w:tc>
        <w:tc>
          <w:tcPr/>
          <w:p>
            <w:pPr>
              <w:pStyle w:val="Compact"/>
              <w:jc w:val="left"/>
            </w:pPr>
            <w:r>
              <w:t xml:space="preserve">1,750</w:t>
            </w:r>
          </w:p>
        </w:tc>
        <w:tc>
          <w:tcPr/>
          <w:p>
            <w:pPr>
              <w:pStyle w:val="Compact"/>
              <w:jc w:val="left"/>
            </w:pPr>
            <w:r>
              <w:t xml:space="preserve">Las regiones vecinas también están al límite</w:t>
            </w:r>
          </w:p>
        </w:tc>
      </w:tr>
      <w:tr>
        <w:tc>
          <w:tcPr/>
          <w:p>
            <w:pPr>
              <w:pStyle w:val="Compact"/>
              <w:jc w:val="left"/>
            </w:pPr>
            <w:r>
              <w:t xml:space="preserve">Descarga de baterías disponible</w:t>
            </w:r>
          </w:p>
        </w:tc>
        <w:tc>
          <w:tcPr/>
          <w:p>
            <w:pPr>
              <w:pStyle w:val="Compact"/>
              <w:jc w:val="left"/>
            </w:pPr>
            <w:r>
              <w:t xml:space="preserve">1,650</w:t>
            </w:r>
          </w:p>
        </w:tc>
        <w:tc>
          <w:tcPr/>
          <w:p>
            <w:pPr>
              <w:pStyle w:val="Compact"/>
              <w:jc w:val="left"/>
            </w:pPr>
            <w:r>
              <w:t xml:space="preserve">1,650</w:t>
            </w:r>
          </w:p>
        </w:tc>
        <w:tc>
          <w:tcPr/>
          <w:p>
            <w:pPr>
              <w:pStyle w:val="Compact"/>
              <w:jc w:val="left"/>
            </w:pPr>
            <w:r>
              <w:t xml:space="preserve">Duración máxima de cuatro horas</w:t>
            </w:r>
          </w:p>
        </w:tc>
      </w:tr>
      <w:tr>
        <w:tc>
          <w:tcPr/>
          <w:p>
            <w:pPr>
              <w:pStyle w:val="Compact"/>
              <w:jc w:val="left"/>
            </w:pPr>
            <w:r>
              <w:t xml:space="preserve">Respuesta a la demanda contratada</w:t>
            </w:r>
          </w:p>
        </w:tc>
        <w:tc>
          <w:tcPr/>
          <w:p>
            <w:pPr>
              <w:pStyle w:val="Compact"/>
              <w:jc w:val="left"/>
            </w:pPr>
            <w:r>
              <w:t xml:space="preserve">900</w:t>
            </w:r>
          </w:p>
        </w:tc>
        <w:tc>
          <w:tcPr/>
          <w:p>
            <w:pPr>
              <w:pStyle w:val="Compact"/>
              <w:jc w:val="left"/>
            </w:pPr>
            <w:r>
              <w:t xml:space="preserve">550</w:t>
            </w:r>
          </w:p>
        </w:tc>
        <w:tc>
          <w:tcPr/>
          <w:p>
            <w:pPr>
              <w:pStyle w:val="Compact"/>
              <w:jc w:val="left"/>
            </w:pPr>
            <w:r>
              <w:t xml:space="preserve">La participación no está garantizada</w:t>
            </w:r>
          </w:p>
        </w:tc>
      </w:tr>
      <w:tr>
        <w:tc>
          <w:tcPr/>
          <w:p>
            <w:pPr>
              <w:pStyle w:val="Compact"/>
              <w:jc w:val="left"/>
            </w:pPr>
            <w:r>
              <w:t xml:space="preserve">Suministro potencial total / respues</w:t>
            </w:r>
          </w:p>
        </w:tc>
        <w:tc>
          <w:tcPr/>
          <w:p>
            <w:pPr>
              <w:pStyle w:val="Compact"/>
              <w:jc w:val="left"/>
            </w:pPr>
            <w:r>
              <w:t xml:space="preserve">ta 32,250</w:t>
            </w:r>
          </w:p>
        </w:tc>
        <w:tc>
          <w:tcPr/>
          <w:p>
            <w:pPr>
              <w:pStyle w:val="Compact"/>
              <w:jc w:val="left"/>
            </w:pPr>
            <w:r>
              <w:t xml:space="preserve">28,330</w:t>
            </w:r>
          </w:p>
        </w:tc>
        <w:tc>
          <w:tcPr/>
          <w:p>
            <w:pPr>
              <w:pStyle w:val="Compact"/>
              <w:jc w:val="left"/>
            </w:pPr>
            <w:r>
              <w:t xml:space="preserve">El caso adverso implica un déficit material</w:t>
            </w:r>
          </w:p>
        </w:tc>
      </w:tr>
    </w:tbl>
    <w:p>
      <w:pPr>
        <w:pStyle w:val="BodyText"/>
      </w:pPr>
      <w:r>
        <w:t xml:space="preserve">El caso adverso combina supuestos desfavorables y no es un pronóstico de probabilidad formal.</w:t>
      </w:r>
    </w:p>
    <w:bookmarkEnd w:id="10"/>
    <w:bookmarkStart w:id="11" w:name="el-costo-de-estar-preparado"/>
    <w:p>
      <w:pPr>
        <w:pStyle w:val="Heading1"/>
      </w:pPr>
      <w:r>
        <w:t xml:space="preserve">El Costo de Estar Preparado</w:t>
      </w:r>
    </w:p>
    <w:p>
      <w:pPr>
        <w:pStyle w:val="FirstParagraph"/>
      </w:pPr>
      <w:r>
        <w:t xml:space="preserve">La confiabilidad había dominado históricamente la cultura operativa de BRSO. Sin embargo, los clientes y reguladores estaban cada vez más preocupados por el costo. El precio promedio mayorista de energía de la región había aumentado de $34 por megavatio-hora en 2022 a $58 en 2025. Se proyectaba que los pagos de capacidad —realizados para asegurar que los recursos estuvieran disponibles cuando se necesitaran— se triplicarían en la próxima subasta. Las facturas minoristas también incluían inversiones en transmisión necesarias para conectar nueva generación y atender grandes cargas.</w:t>
      </w:r>
    </w:p>
    <w:p>
      <w:pPr>
        <w:pStyle w:val="BodyText"/>
      </w:pPr>
      <w:r>
        <w:t xml:space="preserve">La acción más confiable a menudo no era la menos costosa. Comprometer demasiados generadores térmicos protegía contra errores de pronóstico pero obligaba a los clientes a pagar costos de arranque y de operación mínima incluso si la demanda o la producción renovable resultaban favorables. Comprometer muy pocas unidades exponía al sistema a precios volátiles en tiempo real y escaseces de emergencia. Una batería podía evitar el arranque de una unidad de punta, pero descargarla a las 4:00 p.m. podría no dejar energía almacenada a las 7:30 p.m. Una convocatoria de respuesta a la demanda podía proteger la confiabilidad pero interrumpir la producción en las fábricas y reducir la confianza en el programa si se convocaba con demasiada frecuencia.</w:t>
      </w:r>
    </w:p>
    <w:p>
      <w:pPr>
        <w:pStyle w:val="BodyText"/>
      </w:pPr>
      <w:r>
        <w:t xml:space="preserve">Las consecuencias ambientales también eran desiguales. Las unidades de punta a petróleo de BRSO emitían mucho más dióxido de carbono y contaminantes locales que la generación a gas. Una planta de gas propuesta de 900 MW mejoraría la confiabilidad pero podría operar durante treinta años. Una cartera de baterías más grande evitaba emisiones directas pero requería suficiente energía sobrante para cargarse, y las baterías de cuatro horas no podían cubrir una escasez invernal de varios días. Nueva transmisión podría desbloquear recursos eólicos, pero se esperaba que el permiso y la construcción tomaran de siete a diez años.</w:t>
      </w:r>
    </w:p>
    <w:p>
      <w:pPr>
        <w:pStyle w:val="BodyText"/>
      </w:pPr>
      <w:r>
        <w:t xml:space="preserve">Exhibit 3. Alternativas operativas seleccionadas</w:t>
      </w:r>
    </w:p>
    <w:tbl>
      <w:tblPr>
        <w:tblStyle w:val="Table"/>
        <w:tblW w:type="pct" w:w="4924"/>
        <w:tblLayout w:type="fixed"/>
        <w:tblLook w:firstRow="1" w:lastRow="0" w:firstColumn="0" w:lastColumn="0" w:noHBand="0" w:noVBand="0" w:val="0020"/>
      </w:tblPr>
      <w:tblGrid>
        <w:gridCol w:w="1740"/>
        <w:gridCol w:w="2160"/>
        <w:gridCol w:w="1080"/>
        <w:gridCol w:w="2820"/>
      </w:tblGrid>
      <w:tr>
        <w:trPr>
          <w:tblHeader w:val="on"/>
        </w:trPr>
        <w:tc>
          <w:tcPr/>
          <w:p>
            <w:pPr>
              <w:pStyle w:val="Compact"/>
              <w:jc w:val="left"/>
            </w:pPr>
            <w:r>
              <w:t xml:space="preserve">Alternativa</w:t>
            </w:r>
          </w:p>
        </w:tc>
        <w:tc>
          <w:tcPr/>
          <w:p>
            <w:pPr>
              <w:pStyle w:val="Compact"/>
              <w:jc w:val="left"/>
            </w:pPr>
            <w:r>
              <w:t xml:space="preserve">Costo variable aproximado</w:t>
            </w:r>
          </w:p>
        </w:tc>
        <w:tc>
          <w:tcPr/>
          <w:p>
            <w:pPr>
              <w:pStyle w:val="Compact"/>
            </w:pPr>
            <w:r>
              <w:t xml:space="preserve">Tiempo de respuest</w:t>
            </w:r>
          </w:p>
        </w:tc>
        <w:tc>
          <w:tcPr/>
          <w:p>
            <w:pPr>
              <w:pStyle w:val="Compact"/>
              <w:jc w:val="left"/>
            </w:pPr>
            <w:r>
              <w:t xml:space="preserve">a Duración / restricción</w:t>
            </w:r>
          </w:p>
        </w:tc>
      </w:tr>
      <w:tr>
        <w:tc>
          <w:tcPr/>
          <w:p>
            <w:pPr>
              <w:pStyle w:val="Compact"/>
              <w:jc w:val="left"/>
            </w:pPr>
            <w:r>
              <w:t xml:space="preserve">Ciclo combinado de gas</w:t>
            </w:r>
          </w:p>
        </w:tc>
        <w:tc>
          <w:tcPr/>
          <w:p>
            <w:pPr>
              <w:pStyle w:val="Compact"/>
              <w:jc w:val="left"/>
            </w:pPr>
            <w:r>
              <w:t xml:space="preserve">$42-$78/MWh</w:t>
            </w:r>
          </w:p>
        </w:tc>
        <w:tc>
          <w:tcPr/>
          <w:p>
            <w:pPr>
              <w:pStyle w:val="Compact"/>
            </w:pPr>
            <w:r>
              <w:t xml:space="preserve">10-60 minutos</w:t>
            </w:r>
          </w:p>
        </w:tc>
        <w:tc>
          <w:tcPr/>
          <w:p>
            <w:pPr>
              <w:pStyle w:val="Compact"/>
              <w:jc w:val="left"/>
            </w:pPr>
            <w:r>
              <w:t xml:space="preserve">Disponibilidad de gasoducto y de la unidad</w:t>
            </w:r>
          </w:p>
        </w:tc>
      </w:tr>
      <w:tr>
        <w:tc>
          <w:tcPr/>
          <w:p>
            <w:pPr>
              <w:pStyle w:val="Compact"/>
              <w:jc w:val="left"/>
            </w:pPr>
            <w:r>
              <w:t xml:space="preserve">Ciclo simple de gas</w:t>
            </w:r>
          </w:p>
        </w:tc>
        <w:tc>
          <w:tcPr/>
          <w:p>
            <w:pPr>
              <w:pStyle w:val="Compact"/>
              <w:jc w:val="left"/>
            </w:pPr>
            <w:r>
              <w:t xml:space="preserve">$85-$150/MWh</w:t>
            </w:r>
          </w:p>
        </w:tc>
        <w:tc>
          <w:tcPr/>
          <w:p>
            <w:pPr>
              <w:pStyle w:val="Compact"/>
            </w:pPr>
            <w:r>
              <w:t xml:space="preserve">10-20 minutos</w:t>
            </w:r>
          </w:p>
        </w:tc>
        <w:tc>
          <w:tcPr/>
          <w:p>
            <w:pPr>
              <w:pStyle w:val="Compact"/>
              <w:jc w:val="left"/>
            </w:pPr>
            <w:r>
              <w:t xml:space="preserve">Alto costo de combustible y emisiones</w:t>
            </w:r>
          </w:p>
        </w:tc>
      </w:tr>
      <w:tr>
        <w:tc>
          <w:tcPr/>
          <w:p>
            <w:pPr>
              <w:pStyle w:val="Compact"/>
              <w:jc w:val="left"/>
            </w:pPr>
            <w:r>
              <w:t xml:space="preserve">Unidad de punta a petróleo</w:t>
            </w:r>
          </w:p>
        </w:tc>
        <w:tc>
          <w:tcPr/>
          <w:p>
            <w:pPr>
              <w:pStyle w:val="Compact"/>
              <w:jc w:val="left"/>
            </w:pPr>
            <w:r>
              <w:t xml:space="preserve">$180-$320/MWh</w:t>
            </w:r>
          </w:p>
        </w:tc>
        <w:tc>
          <w:tcPr/>
          <w:p>
            <w:pPr>
              <w:pStyle w:val="Compact"/>
            </w:pPr>
            <w:r>
              <w:t xml:space="preserve">30-60 minutos</w:t>
            </w:r>
          </w:p>
        </w:tc>
        <w:tc>
          <w:tcPr/>
          <w:p>
            <w:pPr>
              <w:pStyle w:val="Compact"/>
              <w:jc w:val="left"/>
            </w:pPr>
            <w:r>
              <w:t xml:space="preserve">Mayores emisiones; inventario limitado de combustible</w:t>
            </w:r>
          </w:p>
        </w:tc>
      </w:tr>
      <w:tr>
        <w:tc>
          <w:tcPr/>
          <w:p>
            <w:pPr>
              <w:pStyle w:val="Compact"/>
              <w:jc w:val="left"/>
            </w:pPr>
            <w:r>
              <w:t xml:space="preserve">Importación de mercado</w:t>
            </w:r>
          </w:p>
        </w:tc>
        <w:tc>
          <w:tcPr/>
          <w:p>
            <w:pPr>
              <w:pStyle w:val="Compact"/>
              <w:jc w:val="left"/>
            </w:pPr>
            <w:r>
              <w:t xml:space="preserve">-$20 a $1,000+/MWh</w:t>
            </w:r>
          </w:p>
        </w:tc>
        <w:tc>
          <w:tcPr/>
          <w:p>
            <w:pPr>
              <w:pStyle w:val="Compact"/>
            </w:pPr>
            <w:r>
              <w:t xml:space="preserve">5 minutos</w:t>
            </w:r>
          </w:p>
        </w:tc>
        <w:tc>
          <w:tcPr/>
          <w:p>
            <w:pPr>
              <w:pStyle w:val="Compact"/>
              <w:jc w:val="left"/>
            </w:pPr>
            <w:r>
              <w:t xml:space="preserve">El precio y la disponibilidad de transmisión varían</w:t>
            </w:r>
          </w:p>
        </w:tc>
      </w:tr>
      <w:tr>
        <w:tc>
          <w:tcPr/>
          <w:p>
            <w:pPr>
              <w:pStyle w:val="Compact"/>
              <w:jc w:val="left"/>
            </w:pPr>
            <w:r>
              <w:t xml:space="preserve">Batería de cuatro horas</w:t>
            </w:r>
          </w:p>
        </w:tc>
        <w:tc>
          <w:tcPr/>
          <w:p>
            <w:pPr>
              <w:pStyle w:val="Compact"/>
              <w:jc w:val="left"/>
            </w:pPr>
            <w:r>
              <w:t xml:space="preserve">Costo de oportunidad de la energía</w:t>
            </w:r>
          </w:p>
        </w:tc>
        <w:tc>
          <w:tcPr/>
          <w:p>
            <w:pPr>
              <w:pStyle w:val="Compact"/>
            </w:pPr>
            <w:r>
              <w:t xml:space="preserve">almacenada Segu</w:t>
            </w:r>
          </w:p>
        </w:tc>
        <w:tc>
          <w:tcPr/>
          <w:p>
            <w:pPr>
              <w:pStyle w:val="Compact"/>
              <w:jc w:val="left"/>
            </w:pPr>
            <w:r>
              <w:t xml:space="preserve">ndos Energía agotada tras descarga sostenida</w:t>
            </w:r>
          </w:p>
        </w:tc>
      </w:tr>
      <w:tr>
        <w:tc>
          <w:tcPr/>
          <w:p>
            <w:pPr>
              <w:pStyle w:val="Compact"/>
              <w:jc w:val="left"/>
            </w:pPr>
            <w:r>
              <w:t xml:space="preserve">Respuesta a la demanda indust</w:t>
            </w:r>
          </w:p>
        </w:tc>
        <w:tc>
          <w:tcPr/>
          <w:p>
            <w:pPr>
              <w:pStyle w:val="Compact"/>
              <w:jc w:val="left"/>
            </w:pPr>
            <w:r>
              <w:t xml:space="preserve">rial $250-$900/MWh recortados</w:t>
            </w:r>
          </w:p>
        </w:tc>
        <w:tc>
          <w:tcPr/>
          <w:p>
            <w:pPr>
              <w:pStyle w:val="Compact"/>
            </w:pPr>
            <w:r>
              <w:t xml:space="preserve">10-30 minutos</w:t>
            </w:r>
          </w:p>
        </w:tc>
        <w:tc>
          <w:tcPr/>
          <w:p>
            <w:pPr>
              <w:pStyle w:val="Compact"/>
              <w:jc w:val="left"/>
            </w:pPr>
            <w:r>
              <w:t xml:space="preserve">Participación del cliente e impacto en la producción</w:t>
            </w:r>
          </w:p>
        </w:tc>
      </w:tr>
      <w:tr>
        <w:tc>
          <w:tcPr/>
          <w:p>
            <w:pPr>
              <w:pStyle w:val="Compact"/>
              <w:jc w:val="left"/>
            </w:pPr>
            <w:r>
              <w:t xml:space="preserve">Interrupción controlada</w:t>
            </w:r>
          </w:p>
        </w:tc>
        <w:tc>
          <w:tcPr/>
          <w:p>
            <w:pPr>
              <w:pStyle w:val="Compact"/>
              <w:jc w:val="left"/>
            </w:pPr>
            <w:r>
              <w:t xml:space="preserve">No se valora como energía ordinaria</w:t>
            </w:r>
          </w:p>
        </w:tc>
        <w:tc>
          <w:tcPr/>
          <w:p>
            <w:pPr>
              <w:pStyle w:val="Compact"/>
            </w:pPr>
            <w:r>
              <w:t xml:space="preserve">Minutos</w:t>
            </w:r>
          </w:p>
        </w:tc>
        <w:tc>
          <w:tcPr/>
          <w:p>
            <w:pPr>
              <w:pStyle w:val="Compact"/>
              <w:jc w:val="left"/>
            </w:pPr>
            <w:r>
              <w:t xml:space="preserve">Costo social, de seguridad y reputacional severo</w:t>
            </w:r>
          </w:p>
        </w:tc>
      </w:tr>
    </w:tbl>
    <w:p>
      <w:pPr>
        <w:pStyle w:val="BodyText"/>
      </w:pPr>
      <w:r>
        <w:t xml:space="preserve">Los valores son estimaciones de planificación ficticias destinadas a ilustrar diferencias en costo, velocidad y duración.</w:t>
      </w:r>
    </w:p>
    <w:bookmarkEnd w:id="11"/>
    <w:bookmarkStart w:id="12" w:name="X3dd5fad6d23ceda7c140a9d625f557fd0ad4423"/>
    <w:p>
      <w:pPr>
        <w:pStyle w:val="Heading1"/>
      </w:pPr>
      <w:r>
        <w:t xml:space="preserve">Inversiones que Determinan las Operaciones Futuras</w:t>
      </w:r>
    </w:p>
    <w:p>
      <w:pPr>
        <w:pStyle w:val="FirstParagraph"/>
      </w:pPr>
      <w:r>
        <w:t xml:space="preserve">El problema operativo del 22 de julio era inmediato, pero la junta directiva le había pedido a Marquez que recomendara una estrategia de recursos para la próxima década. El personal había desarrollado cinco iniciativas: una planta de gas de 1,000 MW; 3,000 MW adicionales de baterías de cuatro horas; una expansión de transmisión de 500 millas que conectara los recursos eólicos del norte; sensores avanzados y clasificaciones dinámicas de líneas que podrían aumentar la capacidad de transmisión utilizable; y un gran programa de flexibilidad de demanda para centros de datos, fabricantes, edificios comerciales, vehículos eléctricos y termostatos residenciales.</w:t>
      </w:r>
    </w:p>
    <w:p>
      <w:pPr>
        <w:pStyle w:val="BodyText"/>
      </w:pPr>
      <w:r>
        <w:t xml:space="preserve">Cada iniciativa dependía de supuestos fuera del control de BRSO. Los precios del gas podían permanecer moderados o aumentar bruscamente. Los costos de las baterías podían continuar cayendo, mientras que los requisitos de la cadena de suministro o de seguridad podían aumentarlos. Los centros de datos podrían aceptar un servicio flexible, pero solo si las reglas de interrupción fueran predecibles. La transmisión podría retrasarse por propietarios de tierras, revisiones ambientales o desacuerdos estatales sobre quién debería pagar. Los pequeños reactores nucleares modulares y el almacenamiento de larga duración podrían volverse comercialmente viables, pero su cronograma y costos seguían siendo inciertos.</w:t>
      </w:r>
    </w:p>
    <w:p>
      <w:pPr>
        <w:pStyle w:val="BodyText"/>
      </w:pPr>
      <w:r>
        <w:t xml:space="preserve">Los reguladores también tenían prioridades diferentes. Franklin quería una interconexión más rápida de los centros de datos debido a los ingresos fiscales y los empleos de construcción. Monroe se oponía a pagar por transmisión construida principalmente para servir al crecimiento de Franklin. Easton quería que BRSO cumpliera objetivos de carbono más estrictos y protegiera a los clientes de bajos ingresos de los aumentos de tarifas. Los defensores del consumidor argumentaban que las grandes nuevas cargas deberían financiar la capacidad que requerían. Los desarrolladores de centros de datos contraargumentaban que los cargos especiales impulsarían la inversión hacia otras regiones.</w:t>
      </w:r>
    </w:p>
    <w:p>
      <w:pPr>
        <w:pStyle w:val="BodyText"/>
      </w:pPr>
      <w:r>
        <w:t xml:space="preserve">Exhibit 4. Iniciativas de largo plazo bajo consideración</w:t>
      </w:r>
    </w:p>
    <w:tbl>
      <w:tblPr>
        <w:tblStyle w:val="Table"/>
        <w:tblW w:type="pct" w:w="4931"/>
        <w:tblLayout w:type="fixed"/>
        <w:tblLook w:firstRow="1" w:lastRow="0" w:firstColumn="0" w:lastColumn="0" w:noHBand="0" w:noVBand="0" w:val="0020"/>
      </w:tblPr>
      <w:tblGrid>
        <w:gridCol w:w="2090"/>
        <w:gridCol w:w="1595"/>
        <w:gridCol w:w="1045"/>
        <w:gridCol w:w="3080"/>
      </w:tblGrid>
      <w:tr>
        <w:trPr>
          <w:tblHeader w:val="on"/>
        </w:trPr>
        <w:tc>
          <w:tcPr/>
          <w:p>
            <w:pPr>
              <w:pStyle w:val="Compact"/>
              <w:jc w:val="left"/>
            </w:pPr>
            <w:r>
              <w:t xml:space="preserve">Iniciativa</w:t>
            </w:r>
          </w:p>
        </w:tc>
        <w:tc>
          <w:tcPr/>
          <w:p>
            <w:pPr>
              <w:pStyle w:val="Compact"/>
            </w:pPr>
            <w:r>
              <w:t xml:space="preserve">Costo de capital ilustrativo</w:t>
            </w:r>
          </w:p>
        </w:tc>
        <w:tc>
          <w:tcPr/>
          <w:p>
            <w:pPr>
              <w:pStyle w:val="Compact"/>
              <w:jc w:val="right"/>
            </w:pPr>
            <w:r>
              <w:t xml:space="preserve">Fecha de servici</w:t>
            </w:r>
          </w:p>
        </w:tc>
        <w:tc>
          <w:tcPr/>
          <w:p>
            <w:pPr>
              <w:pStyle w:val="Compact"/>
              <w:jc w:val="left"/>
            </w:pPr>
            <w:r>
              <w:t xml:space="preserve">o más temprana Principal pregunta abierta</w:t>
            </w:r>
          </w:p>
        </w:tc>
      </w:tr>
      <w:tr>
        <w:tc>
          <w:tcPr/>
          <w:p>
            <w:pPr>
              <w:pStyle w:val="Compact"/>
              <w:jc w:val="left"/>
            </w:pPr>
            <w:r>
              <w:t xml:space="preserve">Planta de ciclo combinado de gas de 1,</w:t>
            </w:r>
          </w:p>
        </w:tc>
        <w:tc>
          <w:tcPr/>
          <w:p>
            <w:pPr>
              <w:pStyle w:val="Compact"/>
            </w:pPr>
            <w:r>
              <w:t xml:space="preserve">000 MW $1.4 billion</w:t>
            </w:r>
          </w:p>
        </w:tc>
        <w:tc>
          <w:tcPr/>
          <w:p>
            <w:pPr>
              <w:pStyle w:val="Compact"/>
              <w:jc w:val="right"/>
            </w:pPr>
            <w:r>
              <w:t xml:space="preserve">2030</w:t>
            </w:r>
          </w:p>
        </w:tc>
        <w:tc>
          <w:tcPr/>
          <w:p>
            <w:pPr>
              <w:pStyle w:val="Compact"/>
              <w:jc w:val="left"/>
            </w:pPr>
            <w:r>
              <w:t xml:space="preserve">Combustible, política de emisiones y utilización</w:t>
            </w:r>
          </w:p>
        </w:tc>
      </w:tr>
      <w:tr>
        <w:tc>
          <w:tcPr/>
          <w:p>
            <w:pPr>
              <w:pStyle w:val="Compact"/>
              <w:jc w:val="left"/>
            </w:pPr>
            <w:r>
              <w:t xml:space="preserve">Baterías de 3,000 MW / 12,000 MWh</w:t>
            </w:r>
          </w:p>
        </w:tc>
        <w:tc>
          <w:tcPr/>
          <w:p>
            <w:pPr>
              <w:pStyle w:val="Compact"/>
            </w:pPr>
            <w:r>
              <w:t xml:space="preserve">$4.2 billion</w:t>
            </w:r>
          </w:p>
        </w:tc>
        <w:tc>
          <w:tcPr/>
          <w:p>
            <w:pPr>
              <w:pStyle w:val="Compact"/>
              <w:jc w:val="right"/>
            </w:pPr>
            <w:r>
              <w:t xml:space="preserve">2028-2031</w:t>
            </w:r>
          </w:p>
        </w:tc>
        <w:tc>
          <w:tcPr/>
          <w:p>
            <w:pPr>
              <w:pStyle w:val="Compact"/>
              <w:jc w:val="left"/>
            </w:pPr>
            <w:r>
              <w:t xml:space="preserve">Valor durante escaseces prolongadas y costo de reemplazo</w:t>
            </w:r>
          </w:p>
        </w:tc>
      </w:tr>
      <w:tr>
        <w:tc>
          <w:tcPr/>
          <w:p>
            <w:pPr>
              <w:pStyle w:val="Compact"/>
              <w:jc w:val="left"/>
            </w:pPr>
            <w:r>
              <w:t xml:space="preserve">Programa de transmisión del norte</w:t>
            </w:r>
          </w:p>
        </w:tc>
        <w:tc>
          <w:tcPr/>
          <w:p>
            <w:pPr>
              <w:pStyle w:val="Compact"/>
            </w:pPr>
            <w:r>
              <w:t xml:space="preserve">$7.8 billion</w:t>
            </w:r>
          </w:p>
        </w:tc>
        <w:tc>
          <w:tcPr/>
          <w:p>
            <w:pPr>
              <w:pStyle w:val="Compact"/>
              <w:jc w:val="right"/>
            </w:pPr>
            <w:r>
              <w:t xml:space="preserve">2034</w:t>
            </w:r>
          </w:p>
        </w:tc>
        <w:tc>
          <w:tcPr/>
          <w:p>
            <w:pPr>
              <w:pStyle w:val="Compact"/>
              <w:jc w:val="left"/>
            </w:pPr>
            <w:r>
              <w:t xml:space="preserve">Permisos, asignación de costos, desarrollo renovable</w:t>
            </w:r>
          </w:p>
        </w:tc>
      </w:tr>
      <w:tr>
        <w:tc>
          <w:tcPr/>
          <w:p>
            <w:pPr>
              <w:pStyle w:val="Compact"/>
              <w:jc w:val="left"/>
            </w:pPr>
            <w:r>
              <w:t xml:space="preserve">Sensores y clasificaciones dinámicas d</w:t>
            </w:r>
          </w:p>
        </w:tc>
        <w:tc>
          <w:tcPr/>
          <w:p>
            <w:pPr>
              <w:pStyle w:val="Compact"/>
            </w:pPr>
            <w:r>
              <w:t xml:space="preserve">e líneas $620 million</w:t>
            </w:r>
          </w:p>
        </w:tc>
        <w:tc>
          <w:tcPr/>
          <w:p>
            <w:pPr>
              <w:pStyle w:val="Compact"/>
              <w:jc w:val="right"/>
            </w:pPr>
            <w:r>
              <w:t xml:space="preserve">2028</w:t>
            </w:r>
          </w:p>
        </w:tc>
        <w:tc>
          <w:tcPr/>
          <w:p>
            <w:pPr>
              <w:pStyle w:val="Compact"/>
              <w:jc w:val="left"/>
            </w:pPr>
            <w:r>
              <w:t xml:space="preserve">Cuánta capacidad confiable se crea</w:t>
            </w:r>
          </w:p>
        </w:tc>
      </w:tr>
      <w:tr>
        <w:tc>
          <w:tcPr/>
          <w:p>
            <w:pPr>
              <w:pStyle w:val="Compact"/>
              <w:jc w:val="left"/>
            </w:pPr>
            <w:r>
              <w:t xml:space="preserve">Plataforma de carga flexible</w:t>
            </w:r>
          </w:p>
        </w:tc>
        <w:tc>
          <w:tcPr/>
          <w:p>
            <w:pPr>
              <w:pStyle w:val="Compact"/>
            </w:pPr>
            <w:r>
              <w:t xml:space="preserve">$850 million over 7 years</w:t>
            </w:r>
          </w:p>
        </w:tc>
        <w:tc>
          <w:tcPr/>
          <w:p>
            <w:pPr>
              <w:pStyle w:val="Compact"/>
              <w:jc w:val="right"/>
            </w:pPr>
            <w:r>
              <w:t xml:space="preserve">2028</w:t>
            </w:r>
          </w:p>
        </w:tc>
        <w:tc>
          <w:tcPr/>
          <w:p>
            <w:pPr>
              <w:pStyle w:val="Compact"/>
              <w:jc w:val="left"/>
            </w:pPr>
            <w:r>
              <w:t xml:space="preserve">Inscripción, respuesta, ciberseguridad, fatiga del cliente</w:t>
            </w:r>
          </w:p>
        </w:tc>
      </w:tr>
      <w:tr>
        <w:tc>
          <w:tcPr/>
          <w:p>
            <w:pPr>
              <w:pStyle w:val="Compact"/>
              <w:jc w:val="left"/>
            </w:pPr>
            <w:r>
              <w:t xml:space="preserve">Demostración de almacenamiento de larg</w:t>
            </w:r>
          </w:p>
        </w:tc>
        <w:tc>
          <w:tcPr/>
          <w:p>
            <w:pPr>
              <w:pStyle w:val="Compact"/>
            </w:pPr>
            <w:r>
              <w:t xml:space="preserve">a duración $1.1 billion</w:t>
            </w:r>
          </w:p>
        </w:tc>
        <w:tc>
          <w:tcPr/>
          <w:p>
            <w:pPr>
              <w:pStyle w:val="Compact"/>
              <w:jc w:val="right"/>
            </w:pPr>
            <w:r>
              <w:t xml:space="preserve">2031</w:t>
            </w:r>
          </w:p>
        </w:tc>
        <w:tc>
          <w:tcPr/>
          <w:p>
            <w:pPr>
              <w:pStyle w:val="Compact"/>
              <w:jc w:val="left"/>
            </w:pPr>
            <w:r>
              <w:t xml:space="preserve">Desempeño tecnológico y escalabilidad comercial</w:t>
            </w:r>
          </w:p>
        </w:tc>
      </w:tr>
    </w:tbl>
    <w:p>
      <w:pPr>
        <w:pStyle w:val="BodyText"/>
      </w:pPr>
      <w:r>
        <w:t xml:space="preserve">Todos los costos y fechas son ficticios y estarían sujetos a una incertidumbre sustancial.</w:t>
      </w:r>
    </w:p>
    <w:bookmarkEnd w:id="12"/>
    <w:bookmarkStart w:id="13" w:name="la-llamada-de-las-200-p.m."/>
    <w:p>
      <w:pPr>
        <w:pStyle w:val="Heading1"/>
      </w:pPr>
      <w:r>
        <w:t xml:space="preserve">La Llamada de las 2:00 P.M.</w:t>
      </w:r>
    </w:p>
    <w:p>
      <w:pPr>
        <w:pStyle w:val="FirstParagraph"/>
      </w:pPr>
      <w:r>
        <w:t xml:space="preserve">A la 1:55 p.m., el propietario de Riverbend le dijo a BRSO que la Unidad 4 probablemente podría permanecer en línea a 500 MW, pero había un 20 por ciento de probabilidad de que la vibración forzara un cierre completo antes de las 7:00 p.m. Mantener la unidad en línea podría empeorar el daño al equipo. El servicio meteorológico occidental adelantó cuarenta y cinco minutos la llegada esperada de la tormenta eléctrica. Los precios de importación en tiempo real se habían duplicado en quince minutos.</w:t>
      </w:r>
    </w:p>
    <w:p>
      <w:pPr>
        <w:pStyle w:val="BodyText"/>
      </w:pPr>
      <w:r>
        <w:t xml:space="preserve">La vicepresidenta de operaciones recomendó poner en marcha ambas unidades de punta a petróleo de inmediato y preservar las baterías hasta después del atardecer. El director de mercado prefería comprar importaciones y esperar mejor información, argumentando que las unidades de petróleo podrían funcionar innecesariamente. La directora de sostenibilidad propuso convocar 600 MW de respuesta a la demanda antes de las 4:00 p.m., pero el consejo de clientes industriales se había quejado de que BRSO ya había convocado cuatro eventos ese verano. El oficial de confiabilidad quería autorización para las tres acciones.</w:t>
      </w:r>
    </w:p>
    <w:p>
      <w:pPr>
        <w:pStyle w:val="BodyText"/>
      </w:pPr>
      <w:r>
        <w:t xml:space="preserve">Marquez también sabía que lo que sucediera daría forma al debate sobre inversiones. Una tarde tranquila podría usarse para argumentar que las baterías y la demanda flexible eran suficientes. Una emergencia podría fortalecer el argumento a favor de una planta de gas o una expansión de transmisión. Sin embargo, un solo día estresante no era necesariamente representativo de los próximos veinte años.</w:t>
      </w:r>
    </w:p>
    <w:p>
      <w:pPr>
        <w:pStyle w:val="BodyText"/>
      </w:pPr>
      <w:r>
        <w:t xml:space="preserve">A las 2:00 p.m., el director de la sala de control pidió instrucciones. Marquez tenía que decidir qué comprometer ahora, qué mantener en reserva, y cuánto riesgo debía aceptar BRSO mientras esperaba información que llegaría solo después de que algunas opciones hubieran desaparecido.</w:t>
      </w:r>
    </w:p>
    <w:bookmarkEnd w:id="13"/>
    <w:bookmarkStart w:id="14" w:name="preguntas-de-discusión"/>
    <w:p>
      <w:pPr>
        <w:pStyle w:val="Heading1"/>
      </w:pPr>
      <w:r>
        <w:t xml:space="preserve">Preguntas de Discusión</w:t>
      </w:r>
    </w:p>
    <w:p>
      <w:pPr>
        <w:numPr>
          <w:ilvl w:val="0"/>
          <w:numId w:val="1001"/>
        </w:numPr>
      </w:pPr>
      <w:r>
        <w:t xml:space="preserve">¿Qué debería autorizar Marquez a las 2:00 p.m.? ¿Qué recursos deberían comprometerse de inmediato y cuáles deberían preservarse para más tarde?</w:t>
      </w:r>
    </w:p>
    <w:p>
      <w:pPr>
        <w:numPr>
          <w:ilvl w:val="0"/>
          <w:numId w:val="1001"/>
        </w:numPr>
      </w:pPr>
      <w:r>
        <w:t xml:space="preserve">¿Cómo debería BRSO comparar una acción preventiva costosa con las consecuencias de baja probabilidad pero severas de una escasez?</w:t>
      </w:r>
    </w:p>
    <w:p>
      <w:pPr>
        <w:numPr>
          <w:ilvl w:val="0"/>
          <w:numId w:val="1001"/>
        </w:numPr>
      </w:pPr>
      <w:r>
        <w:t xml:space="preserve">¿Qué información sería más valiosa durante las próximas dos horas? ¿Cómo podría BRSO obtenerla?</w:t>
      </w:r>
    </w:p>
    <w:p>
      <w:pPr>
        <w:numPr>
          <w:ilvl w:val="0"/>
          <w:numId w:val="1001"/>
        </w:numPr>
      </w:pPr>
      <w:r>
        <w:t xml:space="preserve">¿Cómo debería el operador valorar la energía almacenada en baterías en diferentes momentos del día?</w:t>
      </w:r>
    </w:p>
    <w:p>
      <w:pPr>
        <w:numPr>
          <w:ilvl w:val="0"/>
          <w:numId w:val="1001"/>
        </w:numPr>
      </w:pPr>
      <w:r>
        <w:t xml:space="preserve">¿Cuándo debería tratarse la respuesta a la demanda como un recurso operativo ordinario, y cuándo el uso repetido socava su valor futuro?</w:t>
      </w:r>
    </w:p>
    <w:p>
      <w:pPr>
        <w:numPr>
          <w:ilvl w:val="0"/>
          <w:numId w:val="1001"/>
        </w:numPr>
      </w:pPr>
      <w:r>
        <w:t xml:space="preserve">¿Qué inversiones de largo plazo parecen complementarias, cuáles son sustitutas, y cómo deberían asignarse sus costos?</w:t>
      </w:r>
    </w:p>
    <w:p>
      <w:pPr>
        <w:pStyle w:val="FirstParagraph"/>
      </w:pPr>
      <w:r>
        <w:t xml:space="preserve">Nota del caso: Este caso ficticio se basa conceptualmente en Warren B. Powell,</w:t>
      </w:r>
      <w:r>
        <w:t xml:space="preserve"> </w:t>
      </w:r>
      <w:r>
        <w:t xml:space="preserve">“Electric Power Grid Management,”</w:t>
      </w:r>
      <w:r>
        <w:t xml:space="preserve"> </w:t>
      </w:r>
      <w:r>
        <w:t xml:space="preserve">Capítulo 2 de Bridging Decision Problems, Volume I: Framing the Problem. El contexto actual utiliza a la U.S. Energy Information Administration, 12 de marzo de 2026, y la 2025 Long-Term Reliability Assessment de NERC, enero de 2026. Todas las entidades, eventos y cifras de Blue River son ficticias, y el caso intencionalmente no identifica una estrategia óptima.</w:t>
      </w:r>
    </w:p>
    <w:bookmarkEnd w:id="14"/>
    <w:bookmarkStart w:id="20" w:name="preguntas-de-encuadre-de-decisión"/>
    <w:p>
      <w:pPr>
        <w:pStyle w:val="Heading1"/>
      </w:pPr>
      <w:r>
        <w:t xml:space="preserve">Preguntas de Encuadre de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Utilice la</w:t>
      </w:r>
      <w:r>
        <w:t xml:space="preserve"> </w:t>
      </w:r>
      <w:hyperlink r:id="rId15">
        <w:r>
          <w:rPr>
            <w:rStyle w:val="Hyperlink"/>
          </w:rPr>
          <w:t xml:space="preserve">herramienta de la pirámide de métricas</w:t>
        </w:r>
      </w:hyperlink>
      <w:r>
        <w:t xml:space="preserve"> </w:t>
      </w:r>
      <w:r>
        <w:t xml:space="preserve">para identificar y priorizar las diferentes métricas de desempeño. Haga clic en el óvalo que contiene la métrica para identificar si es una métrica que debe maximizarse (verde), minimizarse (rojo), un objetivo que es un piso (verde claro) o un techo (rojo claro), o finalmente un objetivo (morado).</w:t>
      </w:r>
    </w:p>
    <w:p>
      <w:pPr>
        <w:numPr>
          <w:ilvl w:val="0"/>
          <w:numId w:val="1002"/>
        </w:numPr>
      </w:pPr>
      <w:r>
        <w:t xml:space="preserve">Utilice la</w:t>
      </w:r>
      <w:r>
        <w:t xml:space="preserve"> </w:t>
      </w:r>
      <w:hyperlink r:id="rId16">
        <w:r>
          <w:rPr>
            <w:rStyle w:val="Hyperlink"/>
          </w:rPr>
          <w:t xml:space="preserve">herramienta de priorización de decisiones</w:t>
        </w:r>
      </w:hyperlink>
      <w:r>
        <w:t xml:space="preserve"> </w:t>
      </w:r>
      <w:r>
        <w:t xml:space="preserve">para primero enumerar los diferentes tipos de decisiones (use los</w:t>
      </w:r>
      <w:r>
        <w:t xml:space="preserve"> </w:t>
      </w:r>
      <w:hyperlink r:id="rId17">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nulo (blanco).</w:t>
      </w:r>
    </w:p>
    <w:p>
      <w:pPr>
        <w:numPr>
          <w:ilvl w:val="0"/>
          <w:numId w:val="1002"/>
        </w:numPr>
      </w:pPr>
      <w:r>
        <w:t xml:space="preserve">Puede tomar el asa (tres barras) más a la izquierda en cada fila para moverla hacia arriba o hacia abajo. Ordene las filas de modo que las decisiones con el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decisiones con impacto medio o alto en las métricas más importantes, revise su lista de decisiones.</w:t>
      </w:r>
    </w:p>
    <w:p>
      <w:pPr>
        <w:numPr>
          <w:ilvl w:val="0"/>
          <w:numId w:val="1002"/>
        </w:numPr>
      </w:pPr>
      <w:r>
        <w:t xml:space="preserve">Repita el proceso para enumerar y priorizar las incertidumbres utilizando la</w:t>
      </w:r>
      <w:r>
        <w:t xml:space="preserve"> </w:t>
      </w:r>
      <w:hyperlink r:id="rId18">
        <w:r>
          <w:rPr>
            <w:rStyle w:val="Hyperlink"/>
          </w:rPr>
          <w:t xml:space="preserve">herramienta de priorización de incertidumbres</w:t>
        </w:r>
      </w:hyperlink>
      <w:r>
        <w:t xml:space="preserve">. Utilice las</w:t>
      </w:r>
      <w:r>
        <w:t xml:space="preserve"> </w:t>
      </w:r>
      <w:hyperlink r:id="rId19">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utilizando el desempeño promedio a lo largo del tiempo?</w:t>
      </w:r>
    </w:p>
    <w:p>
      <w:pPr>
        <w:numPr>
          <w:ilvl w:val="1"/>
          <w:numId w:val="1003"/>
        </w:numPr>
      </w:pPr>
      <w:r>
        <w:t xml:space="preserve">¿Qué fuentes de incertidumbre representan formas de riesgo que no se capturan adecuadamente utilizando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utilizaría para tomar esta decisión?</w:t>
      </w:r>
    </w:p>
    <w:p>
      <w:pPr>
        <w:numPr>
          <w:ilvl w:val="1"/>
          <w:numId w:val="1004"/>
        </w:numPr>
      </w:pPr>
      <w:r>
        <w:t xml:space="preserve">¿Qué datos parecen ser necesarios para tomar esta decisión, incluido el cálculo de cualquier métrica de desempeño donde la decisión tendría un impacto alto o medio?</w:t>
      </w:r>
    </w:p>
    <w:p>
      <w:pPr>
        <w:numPr>
          <w:ilvl w:val="0"/>
          <w:numId w:val="1002"/>
        </w:numPr>
      </w:pPr>
      <w:r>
        <w:t xml:space="preserve">Utilizando la misma decisión que identificó en (7), identifique a las personas, departamentos, grupos u organizaciones con los que necesitaría trabajar para implementar la decisión.</w:t>
      </w:r>
    </w:p>
    <w:bookmarkEnd w:id="20"/>
    <w:bookmarkStart w:id="23" w:name="notas-de-chatgpt"/>
    <w:p>
      <w:pPr>
        <w:pStyle w:val="Heading1"/>
      </w:pPr>
      <w:r>
        <w:t xml:space="preserve">Notas de ChatGPT</w:t>
      </w:r>
    </w:p>
    <w:bookmarkStart w:id="21" w:name="prompt"/>
    <w:p>
      <w:pPr>
        <w:pStyle w:val="Heading2"/>
      </w:pPr>
      <w:r>
        <w:t xml:space="preserve">Prompt</w:t>
      </w:r>
    </w:p>
    <w:p>
      <w:pPr>
        <w:pStyle w:val="FirstParagraph"/>
      </w:pPr>
      <w:r>
        <w:t xml:space="preserve">Escriba un estudio de caso de 4 a 6 páginas basado en el material de la sección en https://warrenpowell.org/bridging-vol1/chapter-2/#electric-power-grid-management. Cree un contexto basado en las métricas, decisiones e incertidumbres de la sección, pero sin llamar explícitamente la atención sobre ellas. Motive su problema de caso con datos.</w:t>
      </w:r>
    </w:p>
    <w:bookmarkEnd w:id="21"/>
    <w:bookmarkStart w:id="22" w:name="resumen"/>
    <w:p>
      <w:pPr>
        <w:pStyle w:val="Heading2"/>
      </w:pPr>
      <w:r>
        <w:t xml:space="preserve">Resumen</w:t>
      </w:r>
    </w:p>
    <w:p>
      <w:pPr>
        <w:pStyle w:val="FirstParagraph"/>
      </w:pPr>
      <w:r>
        <w:t xml:space="preserve">El caso ubica a un operador regional de red ficticio en medio de un día de demanda récord de verano. Debe decidir cómo responder a la producción solar y eólica incierta, un generador de gas potencialmente fallando, precios de mercado en alza, duración limitada de baterías, restricciones de transmisión y una participación poco confiable en la respuesta a la demanda.</w:t>
      </w:r>
    </w:p>
    <w:p>
      <w:pPr>
        <w:pStyle w:val="BodyText"/>
      </w:pPr>
      <w:r>
        <w:t xml:space="preserve">Incluye:</w:t>
      </w:r>
    </w:p>
    <w:p>
      <w:pPr>
        <w:numPr>
          <w:ilvl w:val="0"/>
          <w:numId w:val="1005"/>
        </w:numPr>
      </w:pPr>
      <w:r>
        <w:t xml:space="preserve">Decisiones operativas de hora previa y en tiempo real</w:t>
      </w:r>
    </w:p>
    <w:p>
      <w:pPr>
        <w:numPr>
          <w:ilvl w:val="0"/>
          <w:numId w:val="1005"/>
        </w:numPr>
      </w:pPr>
      <w:r>
        <w:t xml:space="preserve">Recursos nucleares, de carbón, gas, petróleo, eólicos, solares, hidroeléctricos, de importación y baterías</w:t>
      </w:r>
    </w:p>
    <w:p>
      <w:pPr>
        <w:numPr>
          <w:ilvl w:val="0"/>
          <w:numId w:val="1005"/>
        </w:numPr>
      </w:pPr>
      <w:r>
        <w:t xml:space="preserve">Tiempos de arranque de generadores y diferencias de costo operativo</w:t>
      </w:r>
    </w:p>
    <w:p>
      <w:pPr>
        <w:numPr>
          <w:ilvl w:val="0"/>
          <w:numId w:val="1005"/>
        </w:numPr>
      </w:pPr>
      <w:r>
        <w:t xml:space="preserve">Mercados eléctricos de cinco minutos y regulación de frecuencia segundo a segundo</w:t>
      </w:r>
    </w:p>
    <w:p>
      <w:pPr>
        <w:numPr>
          <w:ilvl w:val="0"/>
          <w:numId w:val="1005"/>
        </w:numPr>
      </w:pPr>
      <w:r>
        <w:t xml:space="preserve">Incertidumbre climática, de falla de equipos, de precios de combustible, regulatoria y tecnológica</w:t>
      </w:r>
    </w:p>
    <w:p>
      <w:pPr>
        <w:numPr>
          <w:ilvl w:val="0"/>
          <w:numId w:val="1005"/>
        </w:numPr>
      </w:pPr>
      <w:r>
        <w:t xml:space="preserve">Conflictos entre confiabilidad, costo para el cliente, emisiones y continuidad del servicio</w:t>
      </w:r>
    </w:p>
    <w:p>
      <w:pPr>
        <w:numPr>
          <w:ilvl w:val="0"/>
          <w:numId w:val="1005"/>
        </w:numPr>
      </w:pPr>
      <w:r>
        <w:t xml:space="preserve">Alternativas de largo plazo que involucran generación a gas, baterías, transmisión, sensores de red, demanda flexible y almacenamiento de larga duración</w:t>
      </w:r>
    </w:p>
    <w:p>
      <w:pPr>
        <w:numPr>
          <w:ilvl w:val="0"/>
          <w:numId w:val="1005"/>
        </w:numPr>
      </w:pPr>
      <w:r>
        <w:t xml:space="preserve">Cuatro exhibiciones cuantitativas y un punto de decisión sin resolver</w:t>
      </w:r>
    </w:p>
    <w:p>
      <w:pPr>
        <w:pStyle w:val="FirstParagraph"/>
      </w:pPr>
      <w:r>
        <w:t xml:space="preserve">El entorno de negocio está motivado por hallazgos de la EIA de que la demanda eléctrica de EE.UU. creció aproximadamente 1.7% anual entre 2020 y 2025, tras aproximadamente una década de crecimiento casi plano. La evaluación de 2025 de NERC proyectó 224 GW de demanda pico de verano adicional en diez años, con los centros de datos representando gran parte del aumento.</w:t>
      </w:r>
    </w:p>
    <w:p>
      <w:pPr>
        <w:pStyle w:val="BodyText"/>
      </w:pPr>
      <w:r>
        <w:t xml:space="preserve">El caso sigue la estructura de la sección específica de gestión de redes eléctricas sin separar explícitamente sus medidas de desempeño subyacentes, acciones disponibles y fuentes de incertidumbre.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2026-09-11T15:11:11Z</dcterms:created>
  <dcterms:modified xsi:type="dcterms:W3CDTF">2026-09-11T15:11:11Z</dcterms:modified>
</cp:coreProperties>
</file>

<file path=docProps/custom.xml><?xml version="1.0" encoding="utf-8"?>
<Properties xmlns="http://schemas.openxmlformats.org/officeDocument/2006/custom-properties" xmlns:vt="http://schemas.openxmlformats.org/officeDocument/2006/docPropsVTypes"/>
</file>