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CASO DE ESTUDIO DE ESCUELA DE NEGOCIOS | JULIO 2026</w:t>
      </w:r>
    </w:p>
    <w:p>
      <w:pPr>
        <w:pStyle w:val="BodyText"/>
      </w:pPr>
      <w:r>
        <w:t xml:space="preserve">BrightNest Home Services</w:t>
      </w:r>
    </w:p>
    <w:p>
      <w:pPr>
        <w:pStyle w:val="BodyText"/>
      </w:pPr>
      <w:r>
        <w:t xml:space="preserve">El Dilema del Lanzamiento de Dos Caras</w:t>
      </w:r>
    </w:p>
    <w:p>
      <w:pPr>
        <w:pStyle w:val="BodyText"/>
      </w:pPr>
      <w:r>
        <w:t xml:space="preserve">Todas las organizaciones e individuos en este caso son ficticios. Las estadísticas públicas se utilizan únicamente para establecer el contexto del mercado y laboral. El caso intencionalmente no identifica una solución preferida.</w:t>
      </w:r>
    </w:p>
    <w:p>
      <w:pPr>
        <w:pStyle w:val="BodyText"/>
      </w:pPr>
      <w:r>
        <w:t xml:space="preserve">A las 7:15 a.m. de un lunes de julio de 2026, Maya Chen, fundadora y directora ejecutiva de BrightNest Home Services, abrió un panel de control que parecía confirmar tanto la promesa como el peligro de la empresa que había construido. En sus tres mercados piloto, 2,840 hogares habían solicitado una limpieza inicial durante las seis semanas anteriores. Sin embargo, BrightNest solo había completado 1,910 citas. Casi uno de cada cinco clientes había esperado más de siete días, y el 14 por ciento de los trabajos programados habían sido reasignados después de que un limpiador cancelara o no confirmara.</w:t>
      </w:r>
    </w:p>
    <w:p>
      <w:pPr>
        <w:pStyle w:val="BodyText"/>
      </w:pPr>
      <w:r>
        <w:t xml:space="preserve">La empresa había recaudado $18 millones para construir un servicio de limpieza del hogar habilitado por tecnología. Los clientes podían solicitar una limpieza única o recurrente a través de una aplicación, recibir un precio instantáneo, seleccionar una franja horaria y calificar el trabajo. BrightNest planeaba reclutar limpiadores a través de una plataforma nacional de búsqueda de empleo que podía anunciar oportunidades de limpieza flexibles en cada mercado laboral importante de EE. UU. El concepto parecía escalable: la publicidad podía generar clientes y la plataforma de empleo podía generar trabajadores. La economía era menos favorable.</w:t>
      </w:r>
    </w:p>
    <w:p>
      <w:pPr>
        <w:pStyle w:val="BodyText"/>
      </w:pPr>
      <w:r>
        <w:t xml:space="preserve">BrightNest cobraba un promedio de $168 por una primera limpieza estándar y $142 por una visita recurrente. Para atraer clientes, había probado descuentos que iban del $20 al 40 por ciento. Para atraer limpiadores, anunciaba ganancias de $24 a $30 por hora activa de limpieza, horarios flexibles, pago instantáneo y suplementos de kilometraje en áreas seleccionadas. Una vez incluidos el tiempo de viaje, los impuestos sobre nómina o las tarifas de contratista, el seguro, el gasto de adquisición de clientes, los insumos de limpieza, los reembolsos y los costos de soporte, varias combinaciones de cliente-limpiador producían una pérdida.</w:t>
      </w:r>
    </w:p>
    <w:p>
      <w:pPr>
        <w:pStyle w:val="BodyText"/>
      </w:pPr>
      <w:r>
        <w:t xml:space="preserve">Chen le había prometido a la junta directiva una recomendación de lanzamiento en cuatro semanas. La junta quería saber si BrightNest debía entrar en cinco áreas metropolitanas cuidadosamente seleccionadas, lanzarse en 25 ciudades usando la plataforma de empleo, o abrir a nivel nacional y permitir que la oferta y la demanda surgieran orgánicamente. La decisión dependía de más que del tamaño del mercado. BrightNest necesitaba suficientes limpiadores en cada vecindario, en las horas adecuadas, con transporte confiable y equipo apropiado. También necesitaba clientes cuya disposición a pagar pudiera sustentar una compensación atractiva.</w:t>
      </w:r>
    </w:p>
    <w:bookmarkStart w:id="9" w:name="un-mercado-grande-pero-difícil-de-medir"/>
    <w:p>
      <w:pPr>
        <w:pStyle w:val="Heading1"/>
      </w:pPr>
      <w:r>
        <w:t xml:space="preserve">Un mercado grande pero difícil de medir</w:t>
      </w:r>
    </w:p>
    <w:p>
      <w:pPr>
        <w:pStyle w:val="FirstParagraph"/>
      </w:pPr>
      <w:r>
        <w:t xml:space="preserve">La limpieza del hogar se encuentra dentro de un mercado fragmentado que incluye empresas locales, franquicias, proveedores individuales, arreglos informales y servicios mediados por aplicaciones. Estados Unidos tenía aproximadamente 132 millones de hogares a mediados de la década de 2020. BrightNest estimó que entre el 5 y el 12 por ciento compraba limpieza del hogar pagada al menos una vez al año, mientras que una proporción mucho menor compraba el servicio semanal o quincenalmente. Debido a que muchas transacciones involucran a propietarios únicos o arreglos informales, los ingresos nacionales son difíciles de observar directamente.</w:t>
      </w:r>
    </w:p>
    <w:p>
      <w:pPr>
        <w:pStyle w:val="BodyText"/>
      </w:pPr>
      <w:r>
        <w:t xml:space="preserve">Los datos del Censo mostraron la importancia de los proveedores independientes en el trabajo de limpieza adyacente: las propiedades unipersonales en servicios de conserjería generaron aproximadamente $20 mil millones en ingresos en 2023. BrightNest creía que la limpieza residencial representaba una oportunidad de varios miles de millones de dólares, pero la dirección discrepaba fuertemente sobre el mercado atendible para una aplicación de marca a precios suficientemente altos como para sustentar calidad, seguro y mano de obra confiable.</w:t>
      </w:r>
    </w:p>
    <w:bookmarkEnd w:id="9"/>
    <w:bookmarkStart w:id="11" w:name="la-máquina-de-adquisición-de-clientes"/>
    <w:p>
      <w:pPr>
        <w:pStyle w:val="Heading1"/>
      </w:pPr>
      <w:r>
        <w:t xml:space="preserve">La máquina de adquisición de clientes</w:t>
      </w:r>
    </w:p>
    <w:p>
      <w:pPr>
        <w:pStyle w:val="FirstParagraph"/>
      </w:pPr>
      <w:r>
        <w:t xml:space="preserve">El equipo de crecimiento había organizado la adquisición de clientes en torno a cuatro canales: búsqueda pagada, redes sociales, mercados digitales locales y programas de referidos vecinales. Cada canal producía una mezcla diferente de clientes. La publicidad de búsqueda atraía a personas con intención inmediata pero era costosa. Las redes sociales generaban clientes potenciales de manera económica pero tenían bajas tasas de reserva. Los créditos de referidos producían clientes recurrentes pero tardaban en desarrollarse. Las asociaciones con administradores de apartamentos, agentes inmobiliarios y empleadores ofrecían bloques más grandes de demanda pero generalmente requerían descuentos o garantías de servicio.</w:t>
      </w:r>
    </w:p>
    <w:p>
      <w:pPr>
        <w:pStyle w:val="BodyText"/>
      </w:pPr>
      <w:r>
        <w:t xml:space="preserve">El descuento de limpieza inicial creó el mayor desacuerdo. El director de crecimiento argumentó que una primera visita con descuento reducía el riesgo percibido por los clientes y le daba a la empresa la oportunidad de convertirlos en servicio recurrente. El director financiero veía los grandes descuentos como un mecanismo para atraer a clientes sensibles al precio que quizás nunca volvieran a pedir el servicio. Los gerentes de operaciones se preocupaban de que las promociones pudieran crear un aumento repentino de reservas antes de que un grupo local de limpiadores estuviera listo.</w:t>
      </w:r>
    </w:p>
    <w:bookmarkStart w:id="10" w:name="X6958fcf24de42ad1d6b2f73af5960224c5e8232"/>
    <w:p>
      <w:pPr>
        <w:pStyle w:val="Heading2"/>
      </w:pPr>
      <w:r>
        <w:t xml:space="preserve">Anexo 1. Resultados de adquisición de clientes del piloto</w:t>
      </w:r>
    </w:p>
    <w:tbl>
      <w:tblPr>
        <w:tblStyle w:val="Table"/>
        <w:tblW w:type="pct" w:w="4922"/>
        <w:tblLayout w:type="fixed"/>
        <w:tblLook w:firstRow="1" w:lastRow="0" w:firstColumn="0" w:lastColumn="0" w:noHBand="0" w:noVBand="0" w:val="0020"/>
      </w:tblPr>
      <w:tblGrid>
        <w:gridCol w:w="1794"/>
        <w:gridCol w:w="1856"/>
        <w:gridCol w:w="1175"/>
        <w:gridCol w:w="1299"/>
        <w:gridCol w:w="1670"/>
      </w:tblGrid>
      <w:tr>
        <w:trPr>
          <w:tblHeader w:val="on"/>
        </w:trPr>
        <w:tc>
          <w:tcPr/>
          <w:p>
            <w:pPr>
              <w:pStyle w:val="Compact"/>
              <w:jc w:val="left"/>
            </w:pPr>
            <w:r>
              <w:t xml:space="preserve">Canal</w:t>
            </w:r>
          </w:p>
        </w:tc>
        <w:tc>
          <w:tcPr/>
          <w:p>
            <w:pPr>
              <w:pStyle w:val="Compact"/>
              <w:jc w:val="right"/>
            </w:pPr>
            <w:r>
              <w:t xml:space="preserve">Costo por primera limpieza re</w:t>
            </w:r>
          </w:p>
        </w:tc>
        <w:tc>
          <w:tcPr/>
          <w:p>
            <w:pPr>
              <w:pStyle w:val="Compact"/>
            </w:pPr>
            <w:r>
              <w:t xml:space="preserve">servada Descuento</w:t>
            </w:r>
          </w:p>
        </w:tc>
        <w:tc>
          <w:tcPr/>
          <w:p>
            <w:pPr>
              <w:pStyle w:val="Compact"/>
              <w:jc w:val="right"/>
            </w:pPr>
            <w:r>
              <w:t xml:space="preserve">promedio Tasa de r</w:t>
            </w:r>
          </w:p>
        </w:tc>
        <w:tc>
          <w:tcPr/>
          <w:p>
            <w:pPr>
              <w:pStyle w:val="Compact"/>
            </w:pPr>
            <w:r>
              <w:t xml:space="preserve">epetición a 30 días Tasa de cancelación/reembolso</w:t>
            </w:r>
          </w:p>
        </w:tc>
      </w:tr>
      <w:tr>
        <w:tc>
          <w:tcPr/>
          <w:p>
            <w:pPr>
              <w:pStyle w:val="Compact"/>
              <w:jc w:val="left"/>
            </w:pPr>
            <w:r>
              <w:t xml:space="preserve">Búsqueda pagada</w:t>
            </w:r>
          </w:p>
        </w:tc>
        <w:tc>
          <w:tcPr/>
          <w:p>
            <w:pPr>
              <w:pStyle w:val="Compact"/>
              <w:jc w:val="right"/>
            </w:pPr>
            <w:r>
              <w:t xml:space="preserve">$72</w:t>
            </w:r>
          </w:p>
        </w:tc>
        <w:tc>
          <w:tcPr/>
          <w:p>
            <w:pPr>
              <w:pStyle w:val="Compact"/>
            </w:pPr>
            <w:r>
              <w:t xml:space="preserve">25%</w:t>
            </w:r>
          </w:p>
        </w:tc>
        <w:tc>
          <w:tcPr/>
          <w:p>
            <w:pPr>
              <w:pStyle w:val="Compact"/>
              <w:jc w:val="right"/>
            </w:pPr>
            <w:r>
              <w:t xml:space="preserve">31%</w:t>
            </w:r>
          </w:p>
        </w:tc>
        <w:tc>
          <w:tcPr/>
          <w:p>
            <w:pPr>
              <w:pStyle w:val="Compact"/>
            </w:pPr>
            <w:r>
              <w:t xml:space="preserve">9%</w:t>
            </w:r>
          </w:p>
        </w:tc>
      </w:tr>
      <w:tr>
        <w:tc>
          <w:tcPr/>
          <w:p>
            <w:pPr>
              <w:pStyle w:val="Compact"/>
              <w:jc w:val="left"/>
            </w:pPr>
            <w:r>
              <w:t xml:space="preserve">Redes sociales</w:t>
            </w:r>
          </w:p>
        </w:tc>
        <w:tc>
          <w:tcPr/>
          <w:p>
            <w:pPr>
              <w:pStyle w:val="Compact"/>
              <w:jc w:val="right"/>
            </w:pPr>
            <w:r>
              <w:t xml:space="preserve">$48</w:t>
            </w:r>
          </w:p>
        </w:tc>
        <w:tc>
          <w:tcPr/>
          <w:p>
            <w:pPr>
              <w:pStyle w:val="Compact"/>
            </w:pPr>
            <w:r>
              <w:t xml:space="preserve">35%</w:t>
            </w:r>
          </w:p>
        </w:tc>
        <w:tc>
          <w:tcPr/>
          <w:p>
            <w:pPr>
              <w:pStyle w:val="Compact"/>
              <w:jc w:val="right"/>
            </w:pPr>
            <w:r>
              <w:t xml:space="preserve">18%</w:t>
            </w:r>
          </w:p>
        </w:tc>
        <w:tc>
          <w:tcPr/>
          <w:p>
            <w:pPr>
              <w:pStyle w:val="Compact"/>
            </w:pPr>
            <w:r>
              <w:t xml:space="preserve">14%</w:t>
            </w:r>
          </w:p>
        </w:tc>
      </w:tr>
      <w:tr>
        <w:tc>
          <w:tcPr/>
          <w:p>
            <w:pPr>
              <w:pStyle w:val="Compact"/>
              <w:jc w:val="left"/>
            </w:pPr>
            <w:r>
              <w:t xml:space="preserve">Referidos vecinales</w:t>
            </w:r>
          </w:p>
        </w:tc>
        <w:tc>
          <w:tcPr/>
          <w:p>
            <w:pPr>
              <w:pStyle w:val="Compact"/>
              <w:jc w:val="right"/>
            </w:pPr>
            <w:r>
              <w:t xml:space="preserve">$39</w:t>
            </w:r>
          </w:p>
        </w:tc>
        <w:tc>
          <w:tcPr/>
          <w:p>
            <w:pPr>
              <w:pStyle w:val="Compact"/>
            </w:pPr>
            <w:r>
              <w:t xml:space="preserve">15%</w:t>
            </w:r>
          </w:p>
        </w:tc>
        <w:tc>
          <w:tcPr/>
          <w:p>
            <w:pPr>
              <w:pStyle w:val="Compact"/>
              <w:jc w:val="right"/>
            </w:pPr>
            <w:r>
              <w:t xml:space="preserve">46%</w:t>
            </w:r>
          </w:p>
        </w:tc>
        <w:tc>
          <w:tcPr/>
          <w:p>
            <w:pPr>
              <w:pStyle w:val="Compact"/>
            </w:pPr>
            <w:r>
              <w:t xml:space="preserve">6%</w:t>
            </w:r>
          </w:p>
        </w:tc>
      </w:tr>
      <w:tr>
        <w:tc>
          <w:tcPr/>
          <w:p>
            <w:pPr>
              <w:pStyle w:val="Compact"/>
              <w:jc w:val="left"/>
            </w:pPr>
            <w:r>
              <w:t xml:space="preserve">Socios de propiedades/emplead</w:t>
            </w:r>
          </w:p>
        </w:tc>
        <w:tc>
          <w:tcPr/>
          <w:p>
            <w:pPr>
              <w:pStyle w:val="Compact"/>
              <w:jc w:val="right"/>
            </w:pPr>
            <w:r>
              <w:t xml:space="preserve">ores $61</w:t>
            </w:r>
          </w:p>
        </w:tc>
        <w:tc>
          <w:tcPr/>
          <w:p>
            <w:pPr>
              <w:pStyle w:val="Compact"/>
            </w:pPr>
            <w:r>
              <w:t xml:space="preserve">22%</w:t>
            </w:r>
          </w:p>
        </w:tc>
        <w:tc>
          <w:tcPr/>
          <w:p>
            <w:pPr>
              <w:pStyle w:val="Compact"/>
              <w:jc w:val="right"/>
            </w:pPr>
            <w:r>
              <w:t xml:space="preserve">38%</w:t>
            </w:r>
          </w:p>
        </w:tc>
        <w:tc>
          <w:tcPr/>
          <w:p>
            <w:pPr>
              <w:pStyle w:val="Compact"/>
            </w:pPr>
            <w:r>
              <w:t xml:space="preserve">7%</w:t>
            </w:r>
          </w:p>
        </w:tc>
      </w:tr>
      <w:tr>
        <w:tc>
          <w:tcPr/>
          <w:p>
            <w:pPr>
              <w:pStyle w:val="Compact"/>
              <w:jc w:val="left"/>
            </w:pPr>
            <w:r>
              <w:t xml:space="preserve">Mercados de servicios locales</w:t>
            </w:r>
          </w:p>
        </w:tc>
        <w:tc>
          <w:tcPr/>
          <w:p>
            <w:pPr>
              <w:pStyle w:val="Compact"/>
              <w:jc w:val="right"/>
            </w:pPr>
            <w:r>
              <w:t xml:space="preserve">$84</w:t>
            </w:r>
          </w:p>
        </w:tc>
        <w:tc>
          <w:tcPr/>
          <w:p>
            <w:pPr>
              <w:pStyle w:val="Compact"/>
            </w:pPr>
            <w:r>
              <w:t xml:space="preserve">18%</w:t>
            </w:r>
          </w:p>
        </w:tc>
        <w:tc>
          <w:tcPr/>
          <w:p>
            <w:pPr>
              <w:pStyle w:val="Compact"/>
              <w:jc w:val="right"/>
            </w:pPr>
            <w:r>
              <w:t xml:space="preserve">27%</w:t>
            </w:r>
          </w:p>
        </w:tc>
        <w:tc>
          <w:tcPr/>
          <w:p>
            <w:pPr>
              <w:pStyle w:val="Compact"/>
            </w:pPr>
            <w:r>
              <w:t xml:space="preserve">12%</w:t>
            </w:r>
          </w:p>
        </w:tc>
      </w:tr>
    </w:tbl>
    <w:p>
      <w:pPr>
        <w:pStyle w:val="BodyText"/>
      </w:pPr>
      <w:r>
        <w:t xml:space="preserve">Un cliente que reservaba una vez generaba ingresos de inmediato pero poco valor a largo plazo. Un cliente recurrente podía reservar de 12 a 24 visitas al año, pero solo si la primera limpieza cumplía las expectativas y la empresa podía ofrecer horarios de cita consistentes. BrightNest aún no había aprendido si los clientes eran leales a la marca, a un limpiador en particular, o simplemente al precio más bajo disponible.</w:t>
      </w:r>
    </w:p>
    <w:bookmarkEnd w:id="10"/>
    <w:bookmarkEnd w:id="11"/>
    <w:bookmarkStart w:id="13" w:name="estimación-de-la-demanda"/>
    <w:p>
      <w:pPr>
        <w:pStyle w:val="Heading1"/>
      </w:pPr>
      <w:r>
        <w:t xml:space="preserve">Estimación de la demanda</w:t>
      </w:r>
    </w:p>
    <w:p>
      <w:pPr>
        <w:pStyle w:val="FirstParagraph"/>
      </w:pPr>
      <w:r>
        <w:t xml:space="preserve">La dirección construyó una estimación de demanda de arriba hacia abajo. Partiendo de aproximadamente 132 millones de hogares en EE. UU., se asumió que el 7.5 por ciento compraría al menos una limpieza profesional al año. Con un promedio de seis visitas y $150 por visita, esto implicaba un gasto anual cercano a $9 mil millones. Un supuesto más amplio de 12 por ciento de participación y ocho visitas implicaba más de $19 mil millones. El equipo etiquetó ambas cifras como</w:t>
      </w:r>
      <w:r>
        <w:t xml:space="preserve"> </w:t>
      </w:r>
      <w:r>
        <w:t xml:space="preserve">“hipótesis de mercado”</w:t>
      </w:r>
      <w:r>
        <w:t xml:space="preserve">, no como pronósticos.</w:t>
      </w:r>
    </w:p>
    <w:p>
      <w:pPr>
        <w:pStyle w:val="BodyText"/>
      </w:pPr>
      <w:r>
        <w:t xml:space="preserve">La estimación de abajo hacia arriba era menos generosa. En las 30 áreas metropolitanas evaluadas inicialmente, BrightNest identificó 24 millones de hogares. Basándose en el ingreso, la composición del hogar, el tipo de vivienda, el comportamiento de compra digital y los precios locales de servicios, clasificó a 3.7 millones como clientes plausibles de servicio recurrente. Capturar el 1 por ciento de ese grupo crearía 37,000 clientes. Con 15 limpiezas anuales por cliente, eso requeriría más de 550,000 visitas completadas al año, aproximadamente 2,200 visitas cada día hábil.</w:t>
      </w:r>
    </w:p>
    <w:bookmarkStart w:id="12" w:name="Xb5c471e635809e81c7d8b9ac6a38440f72011dd"/>
    <w:p>
      <w:pPr>
        <w:pStyle w:val="Heading2"/>
      </w:pPr>
      <w:r>
        <w:t xml:space="preserve">Anexo 2. Escenarios ilustrativos de demanda nacional</w:t>
      </w:r>
    </w:p>
    <w:tbl>
      <w:tblPr>
        <w:tblStyle w:val="Table"/>
        <w:tblW w:type="pct" w:w="4914"/>
        <w:tblLayout w:type="fixed"/>
        <w:tblLook w:firstRow="1" w:lastRow="0" w:firstColumn="0" w:lastColumn="0" w:noHBand="0" w:noVBand="0" w:val="0020"/>
      </w:tblPr>
      <w:tblGrid>
        <w:gridCol w:w="1024"/>
        <w:gridCol w:w="2253"/>
        <w:gridCol w:w="1638"/>
        <w:gridCol w:w="1092"/>
        <w:gridCol w:w="1775"/>
      </w:tblGrid>
      <w:tr>
        <w:trPr>
          <w:tblHeader w:val="on"/>
        </w:trPr>
        <w:tc>
          <w:tcPr/>
          <w:p>
            <w:pPr>
              <w:pStyle w:val="Compact"/>
              <w:jc w:val="left"/>
            </w:pPr>
            <w:r>
              <w:t xml:space="preserve">Escenario</w:t>
            </w:r>
          </w:p>
        </w:tc>
        <w:tc>
          <w:tcPr/>
          <w:p>
            <w:pPr>
              <w:pStyle w:val="Compact"/>
              <w:jc w:val="right"/>
            </w:pPr>
            <w:r>
              <w:t xml:space="preserve">Hogares que usan limpieza pagada</w:t>
            </w:r>
          </w:p>
        </w:tc>
        <w:tc>
          <w:tcPr/>
          <w:p>
            <w:pPr>
              <w:pStyle w:val="Compact"/>
              <w:jc w:val="right"/>
            </w:pPr>
            <w:r>
              <w:t xml:space="preserve">Visitas anuales prome</w:t>
            </w:r>
          </w:p>
        </w:tc>
        <w:tc>
          <w:tcPr/>
          <w:p>
            <w:pPr>
              <w:pStyle w:val="Compact"/>
            </w:pPr>
            <w:r>
              <w:t xml:space="preserve">dio Precio pro</w:t>
            </w:r>
          </w:p>
        </w:tc>
        <w:tc>
          <w:tcPr/>
          <w:p>
            <w:pPr>
              <w:pStyle w:val="Compact"/>
            </w:pPr>
            <w:r>
              <w:t xml:space="preserve">medio Demanda anual estimada</w:t>
            </w:r>
          </w:p>
        </w:tc>
      </w:tr>
      <w:tr>
        <w:tc>
          <w:tcPr/>
          <w:p>
            <w:pPr>
              <w:pStyle w:val="Compact"/>
              <w:jc w:val="left"/>
            </w:pPr>
            <w:r>
              <w:t xml:space="preserve">Conservador 6</w:t>
            </w:r>
          </w:p>
        </w:tc>
        <w:tc>
          <w:tcPr/>
          <w:p>
            <w:pPr>
              <w:pStyle w:val="Compact"/>
              <w:jc w:val="right"/>
            </w:pPr>
            <w:r>
              <w:t xml:space="preserve">.6 millones (5%)</w:t>
            </w:r>
          </w:p>
        </w:tc>
        <w:tc>
          <w:tcPr/>
          <w:p>
            <w:pPr>
              <w:pStyle w:val="Compact"/>
              <w:jc w:val="right"/>
            </w:pPr>
            <w:r>
              <w:t xml:space="preserve">4</w:t>
            </w:r>
          </w:p>
        </w:tc>
        <w:tc>
          <w:tcPr/>
          <w:p>
            <w:pPr>
              <w:pStyle w:val="Compact"/>
            </w:pPr>
            <w:r>
              <w:t xml:space="preserve">$145</w:t>
            </w:r>
          </w:p>
        </w:tc>
        <w:tc>
          <w:tcPr/>
          <w:p>
            <w:pPr>
              <w:pStyle w:val="Compact"/>
            </w:pPr>
            <w:r>
              <w:t xml:space="preserve">$3.8 mil millones</w:t>
            </w:r>
          </w:p>
        </w:tc>
      </w:tr>
      <w:tr>
        <w:tc>
          <w:tcPr/>
          <w:p>
            <w:pPr>
              <w:pStyle w:val="Compact"/>
              <w:jc w:val="left"/>
            </w:pPr>
            <w:r>
              <w:t xml:space="preserve">Base</w:t>
            </w:r>
          </w:p>
        </w:tc>
        <w:tc>
          <w:tcPr/>
          <w:p>
            <w:pPr>
              <w:pStyle w:val="Compact"/>
              <w:jc w:val="right"/>
            </w:pPr>
            <w:r>
              <w:t xml:space="preserve">9.9 millones (7.5%)</w:t>
            </w:r>
          </w:p>
        </w:tc>
        <w:tc>
          <w:tcPr/>
          <w:p>
            <w:pPr>
              <w:pStyle w:val="Compact"/>
              <w:jc w:val="right"/>
            </w:pPr>
            <w:r>
              <w:t xml:space="preserve">6</w:t>
            </w:r>
          </w:p>
        </w:tc>
        <w:tc>
          <w:tcPr/>
          <w:p>
            <w:pPr>
              <w:pStyle w:val="Compact"/>
            </w:pPr>
            <w:r>
              <w:t xml:space="preserve">$150</w:t>
            </w:r>
          </w:p>
        </w:tc>
        <w:tc>
          <w:tcPr/>
          <w:p>
            <w:pPr>
              <w:pStyle w:val="Compact"/>
            </w:pPr>
            <w:r>
              <w:t xml:space="preserve">$8.9 mil millones</w:t>
            </w:r>
          </w:p>
        </w:tc>
      </w:tr>
      <w:tr>
        <w:tc>
          <w:tcPr/>
          <w:p>
            <w:pPr>
              <w:pStyle w:val="Compact"/>
              <w:jc w:val="left"/>
            </w:pPr>
            <w:r>
              <w:t xml:space="preserve">Alto 1</w:t>
            </w:r>
          </w:p>
        </w:tc>
        <w:tc>
          <w:tcPr/>
          <w:p>
            <w:pPr>
              <w:pStyle w:val="Compact"/>
              <w:jc w:val="right"/>
            </w:pPr>
            <w:r>
              <w:t xml:space="preserve">5.8 millones (12%)</w:t>
            </w:r>
          </w:p>
        </w:tc>
        <w:tc>
          <w:tcPr/>
          <w:p>
            <w:pPr>
              <w:pStyle w:val="Compact"/>
              <w:jc w:val="right"/>
            </w:pPr>
            <w:r>
              <w:t xml:space="preserve">8</w:t>
            </w:r>
          </w:p>
        </w:tc>
        <w:tc>
          <w:tcPr/>
          <w:p>
            <w:pPr>
              <w:pStyle w:val="Compact"/>
            </w:pPr>
            <w:r>
              <w:t xml:space="preserve">$155</w:t>
            </w:r>
          </w:p>
        </w:tc>
        <w:tc>
          <w:tcPr/>
          <w:p>
            <w:pPr>
              <w:pStyle w:val="Compact"/>
            </w:pPr>
            <w:r>
              <w:t xml:space="preserve">$19.6 mil millones</w:t>
            </w:r>
          </w:p>
        </w:tc>
      </w:tr>
    </w:tbl>
    <w:bookmarkEnd w:id="12"/>
    <w:bookmarkEnd w:id="13"/>
    <w:bookmarkStart w:id="15" w:name="reclutamiento-de-la-red-de-limpiadores"/>
    <w:p>
      <w:pPr>
        <w:pStyle w:val="Heading1"/>
      </w:pPr>
      <w:r>
        <w:t xml:space="preserve">Reclutamiento de la red de limpiadores</w:t>
      </w:r>
    </w:p>
    <w:p>
      <w:pPr>
        <w:pStyle w:val="FirstParagraph"/>
      </w:pPr>
      <w:r>
        <w:t xml:space="preserve">BrightNest no era propietaria de sucursales de limpieza ni empleaba grandes equipos de reclutamiento locales. En cambio, planeaba anunciar oportunidades a través de WorkReach, una aplicación nacional ficticia de búsqueda de empleo. Un solicitante podía ver las ganancias estimadas, seleccionar áreas y horarios de trabajo preferidos, cargar documentos de identidad y de empleo, completar una verificación de antecedentes, ver módulos de capacitación y pedir un kit de suministros aprobado.</w:t>
      </w:r>
    </w:p>
    <w:p>
      <w:pPr>
        <w:pStyle w:val="BodyText"/>
      </w:pPr>
      <w:r>
        <w:t xml:space="preserve">El grupo de mano de obra nacional parecía grande. La Oficina de Estadísticas Laborales estimó 860,670 empleadas domésticas y limpiadoras de vivienda en mayo de 2025, con un salario promedio de $17.83 por hora y una mediana de $17.07. Las ocupaciones de limpieza de edificios y terrenos empleaban a más de 5.7 millones de personas en 2024, aunque la mayoría no realizaba trabajo residencial. Estas cifras sugerían disponibilidad de mano de obra, pero no respondían cuántos trabajadores querían asignaciones de limpieza del hogar variables, despachadas por aplicación.</w:t>
      </w:r>
    </w:p>
    <w:p>
      <w:pPr>
        <w:pStyle w:val="BodyText"/>
      </w:pPr>
      <w:r>
        <w:t xml:space="preserve">El trabajo era físicamente exigente, el desplazamiento entre hogares no era remunerado bajo algunos modelos, y los clientes a veces solicitaban tardes o fines de semana. Los solicitantes también comparaban a BrightNest con hoteles, hospitales, empresas de limpieza comercial, trabajo de cuidado en el hogar, plataformas de reparto y clientes privados directos. Una tarifa nominal de $28 por hora de limpieza podía traducirse en mucho menos para un trabajador que pasaba 75 minutos viajando, comprando suministros, comunicándose con clientes o esperando entre trabajos.</w:t>
      </w:r>
    </w:p>
    <w:bookmarkStart w:id="14" w:name="anexo-3.-embudo-piloto-de-limpiadores"/>
    <w:p>
      <w:pPr>
        <w:pStyle w:val="Heading2"/>
      </w:pPr>
      <w:r>
        <w:t xml:space="preserve">Anexo 3. Embudo piloto de limpiadores</w:t>
      </w:r>
    </w:p>
    <w:tbl>
      <w:tblPr>
        <w:tblStyle w:val="Table"/>
        <w:tblW w:type="pct" w:w="4912"/>
        <w:tblLayout w:type="fixed"/>
        <w:tblLook w:firstRow="1" w:lastRow="0" w:firstColumn="0" w:lastColumn="0" w:noHBand="0" w:noVBand="0" w:val="0020"/>
      </w:tblPr>
      <w:tblGrid>
        <w:gridCol w:w="1962"/>
        <w:gridCol w:w="911"/>
        <w:gridCol w:w="1612"/>
        <w:gridCol w:w="3294"/>
      </w:tblGrid>
      <w:tr>
        <w:trPr>
          <w:tblHeader w:val="on"/>
        </w:trPr>
        <w:tc>
          <w:tcPr/>
          <w:p>
            <w:pPr>
              <w:pStyle w:val="Compact"/>
              <w:jc w:val="left"/>
            </w:pPr>
            <w:r>
              <w:t xml:space="preserve">Etapa</w:t>
            </w:r>
          </w:p>
        </w:tc>
        <w:tc>
          <w:tcPr/>
          <w:p>
            <w:pPr>
              <w:pStyle w:val="Compact"/>
            </w:pPr>
            <w:r>
              <w:t xml:space="preserve">Solicitantes</w:t>
            </w:r>
          </w:p>
        </w:tc>
        <w:tc>
          <w:tcPr/>
          <w:p>
            <w:pPr>
              <w:pStyle w:val="Compact"/>
              <w:jc w:val="right"/>
            </w:pPr>
            <w:r>
              <w:t xml:space="preserve">Proporción de la etap</w:t>
            </w:r>
          </w:p>
        </w:tc>
        <w:tc>
          <w:tcPr/>
          <w:p>
            <w:pPr>
              <w:pStyle w:val="Compact"/>
              <w:jc w:val="left"/>
            </w:pPr>
            <w:r>
              <w:t xml:space="preserve">a anterior Razón principal de pérdida</w:t>
            </w:r>
          </w:p>
        </w:tc>
      </w:tr>
      <w:tr>
        <w:tc>
          <w:tcPr/>
          <w:p>
            <w:pPr>
              <w:pStyle w:val="Compact"/>
              <w:jc w:val="left"/>
            </w:pPr>
            <w:r>
              <w:t xml:space="preserve">Hizo clic en el anuncio de e</w:t>
            </w:r>
          </w:p>
        </w:tc>
        <w:tc>
          <w:tcPr/>
          <w:p>
            <w:pPr>
              <w:pStyle w:val="Compact"/>
            </w:pPr>
            <w:r>
              <w:t xml:space="preserve">mpleo 18,40</w:t>
            </w:r>
          </w:p>
        </w:tc>
        <w:tc>
          <w:tcPr/>
          <w:p>
            <w:pPr>
              <w:pStyle w:val="Compact"/>
              <w:jc w:val="right"/>
            </w:pPr>
            <w:r>
              <w:t xml:space="preserve">0 -</w:t>
            </w:r>
          </w:p>
        </w:tc>
        <w:tc>
          <w:tcPr/>
          <w:p>
            <w:pPr>
              <w:pStyle w:val="Compact"/>
              <w:jc w:val="left"/>
            </w:pPr>
            <w:r>
              <w:t xml:space="preserve">-</w:t>
            </w:r>
          </w:p>
        </w:tc>
      </w:tr>
      <w:tr>
        <w:tc>
          <w:tcPr/>
          <w:p>
            <w:pPr>
              <w:pStyle w:val="Compact"/>
              <w:jc w:val="left"/>
            </w:pPr>
            <w:r>
              <w:t xml:space="preserve">Comenzó la solicitud</w:t>
            </w:r>
          </w:p>
        </w:tc>
        <w:tc>
          <w:tcPr/>
          <w:p>
            <w:pPr>
              <w:pStyle w:val="Compact"/>
            </w:pPr>
            <w:r>
              <w:t xml:space="preserve">7,920</w:t>
            </w:r>
          </w:p>
        </w:tc>
        <w:tc>
          <w:tcPr/>
          <w:p>
            <w:pPr>
              <w:pStyle w:val="Compact"/>
              <w:jc w:val="right"/>
            </w:pPr>
            <w:r>
              <w:t xml:space="preserve">43%</w:t>
            </w:r>
          </w:p>
        </w:tc>
        <w:tc>
          <w:tcPr/>
          <w:p>
            <w:pPr>
              <w:pStyle w:val="Compact"/>
              <w:jc w:val="left"/>
            </w:pPr>
            <w:r>
              <w:t xml:space="preserve">Pago o ubicación poco claros</w:t>
            </w:r>
          </w:p>
        </w:tc>
      </w:tr>
      <w:tr>
        <w:tc>
          <w:tcPr/>
          <w:p>
            <w:pPr>
              <w:pStyle w:val="Compact"/>
              <w:jc w:val="left"/>
            </w:pPr>
            <w:r>
              <w:t xml:space="preserve">Pasó la selección</w:t>
            </w:r>
          </w:p>
        </w:tc>
        <w:tc>
          <w:tcPr/>
          <w:p>
            <w:pPr>
              <w:pStyle w:val="Compact"/>
            </w:pPr>
            <w:r>
              <w:t xml:space="preserve">4,110</w:t>
            </w:r>
          </w:p>
        </w:tc>
        <w:tc>
          <w:tcPr/>
          <w:p>
            <w:pPr>
              <w:pStyle w:val="Compact"/>
              <w:jc w:val="right"/>
            </w:pPr>
            <w:r>
              <w:t xml:space="preserve">52%</w:t>
            </w:r>
          </w:p>
        </w:tc>
        <w:tc>
          <w:tcPr/>
          <w:p>
            <w:pPr>
              <w:pStyle w:val="Compact"/>
              <w:jc w:val="left"/>
            </w:pPr>
            <w:r>
              <w:t xml:space="preserve">Documentación/antecedentes</w:t>
            </w:r>
          </w:p>
        </w:tc>
      </w:tr>
      <w:tr>
        <w:tc>
          <w:tcPr/>
          <w:p>
            <w:pPr>
              <w:pStyle w:val="Compact"/>
              <w:jc w:val="left"/>
            </w:pPr>
            <w:r>
              <w:t xml:space="preserve">Completó la capacitación</w:t>
            </w:r>
          </w:p>
        </w:tc>
        <w:tc>
          <w:tcPr/>
          <w:p>
            <w:pPr>
              <w:pStyle w:val="Compact"/>
            </w:pPr>
            <w:r>
              <w:t xml:space="preserve">2,380</w:t>
            </w:r>
          </w:p>
        </w:tc>
        <w:tc>
          <w:tcPr/>
          <w:p>
            <w:pPr>
              <w:pStyle w:val="Compact"/>
              <w:jc w:val="right"/>
            </w:pPr>
            <w:r>
              <w:t xml:space="preserve">58%</w:t>
            </w:r>
          </w:p>
        </w:tc>
        <w:tc>
          <w:tcPr/>
          <w:p>
            <w:pPr>
              <w:pStyle w:val="Compact"/>
              <w:jc w:val="left"/>
            </w:pPr>
            <w:r>
              <w:t xml:space="preserve">Requisitos de tiempo y equipo</w:t>
            </w:r>
          </w:p>
        </w:tc>
      </w:tr>
      <w:tr>
        <w:tc>
          <w:tcPr/>
          <w:p>
            <w:pPr>
              <w:pStyle w:val="Compact"/>
              <w:jc w:val="left"/>
            </w:pPr>
            <w:r>
              <w:t xml:space="preserve">Aceptó el primer trabajo</w:t>
            </w:r>
          </w:p>
        </w:tc>
        <w:tc>
          <w:tcPr/>
          <w:p>
            <w:pPr>
              <w:pStyle w:val="Compact"/>
            </w:pPr>
            <w:r>
              <w:t xml:space="preserve">1,420</w:t>
            </w:r>
          </w:p>
        </w:tc>
        <w:tc>
          <w:tcPr/>
          <w:p>
            <w:pPr>
              <w:pStyle w:val="Compact"/>
              <w:jc w:val="right"/>
            </w:pPr>
            <w:r>
              <w:t xml:space="preserve">60%</w:t>
            </w:r>
          </w:p>
        </w:tc>
        <w:tc>
          <w:tcPr/>
          <w:p>
            <w:pPr>
              <w:pStyle w:val="Compact"/>
              <w:jc w:val="left"/>
            </w:pPr>
            <w:r>
              <w:t xml:space="preserve">Desajuste de viaje u horario</w:t>
            </w:r>
          </w:p>
        </w:tc>
      </w:tr>
      <w:tr>
        <w:tc>
          <w:tcPr/>
          <w:p>
            <w:pPr>
              <w:pStyle w:val="Compact"/>
              <w:jc w:val="left"/>
            </w:pPr>
            <w:r>
              <w:t xml:space="preserve">Activo después de 60 días</w:t>
            </w:r>
          </w:p>
        </w:tc>
        <w:tc>
          <w:tcPr/>
          <w:p>
            <w:pPr>
              <w:pStyle w:val="Compact"/>
            </w:pPr>
            <w:r>
              <w:t xml:space="preserve">690</w:t>
            </w:r>
          </w:p>
        </w:tc>
        <w:tc>
          <w:tcPr/>
          <w:p>
            <w:pPr>
              <w:pStyle w:val="Compact"/>
              <w:jc w:val="right"/>
            </w:pPr>
            <w:r>
              <w:t xml:space="preserve">49%</w:t>
            </w:r>
          </w:p>
        </w:tc>
        <w:tc>
          <w:tcPr/>
          <w:p>
            <w:pPr>
              <w:pStyle w:val="Compact"/>
              <w:jc w:val="left"/>
            </w:pPr>
            <w:r>
              <w:t xml:space="preserve">Horas inconsistentes, viaje, calificaciones de clientes</w:t>
            </w:r>
          </w:p>
        </w:tc>
      </w:tr>
    </w:tbl>
    <w:p>
      <w:pPr>
        <w:pStyle w:val="BodyText"/>
      </w:pPr>
      <w:r>
        <w:t xml:space="preserve">Operaciones propuso un mínimo garantizado de $120 para los limpiadores que reservaran un bloque de seis horas, incluso si la demanda era insuficiente. Finanzas estimó que una garantía podría aumentar la aceptación y la retención, pero crear un gasto sustancial por tiempo inactivo durante el lanzamiento del mercado. Otra propuesta permitiría a los limpiadores fijar sus propios precios. Los gerentes de crecimiento objetaron que los clientes esperaban una cotización simple y consistente.</w:t>
      </w:r>
    </w:p>
    <w:bookmarkEnd w:id="14"/>
    <w:bookmarkEnd w:id="15"/>
    <w:bookmarkStart w:id="16" w:name="X099bfa946b3ffef090dc67f29d85453b8a9bb1f"/>
    <w:p>
      <w:pPr>
        <w:pStyle w:val="Heading1"/>
      </w:pPr>
      <w:r>
        <w:t xml:space="preserve">Modelo de empleo e incertidumbre migratoria</w:t>
      </w:r>
    </w:p>
    <w:p>
      <w:pPr>
        <w:pStyle w:val="FirstParagraph"/>
      </w:pPr>
      <w:r>
        <w:t xml:space="preserve">El equipo legal advirtió que BrightNest tenía que decidir si los limpiadores serían empleados, contratistas independientes, o una mezcla que variara según el estado. La respuesta afectaba el control sobre horarios, capacitación, suministros, seguros, impuestos sobre nómina, beneficios y verificación de empleo. Si los limpiadores eran empleados, la ley federal exigía que la empresa completara el Formulario I-9 para cada contratación, independientemente de la ciudadanía u origen nacional. Las normas estatales podían imponer requisitos adicionales o dificultar la clasificación como contratista.</w:t>
      </w:r>
    </w:p>
    <w:p>
      <w:pPr>
        <w:pStyle w:val="BodyText"/>
      </w:pPr>
      <w:r>
        <w:t xml:space="preserve">La disponibilidad de mano de obra también estaba expuesta a la política migratoria. En 2025, los trabajadores nacidos en el extranjero tenían más probabilidades que los trabajadores nacidos en el país de trabajar en ocupaciones de servicio: 21.2 por ciento en comparación con 15.6 por ciento. BrightNest no tenía datos confiables sobre el origen o el estatus de sus posibles limpiadores, y la dirección coincidió en que no podía inferir la autorización para trabajar a partir del idioma, la apariencia o la ocupación. Aun así, el aumento de la aplicación de las leyes migratorias, los programas de autorización cambiantes y el temor a la aplicación de la ley podían reducir las solicitudes o la movilidad en algunos mercados laborales de servicios locales, incluso entre personas plenamente autorizadas para trabajar que se preocupaban por la exposición de su familia o comunidad.</w:t>
      </w:r>
    </w:p>
    <w:p>
      <w:pPr>
        <w:pStyle w:val="BodyText"/>
      </w:pPr>
      <w:r>
        <w:t xml:space="preserve">La empresa enfrentaba un riesgo reputacional relacionado. Una verificación agresiva más allá de los requisitos legales podría disuadir a trabajadores calificados e invitar a reclamos de discriminación. Los controles débiles podrían exponer a la empresa a sanciones, preocupación de los clientes y disrupción operativa. Un lanzamiento a nivel nacional multiplicaría estos problemas en diferentes leyes laborales estatales y condiciones de mercado laboral locales.</w:t>
      </w:r>
    </w:p>
    <w:bookmarkEnd w:id="16"/>
    <w:bookmarkStart w:id="18" w:name="X817daf3e30632503c18b3ece4212adaf6101a33"/>
    <w:p>
      <w:pPr>
        <w:pStyle w:val="Heading1"/>
      </w:pPr>
      <w:r>
        <w:t xml:space="preserve">Herramientas, productos y calidad del servicio</w:t>
      </w:r>
    </w:p>
    <w:p>
      <w:pPr>
        <w:pStyle w:val="FirstParagraph"/>
      </w:pPr>
      <w:r>
        <w:t xml:space="preserve">BrightNest inicialmente exigía a los limpiadores que suministraran una aspiradora, un trapeador, herramientas básicas y productos de limpieza aprobados. Los solicitantes podían comprar un kit inicial de $310 mediante deducciones de nómina o recibir un crédito de equipo de $150 después de completar 20 trabajos. Las entrevistas con limpiadores sugirieron que la política creaba tres problemas. Algunos solicitantes carecían del efectivo o el espacio de almacenamiento para el equipo. Otros ya poseían productos preferidos y resentían tener que comprar un kit estandarizado. Los clientes a veces solicitaban productos sin fragancia, seguros para mascotas o con certificación ambiental que no estaban en el kit estándar.</w:t>
      </w:r>
    </w:p>
    <w:p>
      <w:pPr>
        <w:pStyle w:val="BodyText"/>
      </w:pPr>
      <w:r>
        <w:t xml:space="preserve">El equipo de operaciones consideró cuatro modelos de suministro: equipo proporcionado por el limpiador; kits iniciales financiados por la empresa; casilleros de suministro locales; y kits propiedad de la empresa entregados en cada cita. Cada uno cambiaba la economía, los controles de calidad y los argumentos de clasificación de empleados. El equipo propiedad de la empresa mejoraba la consistencia pero añadía inventario, mantenimiento, limpieza, robo y logística de última milla.</w:t>
      </w:r>
    </w:p>
    <w:bookmarkStart w:id="17" w:name="X181c5523bd56b217e95da6064f0583b7d0e2b4f"/>
    <w:p>
      <w:pPr>
        <w:pStyle w:val="Heading2"/>
      </w:pPr>
      <w:r>
        <w:t xml:space="preserve">Anexo 4. Compensación del limpiador y economía unitaria</w:t>
      </w:r>
    </w:p>
    <w:tbl>
      <w:tblPr>
        <w:tblStyle w:val="Table"/>
        <w:tblW w:type="pct" w:w="4896"/>
        <w:tblLayout w:type="fixed"/>
        <w:tblLook w:firstRow="1" w:lastRow="0" w:firstColumn="0" w:lastColumn="0" w:noHBand="0" w:noVBand="0" w:val="0020"/>
      </w:tblPr>
      <w:tblGrid>
        <w:gridCol w:w="3300"/>
        <w:gridCol w:w="2227"/>
        <w:gridCol w:w="2227"/>
      </w:tblGrid>
      <w:tr>
        <w:trPr>
          <w:tblHeader w:val="on"/>
        </w:trPr>
        <w:tc>
          <w:tcPr/>
          <w:p>
            <w:pPr>
              <w:pStyle w:val="Compact"/>
              <w:jc w:val="left"/>
            </w:pPr>
            <w:r>
              <w:t xml:space="preserve">Concepto</w:t>
            </w:r>
          </w:p>
        </w:tc>
        <w:tc>
          <w:tcPr/>
          <w:p>
            <w:pPr>
              <w:pStyle w:val="Compact"/>
              <w:jc w:val="right"/>
            </w:pPr>
            <w:r>
              <w:t xml:space="preserve">Limpieza recurrente est</w:t>
            </w:r>
          </w:p>
        </w:tc>
        <w:tc>
          <w:tcPr/>
          <w:p>
            <w:pPr>
              <w:pStyle w:val="Compact"/>
            </w:pPr>
            <w:r>
              <w:t xml:space="preserve">ándar Primera limpieza con descuento</w:t>
            </w:r>
          </w:p>
        </w:tc>
      </w:tr>
      <w:tr>
        <w:tc>
          <w:tcPr/>
          <w:p>
            <w:pPr>
              <w:pStyle w:val="Compact"/>
              <w:jc w:val="left"/>
            </w:pPr>
            <w:r>
              <w:t xml:space="preserve">Precio al cliente</w:t>
            </w:r>
          </w:p>
        </w:tc>
        <w:tc>
          <w:tcPr/>
          <w:p>
            <w:pPr>
              <w:pStyle w:val="Compact"/>
              <w:jc w:val="right"/>
            </w:pPr>
            <w:r>
              <w:t xml:space="preserve">$142</w:t>
            </w:r>
          </w:p>
        </w:tc>
        <w:tc>
          <w:tcPr/>
          <w:p>
            <w:pPr>
              <w:pStyle w:val="Compact"/>
            </w:pPr>
            <w:r>
              <w:t xml:space="preserve">$107 (25% de descuento)</w:t>
            </w:r>
          </w:p>
        </w:tc>
      </w:tr>
      <w:tr>
        <w:tc>
          <w:tcPr/>
          <w:p>
            <w:pPr>
              <w:pStyle w:val="Compact"/>
              <w:jc w:val="left"/>
            </w:pPr>
            <w:r>
              <w:t xml:space="preserve">Tiempo activo del limpiador</w:t>
            </w:r>
          </w:p>
        </w:tc>
        <w:tc>
          <w:tcPr/>
          <w:p>
            <w:pPr>
              <w:pStyle w:val="Compact"/>
              <w:jc w:val="right"/>
            </w:pPr>
            <w:r>
              <w:t xml:space="preserve">3.0 horas</w:t>
            </w:r>
          </w:p>
        </w:tc>
        <w:tc>
          <w:tcPr/>
          <w:p>
            <w:pPr>
              <w:pStyle w:val="Compact"/>
            </w:pPr>
            <w:r>
              <w:t xml:space="preserve">3.5 horas</w:t>
            </w:r>
          </w:p>
        </w:tc>
      </w:tr>
      <w:tr>
        <w:tc>
          <w:tcPr/>
          <w:p>
            <w:pPr>
              <w:pStyle w:val="Compact"/>
              <w:jc w:val="left"/>
            </w:pPr>
            <w:r>
              <w:t xml:space="preserve">Pago al limpiador</w:t>
            </w:r>
          </w:p>
        </w:tc>
        <w:tc>
          <w:tcPr/>
          <w:p>
            <w:pPr>
              <w:pStyle w:val="Compact"/>
              <w:jc w:val="right"/>
            </w:pPr>
            <w:r>
              <w:t xml:space="preserve">$78</w:t>
            </w:r>
          </w:p>
        </w:tc>
        <w:tc>
          <w:tcPr/>
          <w:p>
            <w:pPr>
              <w:pStyle w:val="Compact"/>
            </w:pPr>
            <w:r>
              <w:t xml:space="preserve">$91</w:t>
            </w:r>
          </w:p>
        </w:tc>
      </w:tr>
      <w:tr>
        <w:tc>
          <w:tcPr/>
          <w:p>
            <w:pPr>
              <w:pStyle w:val="Compact"/>
              <w:jc w:val="left"/>
            </w:pPr>
            <w:r>
              <w:t xml:space="preserve">Nómina/tarifas de contratista y seguro</w:t>
            </w:r>
          </w:p>
        </w:tc>
        <w:tc>
          <w:tcPr/>
          <w:p>
            <w:pPr>
              <w:pStyle w:val="Compact"/>
              <w:jc w:val="right"/>
            </w:pPr>
            <w:r>
              <w:t xml:space="preserve">$14</w:t>
            </w:r>
          </w:p>
        </w:tc>
        <w:tc>
          <w:tcPr/>
          <w:p>
            <w:pPr>
              <w:pStyle w:val="Compact"/>
            </w:pPr>
            <w:r>
              <w:t xml:space="preserve">$17</w:t>
            </w:r>
          </w:p>
        </w:tc>
      </w:tr>
      <w:tr>
        <w:tc>
          <w:tcPr/>
          <w:p>
            <w:pPr>
              <w:pStyle w:val="Compact"/>
              <w:jc w:val="left"/>
            </w:pPr>
            <w:r>
              <w:t xml:space="preserve">Suministros y asignación de equipo</w:t>
            </w:r>
          </w:p>
        </w:tc>
        <w:tc>
          <w:tcPr/>
          <w:p>
            <w:pPr>
              <w:pStyle w:val="Compact"/>
              <w:jc w:val="right"/>
            </w:pPr>
            <w:r>
              <w:t xml:space="preserve">$9</w:t>
            </w:r>
          </w:p>
        </w:tc>
        <w:tc>
          <w:tcPr/>
          <w:p>
            <w:pPr>
              <w:pStyle w:val="Compact"/>
            </w:pPr>
            <w:r>
              <w:t xml:space="preserve">$12</w:t>
            </w:r>
          </w:p>
        </w:tc>
      </w:tr>
      <w:tr>
        <w:tc>
          <w:tcPr/>
          <w:p>
            <w:pPr>
              <w:pStyle w:val="Compact"/>
              <w:jc w:val="left"/>
            </w:pPr>
            <w:r>
              <w:t xml:space="preserve">Apoyo de viaje/kilometraje</w:t>
            </w:r>
          </w:p>
        </w:tc>
        <w:tc>
          <w:tcPr/>
          <w:p>
            <w:pPr>
              <w:pStyle w:val="Compact"/>
              <w:jc w:val="right"/>
            </w:pPr>
            <w:r>
              <w:t xml:space="preserve">$8</w:t>
            </w:r>
          </w:p>
        </w:tc>
        <w:tc>
          <w:tcPr/>
          <w:p>
            <w:pPr>
              <w:pStyle w:val="Compact"/>
            </w:pPr>
            <w:r>
              <w:t xml:space="preserve">$10</w:t>
            </w:r>
          </w:p>
        </w:tc>
      </w:tr>
      <w:tr>
        <w:tc>
          <w:tcPr/>
          <w:p>
            <w:pPr>
              <w:pStyle w:val="Compact"/>
              <w:jc w:val="left"/>
            </w:pPr>
            <w:r>
              <w:t xml:space="preserve">Costo de adquisición de clientes asignad</w:t>
            </w:r>
          </w:p>
        </w:tc>
        <w:tc>
          <w:tcPr/>
          <w:p>
            <w:pPr>
              <w:pStyle w:val="Compact"/>
              <w:jc w:val="right"/>
            </w:pPr>
            <w:r>
              <w:t xml:space="preserve">o $12</w:t>
            </w:r>
          </w:p>
        </w:tc>
        <w:tc>
          <w:tcPr/>
          <w:p>
            <w:pPr>
              <w:pStyle w:val="Compact"/>
            </w:pPr>
            <w:r>
              <w:t xml:space="preserve">$61</w:t>
            </w:r>
          </w:p>
        </w:tc>
      </w:tr>
      <w:tr>
        <w:tc>
          <w:tcPr/>
          <w:p>
            <w:pPr>
              <w:pStyle w:val="Compact"/>
              <w:jc w:val="left"/>
            </w:pPr>
            <w:r>
              <w:t xml:space="preserve">Soporte, reembolsos, procesamiento de pa</w:t>
            </w:r>
          </w:p>
        </w:tc>
        <w:tc>
          <w:tcPr/>
          <w:p>
            <w:pPr>
              <w:pStyle w:val="Compact"/>
              <w:jc w:val="right"/>
            </w:pPr>
            <w:r>
              <w:t xml:space="preserve">gos $10</w:t>
            </w:r>
          </w:p>
        </w:tc>
        <w:tc>
          <w:tcPr/>
          <w:p>
            <w:pPr>
              <w:pStyle w:val="Compact"/>
            </w:pPr>
            <w:r>
              <w:t xml:space="preserve">$13</w:t>
            </w:r>
          </w:p>
        </w:tc>
      </w:tr>
      <w:tr>
        <w:tc>
          <w:tcPr/>
          <w:p>
            <w:pPr>
              <w:pStyle w:val="Compact"/>
              <w:jc w:val="left"/>
            </w:pPr>
            <w:r>
              <w:t xml:space="preserve">Contribución antes de gastos generales</w:t>
            </w:r>
          </w:p>
        </w:tc>
        <w:tc>
          <w:tcPr/>
          <w:p>
            <w:pPr>
              <w:pStyle w:val="Compact"/>
              <w:jc w:val="right"/>
            </w:pPr>
            <w:r>
              <w:t xml:space="preserve">$11</w:t>
            </w:r>
          </w:p>
        </w:tc>
        <w:tc>
          <w:tcPr/>
          <w:p>
            <w:pPr>
              <w:pStyle w:val="Compact"/>
            </w:pPr>
            <w:r>
              <w:t xml:space="preserve">-$97</w:t>
            </w:r>
          </w:p>
        </w:tc>
      </w:tr>
    </w:tbl>
    <w:p>
      <w:pPr>
        <w:pStyle w:val="BodyText"/>
      </w:pPr>
      <w:r>
        <w:t xml:space="preserve">El anexo reflejaba promedios. Un apartamento compacto cerca de otra cita podía producir un margen saludable, mientras que una gran casa suburbana con un trayecto de 35 minutos podía perder dinero incluso al precio completo. El modelo de precios instantáneos de BrightNest usaba dormitorios, baños, metros cuadrados, mascotas y tareas solicitadas, pero aún no contemplaba bien el desorden, el estacionamiento, los retrasos de acceso o el estado de la vivienda.</w:t>
      </w:r>
    </w:p>
    <w:bookmarkEnd w:id="17"/>
    <w:bookmarkEnd w:id="18"/>
    <w:bookmarkStart w:id="20" w:name="la-decisión-de-lanzamiento-geográfico"/>
    <w:p>
      <w:pPr>
        <w:pStyle w:val="Heading1"/>
      </w:pPr>
      <w:r>
        <w:t xml:space="preserve">La decisión de lanzamiento geográfico</w:t>
      </w:r>
    </w:p>
    <w:p>
      <w:pPr>
        <w:pStyle w:val="FirstParagraph"/>
      </w:pPr>
      <w:r>
        <w:t xml:space="preserve">Un despliegue nacional ofrecía velocidad, visibilidad de marca y un gran embudo de reclutamiento. También creaba el riesgo de</w:t>
      </w:r>
      <w:r>
        <w:t xml:space="preserve"> </w:t>
      </w:r>
      <w:r>
        <w:t xml:space="preserve">“mercados delgados”</w:t>
      </w:r>
      <w:r>
        <w:t xml:space="preserve">: los clientes y los limpiadores podían existir en la misma ciudad pero no en el mismo vecindario ni en horarios compatibles. Un limpiador dispuesto a trabajar los martes por la mañana en los suburbios del norte no resolvía un aumento repentino de demanda los sábados en el centro.</w:t>
      </w:r>
    </w:p>
    <w:p>
      <w:pPr>
        <w:pStyle w:val="BodyText"/>
      </w:pPr>
      <w:r>
        <w:t xml:space="preserve">Un lanzamiento regional podía concentrar la publicidad, la supervisión local, los referidos y la densidad de limpiadores. Sin embargo, seleccionar únicamente áreas metropolitanas adineradas podía producir precios altos para el cliente junto con salarios altos, congestión y costos de adquisición de clientes elevados. Las regiones de menor costo podían ofrecer un reclutamiento más fácil pero menos disposición a pagar. La intensidad de la aplicación de las leyes migratorias y las actitudes locales también podían afectar la confianza de los solicitantes y las percepciones de los clientes de maneras difíciles de cuantificar.</w:t>
      </w:r>
    </w:p>
    <w:bookmarkStart w:id="19" w:name="X338961d3b6c902e78e5fb118304cd27026dfe0b"/>
    <w:p>
      <w:pPr>
        <w:pStyle w:val="Heading2"/>
      </w:pPr>
      <w:r>
        <w:t xml:space="preserve">Anexo 5. Perfiles de mercados candidatos para el lanzamiento</w:t>
      </w:r>
    </w:p>
    <w:tbl>
      <w:tblPr>
        <w:tblStyle w:val="Table"/>
        <w:tblW w:type="pct" w:w="4939"/>
        <w:tblLayout w:type="fixed"/>
        <w:tblLook w:firstRow="1" w:lastRow="0" w:firstColumn="0" w:lastColumn="0" w:noHBand="0" w:noVBand="0" w:val="0020"/>
      </w:tblPr>
      <w:tblGrid>
        <w:gridCol w:w="1207"/>
        <w:gridCol w:w="1448"/>
        <w:gridCol w:w="1014"/>
        <w:gridCol w:w="1207"/>
        <w:gridCol w:w="1110"/>
        <w:gridCol w:w="1835"/>
      </w:tblGrid>
      <w:tr>
        <w:trPr>
          <w:tblHeader w:val="on"/>
        </w:trPr>
        <w:tc>
          <w:tcPr/>
          <w:p>
            <w:pPr>
              <w:pStyle w:val="Compact"/>
              <w:jc w:val="left"/>
            </w:pPr>
            <w:r>
              <w:t xml:space="preserve">Tipo de mercado</w:t>
            </w:r>
          </w:p>
        </w:tc>
        <w:tc>
          <w:tcPr/>
          <w:p>
            <w:pPr>
              <w:pStyle w:val="Compact"/>
              <w:jc w:val="right"/>
            </w:pPr>
            <w:r>
              <w:t xml:space="preserve">Precio ilustrativo al clie</w:t>
            </w:r>
          </w:p>
        </w:tc>
        <w:tc>
          <w:tcPr/>
          <w:p>
            <w:pPr>
              <w:pStyle w:val="Compact"/>
            </w:pPr>
            <w:r>
              <w:t xml:space="preserve">nte Pago objetivo a</w:t>
            </w:r>
          </w:p>
        </w:tc>
        <w:tc>
          <w:tcPr/>
          <w:p>
            <w:pPr>
              <w:pStyle w:val="Compact"/>
            </w:pPr>
            <w:r>
              <w:t xml:space="preserve">l limpiador CAC estimad</w:t>
            </w:r>
          </w:p>
        </w:tc>
        <w:tc>
          <w:tcPr/>
          <w:p>
            <w:pPr>
              <w:pStyle w:val="Compact"/>
              <w:jc w:val="left"/>
            </w:pPr>
            <w:r>
              <w:t xml:space="preserve">o de primera reserva</w:t>
            </w:r>
          </w:p>
        </w:tc>
        <w:tc>
          <w:tcPr/>
          <w:p>
            <w:pPr>
              <w:pStyle w:val="Compact"/>
            </w:pPr>
            <w:r>
              <w:t xml:space="preserve">Riesgo de densidad de limpiadores Otra preocupación</w:t>
            </w:r>
          </w:p>
        </w:tc>
      </w:tr>
      <w:tr>
        <w:tc>
          <w:tcPr/>
          <w:p>
            <w:pPr>
              <w:pStyle w:val="Compact"/>
              <w:jc w:val="left"/>
            </w:pPr>
            <w:r>
              <w:t xml:space="preserve">Costero de altos ingresos</w:t>
            </w:r>
          </w:p>
        </w:tc>
        <w:tc>
          <w:tcPr/>
          <w:p>
            <w:pPr>
              <w:pStyle w:val="Compact"/>
              <w:jc w:val="right"/>
            </w:pPr>
            <w:r>
              <w:t xml:space="preserve">$175</w:t>
            </w:r>
          </w:p>
        </w:tc>
        <w:tc>
          <w:tcPr/>
          <w:p>
            <w:pPr>
              <w:pStyle w:val="Compact"/>
            </w:pPr>
            <w:r>
              <w:t xml:space="preserve">$31/hr</w:t>
            </w:r>
          </w:p>
        </w:tc>
        <w:tc>
          <w:tcPr/>
          <w:p>
            <w:pPr>
              <w:pStyle w:val="Compact"/>
            </w:pPr>
            <w:r>
              <w:t xml:space="preserve">$78</w:t>
            </w:r>
          </w:p>
        </w:tc>
        <w:tc>
          <w:tcPr/>
          <w:p>
            <w:pPr>
              <w:pStyle w:val="Compact"/>
              <w:jc w:val="left"/>
            </w:pPr>
            <w:r>
              <w:t xml:space="preserve">Medio</w:t>
            </w:r>
          </w:p>
        </w:tc>
        <w:tc>
          <w:tcPr/>
          <w:p>
            <w:pPr>
              <w:pStyle w:val="Compact"/>
            </w:pPr>
            <w:r>
              <w:t xml:space="preserve">Altos costos de viaje y salariales</w:t>
            </w:r>
          </w:p>
        </w:tc>
      </w:tr>
      <w:tr>
        <w:tc>
          <w:tcPr/>
          <w:p>
            <w:pPr>
              <w:pStyle w:val="Compact"/>
              <w:jc w:val="left"/>
            </w:pPr>
            <w:r>
              <w:t xml:space="preserve">Sun Belt de rápido crecim</w:t>
            </w:r>
          </w:p>
        </w:tc>
        <w:tc>
          <w:tcPr/>
          <w:p>
            <w:pPr>
              <w:pStyle w:val="Compact"/>
              <w:jc w:val="right"/>
            </w:pPr>
            <w:r>
              <w:t xml:space="preserve">iento $145</w:t>
            </w:r>
          </w:p>
        </w:tc>
        <w:tc>
          <w:tcPr/>
          <w:p>
            <w:pPr>
              <w:pStyle w:val="Compact"/>
            </w:pPr>
            <w:r>
              <w:t xml:space="preserve">$25/hr</w:t>
            </w:r>
          </w:p>
        </w:tc>
        <w:tc>
          <w:tcPr/>
          <w:p>
            <w:pPr>
              <w:pStyle w:val="Compact"/>
            </w:pPr>
            <w:r>
              <w:t xml:space="preserve">$54</w:t>
            </w:r>
          </w:p>
        </w:tc>
        <w:tc>
          <w:tcPr/>
          <w:p>
            <w:pPr>
              <w:pStyle w:val="Compact"/>
              <w:jc w:val="left"/>
            </w:pPr>
            <w:r>
              <w:t xml:space="preserve">Bajo-Medio</w:t>
            </w:r>
          </w:p>
        </w:tc>
        <w:tc>
          <w:tcPr/>
          <w:p>
            <w:pPr>
              <w:pStyle w:val="Compact"/>
            </w:pPr>
            <w:r>
              <w:t xml:space="preserve">Extensión y dependencia del vehículo</w:t>
            </w:r>
          </w:p>
        </w:tc>
      </w:tr>
      <w:tr>
        <w:tc>
          <w:tcPr/>
          <w:p>
            <w:pPr>
              <w:pStyle w:val="Compact"/>
              <w:jc w:val="left"/>
            </w:pPr>
            <w:r>
              <w:t xml:space="preserve">Gran metrópolis del Medio</w:t>
            </w:r>
          </w:p>
        </w:tc>
        <w:tc>
          <w:tcPr/>
          <w:p>
            <w:pPr>
              <w:pStyle w:val="Compact"/>
              <w:jc w:val="right"/>
            </w:pPr>
            <w:r>
              <w:t xml:space="preserve">Oeste $132</w:t>
            </w:r>
          </w:p>
        </w:tc>
        <w:tc>
          <w:tcPr/>
          <w:p>
            <w:pPr>
              <w:pStyle w:val="Compact"/>
            </w:pPr>
            <w:r>
              <w:t xml:space="preserve">$23/hr</w:t>
            </w:r>
          </w:p>
        </w:tc>
        <w:tc>
          <w:tcPr/>
          <w:p>
            <w:pPr>
              <w:pStyle w:val="Compact"/>
            </w:pPr>
            <w:r>
              <w:t xml:space="preserve">$49</w:t>
            </w:r>
          </w:p>
        </w:tc>
        <w:tc>
          <w:tcPr/>
          <w:p>
            <w:pPr>
              <w:pStyle w:val="Compact"/>
              <w:jc w:val="left"/>
            </w:pPr>
            <w:r>
              <w:t xml:space="preserve">Bajo</w:t>
            </w:r>
          </w:p>
        </w:tc>
        <w:tc>
          <w:tcPr/>
          <w:p>
            <w:pPr>
              <w:pStyle w:val="Compact"/>
            </w:pPr>
            <w:r>
              <w:t xml:space="preserve">Menor penetración de servicio recurrente</w:t>
            </w:r>
          </w:p>
        </w:tc>
      </w:tr>
      <w:tr>
        <w:tc>
          <w:tcPr/>
          <w:p>
            <w:pPr>
              <w:pStyle w:val="Compact"/>
              <w:jc w:val="left"/>
            </w:pPr>
            <w:r>
              <w:t xml:space="preserve">Ciudad universitaria/secu</w:t>
            </w:r>
          </w:p>
        </w:tc>
        <w:tc>
          <w:tcPr/>
          <w:p>
            <w:pPr>
              <w:pStyle w:val="Compact"/>
              <w:jc w:val="right"/>
            </w:pPr>
            <w:r>
              <w:t xml:space="preserve">ndaria $118</w:t>
            </w:r>
          </w:p>
        </w:tc>
        <w:tc>
          <w:tcPr/>
          <w:p>
            <w:pPr>
              <w:pStyle w:val="Compact"/>
            </w:pPr>
            <w:r>
              <w:t xml:space="preserve">$21/hr</w:t>
            </w:r>
          </w:p>
        </w:tc>
        <w:tc>
          <w:tcPr/>
          <w:p>
            <w:pPr>
              <w:pStyle w:val="Compact"/>
            </w:pPr>
            <w:r>
              <w:t xml:space="preserve">$42</w:t>
            </w:r>
          </w:p>
        </w:tc>
        <w:tc>
          <w:tcPr/>
          <w:p>
            <w:pPr>
              <w:pStyle w:val="Compact"/>
              <w:jc w:val="left"/>
            </w:pPr>
            <w:r>
              <w:t xml:space="preserve">Alto</w:t>
            </w:r>
          </w:p>
        </w:tc>
        <w:tc>
          <w:tcPr/>
          <w:p>
            <w:pPr>
              <w:pStyle w:val="Compact"/>
            </w:pPr>
            <w:r>
              <w:t xml:space="preserve">Rotación estacional de trabajadores y clientes</w:t>
            </w:r>
          </w:p>
        </w:tc>
      </w:tr>
      <w:tr>
        <w:tc>
          <w:tcPr/>
          <w:p>
            <w:pPr>
              <w:pStyle w:val="Compact"/>
              <w:jc w:val="left"/>
            </w:pPr>
            <w:r>
              <w:t xml:space="preserve">Autoservicio nacional</w:t>
            </w:r>
          </w:p>
        </w:tc>
        <w:tc>
          <w:tcPr/>
          <w:p>
            <w:pPr>
              <w:pStyle w:val="Compact"/>
              <w:jc w:val="right"/>
            </w:pPr>
            <w:r>
              <w:t xml:space="preserve">$135 promedio</w:t>
            </w:r>
          </w:p>
        </w:tc>
        <w:tc>
          <w:tcPr/>
          <w:p>
            <w:pPr>
              <w:pStyle w:val="Compact"/>
            </w:pPr>
            <w:r>
              <w:t xml:space="preserve">$24-$31/hr</w:t>
            </w:r>
          </w:p>
        </w:tc>
        <w:tc>
          <w:tcPr/>
          <w:p>
            <w:pPr>
              <w:pStyle w:val="Compact"/>
            </w:pPr>
            <w:r>
              <w:t xml:space="preserve">$60 promedio</w:t>
            </w:r>
          </w:p>
        </w:tc>
        <w:tc>
          <w:tcPr/>
          <w:p>
            <w:pPr>
              <w:pStyle w:val="Compact"/>
              <w:jc w:val="left"/>
            </w:pPr>
            <w:r>
              <w:t xml:space="preserve">Muy alto</w:t>
            </w:r>
          </w:p>
        </w:tc>
        <w:tc>
          <w:tcPr/>
          <w:p>
            <w:pPr>
              <w:pStyle w:val="Compact"/>
            </w:pPr>
            <w:r>
              <w:t xml:space="preserve">Calidad y cumplimiento desiguales</w:t>
            </w:r>
          </w:p>
        </w:tc>
      </w:tr>
    </w:tbl>
    <w:bookmarkEnd w:id="19"/>
    <w:bookmarkEnd w:id="20"/>
    <w:bookmarkStart w:id="24" w:name="tres-propuestas-de-lanzamiento"/>
    <w:p>
      <w:pPr>
        <w:pStyle w:val="Heading1"/>
      </w:pPr>
      <w:r>
        <w:t xml:space="preserve">Tres propuestas de lanzamiento</w:t>
      </w:r>
    </w:p>
    <w:p>
      <w:pPr>
        <w:pStyle w:val="FirstParagraph"/>
      </w:pPr>
      <w:r>
        <w:t xml:space="preserve">Al final del piloto, el equipo ejecutivo había desarrollado tres propuestas.</w:t>
      </w:r>
    </w:p>
    <w:bookmarkStart w:id="21" w:name="X6b33411ba85e217617e617ff3d9569c169c8086"/>
    <w:p>
      <w:pPr>
        <w:pStyle w:val="Heading2"/>
      </w:pPr>
      <w:r>
        <w:t xml:space="preserve">Propuesta A - Estrategia de densidad de cinco ciudades.</w:t>
      </w:r>
    </w:p>
    <w:p>
      <w:pPr>
        <w:pStyle w:val="FirstParagraph"/>
      </w:pPr>
      <w:r>
        <w:t xml:space="preserve">BrightNest se lanzaría solo donde pudiera reclutar al menos 150 limpiadores evaluados antes de que comenzara la publicidad importante para clientes. Construiría asociaciones locales, proporcionaría kits iniciales, garantizaría bloques de trabajo limitados y enfatizaría los referidos. El plan requería aproximadamente $11 millones durante 18 meses y apuntaba a 22,000 clientes recurrentes. Los defensores argumentaron que la densidad y la calidad del servicio eran requisitos previos para el crecimiento. Los críticos se preocupaban de que los competidores pudieran ocupar otros mercados primero.</w:t>
      </w:r>
    </w:p>
    <w:bookmarkEnd w:id="21"/>
    <w:bookmarkStart w:id="22" w:name="X167f27e846fd0d273334a32bf2eef8ed6fd1611"/>
    <w:p>
      <w:pPr>
        <w:pStyle w:val="Heading2"/>
      </w:pPr>
      <w:r>
        <w:t xml:space="preserve">Propuesta B - Estrategia de mercado de veinticinco ciudades.</w:t>
      </w:r>
    </w:p>
    <w:p>
      <w:pPr>
        <w:pStyle w:val="FirstParagraph"/>
      </w:pPr>
      <w:r>
        <w:t xml:space="preserve">La empresa usaría WorkReach a nivel nacional pero activaría el marketing para clientes en 25 ciudades. El pago a los limpiadores, los precios al cliente, los descuentos y las áreas de servicio se ajustarían según el mercado. BrightNest gastaría $16 millones y apuntaría a 48,000 clientes recurrentes. El enfoque generaba más aprendizaje pero requería precios locales sofisticados, cumplimiento y controles de oferta-demanda que aún no estaban probados.</w:t>
      </w:r>
    </w:p>
    <w:bookmarkEnd w:id="22"/>
    <w:bookmarkStart w:id="23" w:name="X63441741a1b062445104b2d1bdc50ce77d478aa"/>
    <w:p>
      <w:pPr>
        <w:pStyle w:val="Heading2"/>
      </w:pPr>
      <w:r>
        <w:t xml:space="preserve">Propuesta C - Estrategia de disponibilidad nacional.</w:t>
      </w:r>
    </w:p>
    <w:p>
      <w:pPr>
        <w:pStyle w:val="FirstParagraph"/>
      </w:pPr>
      <w:r>
        <w:t xml:space="preserve">Los clientes en cualquier lugar de los Estados Unidos contiguos podrían solicitar servicio. BrightNest confirmaría una cita solo después de emparejarla con un limpiador disponible. El reclutamiento de limpiadores se realizaría a nivel nacional, sin horas garantizadas y con soporte de equipo limitado. El plan podría producir datos rápidos a un costo fijo relativamente bajo, pero los tiempos de confirmación largos, la oferta escasa y el servicio inconsistente podrían dañar la marca antes de que la empresa aprendiera qué mercados funcionaban.</w:t>
      </w:r>
    </w:p>
    <w:bookmarkEnd w:id="23"/>
    <w:bookmarkEnd w:id="24"/>
    <w:bookmarkStart w:id="26" w:name="lo-que-los-pilotos-no-habían-respondido"/>
    <w:p>
      <w:pPr>
        <w:pStyle w:val="Heading1"/>
      </w:pPr>
      <w:r>
        <w:t xml:space="preserve">Lo que los pilotos no habían respondido</w:t>
      </w:r>
    </w:p>
    <w:p>
      <w:pPr>
        <w:pStyle w:val="FirstParagraph"/>
      </w:pPr>
      <w:r>
        <w:t xml:space="preserve">Los pilotos generaron datos pero no acuerdo. El alto pago a los limpiadores aumentó la aceptación de trabajos, pero solo cuando las citas estaban agrupadas geográficamente. Los descuentos aumentaron las reservas, pero los clientes menos costosos también eran los menos propensos a volver a pedir. Los clientes preferían al mismo limpiador, mientras que el sistema de programación lograba mayor utilización asignando al limpiador que estuviera cerca. La flexibilidad de los limpiadores mejoró el reclutamiento, pero la elección ilimitada de horarios dificultaba prometer a los clientes un horario específico.</w:t>
      </w:r>
    </w:p>
    <w:p>
      <w:pPr>
        <w:pStyle w:val="BodyText"/>
      </w:pPr>
      <w:r>
        <w:t xml:space="preserve">La dirección tampoco tenía una definición compartida de éxito. Crecimiento enfatizaba las reservas y la entrada al mercado. Operaciones enfatizaba las tasas de finalización y las calificaciones de los clientes. El equipo de la red de limpiadores enfatizaba las ganancias por hora, la retención y la elección de horarios. Finanzas enfatizaba el margen de contribución después del costo de adquisición. Una ciudad podía parecer exitosa según una medida y no exitosa según otra.</w:t>
      </w:r>
    </w:p>
    <w:bookmarkStart w:id="25" w:name="Xcfaed17ae1a8dd1725e1f97a1f8b36952e54386"/>
    <w:p>
      <w:pPr>
        <w:pStyle w:val="Heading2"/>
      </w:pPr>
      <w:r>
        <w:t xml:space="preserve">Anexo 6. Resultados propuestos del lanzamiento a 18 meses</w:t>
      </w:r>
    </w:p>
    <w:tbl>
      <w:tblPr>
        <w:tblStyle w:val="Table"/>
        <w:tblW w:type="pct" w:w="4914"/>
        <w:tblLayout w:type="fixed"/>
        <w:tblLook w:firstRow="1" w:lastRow="0" w:firstColumn="0" w:lastColumn="0" w:noHBand="0" w:noVBand="0" w:val="0020"/>
      </w:tblPr>
      <w:tblGrid>
        <w:gridCol w:w="3277"/>
        <w:gridCol w:w="1365"/>
        <w:gridCol w:w="1502"/>
        <w:gridCol w:w="1638"/>
      </w:tblGrid>
      <w:tr>
        <w:trPr>
          <w:tblHeader w:val="on"/>
        </w:trPr>
        <w:tc>
          <w:tcPr/>
          <w:p>
            <w:pPr>
              <w:pStyle w:val="Compact"/>
            </w:pPr>
            <w:r>
              <w:t xml:space="preserve">Medida D</w:t>
            </w:r>
          </w:p>
        </w:tc>
        <w:tc>
          <w:tcPr/>
          <w:p>
            <w:pPr>
              <w:pStyle w:val="Compact"/>
            </w:pPr>
            <w:r>
              <w:t xml:space="preserve">ensidad de cinco ciu</w:t>
            </w:r>
          </w:p>
        </w:tc>
        <w:tc>
          <w:tcPr/>
          <w:p>
            <w:pPr>
              <w:pStyle w:val="Compact"/>
            </w:pPr>
            <w:r>
              <w:t xml:space="preserve">dades Mercado de 25</w:t>
            </w:r>
          </w:p>
        </w:tc>
        <w:tc>
          <w:tcPr/>
          <w:p>
            <w:pPr>
              <w:pStyle w:val="Compact"/>
            </w:pPr>
            <w:r>
              <w:t xml:space="preserve">ciudades Disponibilidad nacional</w:t>
            </w:r>
          </w:p>
        </w:tc>
      </w:tr>
      <w:tr>
        <w:tc>
          <w:tcPr/>
          <w:p>
            <w:pPr>
              <w:pStyle w:val="Compact"/>
            </w:pPr>
            <w:r>
              <w:t xml:space="preserve">Inversión requerida</w:t>
            </w:r>
          </w:p>
        </w:tc>
        <w:tc>
          <w:tcPr/>
          <w:p>
            <w:pPr>
              <w:pStyle w:val="Compact"/>
            </w:pPr>
            <w:r>
              <w:t xml:space="preserve">$11 millones</w:t>
            </w:r>
          </w:p>
        </w:tc>
        <w:tc>
          <w:tcPr/>
          <w:p>
            <w:pPr>
              <w:pStyle w:val="Compact"/>
            </w:pPr>
            <w:r>
              <w:t xml:space="preserve">$16 millones</w:t>
            </w:r>
          </w:p>
        </w:tc>
        <w:tc>
          <w:tcPr/>
          <w:p>
            <w:pPr>
              <w:pStyle w:val="Compact"/>
            </w:pPr>
            <w:r>
              <w:t xml:space="preserve">$13 millones</w:t>
            </w:r>
          </w:p>
        </w:tc>
      </w:tr>
      <w:tr>
        <w:tc>
          <w:tcPr/>
          <w:p>
            <w:pPr>
              <w:pStyle w:val="Compact"/>
            </w:pPr>
            <w:r>
              <w:t xml:space="preserve">Clientes recurrentes en el mes 18</w:t>
            </w:r>
          </w:p>
        </w:tc>
        <w:tc>
          <w:tcPr/>
          <w:p>
            <w:pPr>
              <w:pStyle w:val="Compact"/>
            </w:pPr>
            <w:r>
              <w:t xml:space="preserve">22,000</w:t>
            </w:r>
          </w:p>
        </w:tc>
        <w:tc>
          <w:tcPr/>
          <w:p>
            <w:pPr>
              <w:pStyle w:val="Compact"/>
            </w:pPr>
            <w:r>
              <w:t xml:space="preserve">48,000</w:t>
            </w:r>
          </w:p>
        </w:tc>
        <w:tc>
          <w:tcPr/>
          <w:p>
            <w:pPr>
              <w:pStyle w:val="Compact"/>
            </w:pPr>
            <w:r>
              <w:t xml:space="preserve">55,000</w:t>
            </w:r>
          </w:p>
        </w:tc>
      </w:tr>
      <w:tr>
        <w:tc>
          <w:tcPr/>
          <w:p>
            <w:pPr>
              <w:pStyle w:val="Compact"/>
            </w:pPr>
            <w:r>
              <w:t xml:space="preserve">Limpiadores activos</w:t>
            </w:r>
          </w:p>
        </w:tc>
        <w:tc>
          <w:tcPr/>
          <w:p>
            <w:pPr>
              <w:pStyle w:val="Compact"/>
            </w:pPr>
            <w:r>
              <w:t xml:space="preserve">1,050</w:t>
            </w:r>
          </w:p>
        </w:tc>
        <w:tc>
          <w:tcPr/>
          <w:p>
            <w:pPr>
              <w:pStyle w:val="Compact"/>
            </w:pPr>
            <w:r>
              <w:t xml:space="preserve">2,750</w:t>
            </w:r>
          </w:p>
        </w:tc>
        <w:tc>
          <w:tcPr/>
          <w:p>
            <w:pPr>
              <w:pStyle w:val="Compact"/>
            </w:pPr>
            <w:r>
              <w:t xml:space="preserve">4,200</w:t>
            </w:r>
          </w:p>
        </w:tc>
      </w:tr>
      <w:tr>
        <w:tc>
          <w:tcPr/>
          <w:p>
            <w:pPr>
              <w:pStyle w:val="Compact"/>
            </w:pPr>
            <w:r>
              <w:t xml:space="preserve">Tasa de finalización proyectada</w:t>
            </w:r>
          </w:p>
        </w:tc>
        <w:tc>
          <w:tcPr/>
          <w:p>
            <w:pPr>
              <w:pStyle w:val="Compact"/>
            </w:pPr>
            <w:r>
              <w:t xml:space="preserve">94%</w:t>
            </w:r>
          </w:p>
        </w:tc>
        <w:tc>
          <w:tcPr/>
          <w:p>
            <w:pPr>
              <w:pStyle w:val="Compact"/>
            </w:pPr>
            <w:r>
              <w:t xml:space="preserve">88%</w:t>
            </w:r>
          </w:p>
        </w:tc>
        <w:tc>
          <w:tcPr/>
          <w:p>
            <w:pPr>
              <w:pStyle w:val="Compact"/>
            </w:pPr>
            <w:r>
              <w:t xml:space="preserve">77%</w:t>
            </w:r>
          </w:p>
        </w:tc>
      </w:tr>
      <w:tr>
        <w:tc>
          <w:tcPr/>
          <w:p>
            <w:pPr>
              <w:pStyle w:val="Compact"/>
            </w:pPr>
            <w:r>
              <w:t xml:space="preserve">Margen de contribución por visita recurrente</w:t>
            </w:r>
          </w:p>
        </w:tc>
        <w:tc>
          <w:tcPr/>
          <w:p>
            <w:pPr>
              <w:pStyle w:val="Compact"/>
            </w:pPr>
            <w:r>
              <w:t xml:space="preserve">$18</w:t>
            </w:r>
          </w:p>
        </w:tc>
        <w:tc>
          <w:tcPr/>
          <w:p>
            <w:pPr>
              <w:pStyle w:val="Compact"/>
            </w:pPr>
            <w:r>
              <w:t xml:space="preserve">$12</w:t>
            </w:r>
          </w:p>
        </w:tc>
        <w:tc>
          <w:tcPr/>
          <w:p>
            <w:pPr>
              <w:pStyle w:val="Compact"/>
            </w:pPr>
            <w:r>
              <w:t xml:space="preserve">$7</w:t>
            </w:r>
          </w:p>
        </w:tc>
      </w:tr>
      <w:tr>
        <w:tc>
          <w:tcPr/>
          <w:p>
            <w:pPr>
              <w:pStyle w:val="Compact"/>
            </w:pPr>
            <w:r>
              <w:t xml:space="preserve">Probabilidad de lograr el plan (estimación del e</w:t>
            </w:r>
          </w:p>
        </w:tc>
        <w:tc>
          <w:tcPr/>
          <w:p>
            <w:pPr>
              <w:pStyle w:val="Compact"/>
            </w:pPr>
            <w:r>
              <w:t xml:space="preserve">quipo) 65%</w:t>
            </w:r>
          </w:p>
        </w:tc>
        <w:tc>
          <w:tcPr/>
          <w:p>
            <w:pPr>
              <w:pStyle w:val="Compact"/>
            </w:pPr>
            <w:r>
              <w:t xml:space="preserve">45%</w:t>
            </w:r>
          </w:p>
        </w:tc>
        <w:tc>
          <w:tcPr/>
          <w:p>
            <w:pPr>
              <w:pStyle w:val="Compact"/>
            </w:pPr>
            <w:r>
              <w:t xml:space="preserve">30%</w:t>
            </w:r>
          </w:p>
        </w:tc>
      </w:tr>
    </w:tbl>
    <w:bookmarkEnd w:id="25"/>
    <w:bookmarkEnd w:id="26"/>
    <w:bookmarkStart w:id="27" w:name="la-decisión"/>
    <w:p>
      <w:pPr>
        <w:pStyle w:val="Heading1"/>
      </w:pPr>
      <w:r>
        <w:t xml:space="preserve">La decisión</w:t>
      </w:r>
    </w:p>
    <w:p>
      <w:pPr>
        <w:pStyle w:val="FirstParagraph"/>
      </w:pPr>
      <w:r>
        <w:t xml:space="preserve">Chen volvió a mirar el panel de control. BrightNest tenía evidencia de que los clientes querían limpieza del hogar conveniente y de que miles de personas harían clic en oportunidades de limpieza flexibles. Aún no sabía si podía colocar al limpiador correcto en el hogar correcto, en el momento correcto, a un precio que satisficiera a ambas partes de manera repetida.</w:t>
      </w:r>
    </w:p>
    <w:p>
      <w:pPr>
        <w:pStyle w:val="BodyText"/>
      </w:pPr>
      <w:r>
        <w:t xml:space="preserve">La reunión de la junta directiva era en cuatro semanas. Antes de eso, Chen tenía que decidir qué propuesta de lanzamiento recomendar, cuánto gastar en descuentos introductorios, qué paquete de compensación y equipo ofrecer a los limpiadores, y qué incertidumbres justificaban más experimentos. Esperar preservaría capital pero podría debilitar el impulso de reclutamiento. Expandirse produciría información más rápido pero podría convertir fallas locales de emparejamiento en un problema de reputación nacional.</w:t>
      </w:r>
    </w:p>
    <w:bookmarkEnd w:id="27"/>
    <w:bookmarkStart w:id="28" w:name="preguntas-de-discusión"/>
    <w:p>
      <w:pPr>
        <w:pStyle w:val="Heading1"/>
      </w:pPr>
      <w:r>
        <w:t xml:space="preserve">Preguntas de discusión</w:t>
      </w:r>
    </w:p>
    <w:p>
      <w:pPr>
        <w:numPr>
          <w:ilvl w:val="0"/>
          <w:numId w:val="1001"/>
        </w:numPr>
      </w:pPr>
      <w:r>
        <w:t xml:space="preserve">¿Cómo debería BrightNest definir sus mercados direccionables, atendibles y realistamente obtenibles?</w:t>
      </w:r>
    </w:p>
    <w:p>
      <w:pPr>
        <w:numPr>
          <w:ilvl w:val="0"/>
          <w:numId w:val="1001"/>
        </w:numPr>
      </w:pPr>
      <w:r>
        <w:t xml:space="preserve">¿Es la restricción principal la demanda de clientes, la oferta de limpiadores, el emparejamiento geográfico, la calidad del servicio o la economía unitaria? ¿Qué evidencia respalda su respuesta?</w:t>
      </w:r>
    </w:p>
    <w:p>
      <w:pPr>
        <w:numPr>
          <w:ilvl w:val="0"/>
          <w:numId w:val="1001"/>
        </w:numPr>
      </w:pPr>
      <w:r>
        <w:t xml:space="preserve">¿Cómo debería la empresa medir el valor de por vida de un cliente cuando la retención puede depender de mantener al mismo limpiador?</w:t>
      </w:r>
    </w:p>
    <w:p>
      <w:pPr>
        <w:numPr>
          <w:ilvl w:val="0"/>
          <w:numId w:val="1001"/>
        </w:numPr>
      </w:pPr>
      <w:r>
        <w:t xml:space="preserve">¿Qué descuento introductorio, si acaso, debería ofrecer BrightNest? ¿Cómo debería variar el descuento según el mercado o el cliente?</w:t>
      </w:r>
    </w:p>
    <w:p>
      <w:pPr>
        <w:numPr>
          <w:ilvl w:val="0"/>
          <w:numId w:val="1001"/>
        </w:numPr>
      </w:pPr>
      <w:r>
        <w:t xml:space="preserve">¿Qué sistema de compensación equilibraría ganancias atractivas, flexibilidad de horario, tiempo de viaje, calidad del servicio y márgenes de la empresa?</w:t>
      </w:r>
    </w:p>
    <w:p>
      <w:pPr>
        <w:numPr>
          <w:ilvl w:val="0"/>
          <w:numId w:val="1001"/>
        </w:numPr>
      </w:pPr>
      <w:r>
        <w:t xml:space="preserve">¿Debería BrightNest suministrar herramientas y productos de limpieza? ¿Qué consecuencias operativas y legales se derivan de cada modelo de suministro?</w:t>
      </w:r>
    </w:p>
    <w:p>
      <w:pPr>
        <w:numPr>
          <w:ilvl w:val="0"/>
          <w:numId w:val="1001"/>
        </w:numPr>
      </w:pPr>
      <w:r>
        <w:t xml:space="preserve">¿Qué métricas de limpiadores debería monitorear la dirección: pago por hora activa, pago por hora total, aceptación, cancelaciones, retención, calificaciones, u otra cosa?</w:t>
      </w:r>
    </w:p>
    <w:p>
      <w:pPr>
        <w:numPr>
          <w:ilvl w:val="0"/>
          <w:numId w:val="1001"/>
        </w:numPr>
      </w:pPr>
      <w:r>
        <w:t xml:space="preserve">¿Cómo debería la incertidumbre de la política migratoria afectar la selección de mercado, el reclutamiento, el cumplimiento y la planificación de escenarios sin fomentar supuestos discriminatorios?</w:t>
      </w:r>
    </w:p>
    <w:p>
      <w:pPr>
        <w:numPr>
          <w:ilvl w:val="0"/>
          <w:numId w:val="1001"/>
        </w:numPr>
      </w:pPr>
      <w:r>
        <w:t xml:space="preserve">¿Debería BrightNest perseguir la densidad de cinco ciudades, un mercado de 25 ciudades, la disponibilidad nacional, u otra secuencia de expansión?</w:t>
      </w:r>
    </w:p>
    <w:p>
      <w:pPr>
        <w:numPr>
          <w:ilvl w:val="0"/>
          <w:numId w:val="1001"/>
        </w:numPr>
      </w:pPr>
      <w:r>
        <w:t xml:space="preserve">¿Qué experimentos proporcionarían el mayor valor de la información antes de que la empresa comprometa la mayor parte de su capital?</w:t>
      </w:r>
    </w:p>
    <w:bookmarkEnd w:id="28"/>
    <w:bookmarkStart w:id="34" w:name="preguntas-de-encuadre-de-la-decisión"/>
    <w:p>
      <w:pPr>
        <w:pStyle w:val="Heading1"/>
      </w:pPr>
      <w:r>
        <w:t xml:space="preserve">Preguntas de encuadre de la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9">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que debe maximizarse (verde), minimizarse (rojo), un objetivo que es un piso (verde claro) o un techo (rojo claro), o finalmente un objetivo (morado).</w:t>
      </w:r>
    </w:p>
    <w:p>
      <w:pPr>
        <w:numPr>
          <w:ilvl w:val="0"/>
          <w:numId w:val="1002"/>
        </w:numPr>
      </w:pPr>
      <w:r>
        <w:t xml:space="preserve">Use la</w:t>
      </w:r>
      <w:r>
        <w:t xml:space="preserve"> </w:t>
      </w:r>
      <w:hyperlink r:id="rId30">
        <w:r>
          <w:rPr>
            <w:rStyle w:val="Hyperlink"/>
          </w:rPr>
          <w:t xml:space="preserve">herramienta de priorización de decisiones</w:t>
        </w:r>
      </w:hyperlink>
      <w:r>
        <w:t xml:space="preserve"> </w:t>
      </w:r>
      <w:r>
        <w:t xml:space="preserve">para primero listar los diferentes tipos de decisiones (use los</w:t>
      </w:r>
      <w:r>
        <w:t xml:space="preserve"> </w:t>
      </w:r>
      <w:hyperlink r:id="rId31">
        <w:r>
          <w:rPr>
            <w:rStyle w:val="Hyperlink"/>
          </w:rPr>
          <w:t xml:space="preserve">tipos de decisiones</w:t>
        </w:r>
      </w:hyperlink>
      <w:r>
        <w:t xml:space="preserve"> </w:t>
      </w:r>
      <w:r>
        <w:t xml:space="preserve">como guía). Estos poblarán entonces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manera que las decisiones con mayor impacto en las métricas más importantes estén hacia arriba. Las celdas en la esquina superior izquierda deberían tener la mayor concentración de celdas rojas y naranjas. En este punto, identifique las decisiones que deberían recibir mayor atención en su estudio. Si no tiene ninguna decisión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32">
        <w:r>
          <w:rPr>
            <w:rStyle w:val="Hyperlink"/>
          </w:rPr>
          <w:t xml:space="preserve">herramienta de priorización de incertidumbres</w:t>
        </w:r>
      </w:hyperlink>
      <w:r>
        <w:t xml:space="preserve">. Use las</w:t>
      </w:r>
      <w:r>
        <w:t xml:space="preserve"> </w:t>
      </w:r>
      <w:hyperlink r:id="rId33">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parece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34"/>
    <w:bookmarkStart w:id="35" w:name="datos-públicos-y-supuestos-del-caso"/>
    <w:p>
      <w:pPr>
        <w:pStyle w:val="Heading1"/>
      </w:pPr>
      <w:r>
        <w:t xml:space="preserve">Datos públicos y supuestos del caso</w:t>
      </w:r>
    </w:p>
    <w:p>
      <w:pPr>
        <w:pStyle w:val="FirstParagraph"/>
      </w:pPr>
      <w:r>
        <w:t xml:space="preserve">El caso combina estadísticas públicas con datos ficticios de la empresa. Las estimaciones de tamaño de mercado son cálculos de escenarios, no mediciones oficiales del gasto en limpieza residencial. El contexto público clave incluye:</w:t>
      </w:r>
    </w:p>
    <w:p>
      <w:pPr>
        <w:numPr>
          <w:ilvl w:val="0"/>
          <w:numId w:val="1005"/>
        </w:numPr>
      </w:pPr>
      <w:r>
        <w:t xml:space="preserve">U.S. Census Bureau QuickFacts: aproximadamente 2.53 personas por hogar en 2020-2024, combinado con estimaciones de población nacional, respalda una estimación de orden de magnitud de aproximadamente 132 millones de hogares.</w:t>
      </w:r>
    </w:p>
    <w:p>
      <w:pPr>
        <w:numPr>
          <w:ilvl w:val="0"/>
          <w:numId w:val="1005"/>
        </w:numPr>
      </w:pPr>
      <w:r>
        <w:t xml:space="preserve">U.S. Bureau of Labor Statistics, Estadísticas Ocupacionales de Empleo y Salarios de mayo de 2025: 860,670 empleadas domésticas y limpiadoras de vivienda; salario medio por hora $17.83; salario mediano por hora $17.07.</w:t>
      </w:r>
    </w:p>
    <w:p>
      <w:pPr>
        <w:numPr>
          <w:ilvl w:val="0"/>
          <w:numId w:val="1005"/>
        </w:numPr>
      </w:pPr>
      <w:r>
        <w:t xml:space="preserve">BLS Trabajadores Nacidos en el Extranjero, 2025: los trabajadores nacidos en el extranjero tenían más probabilidades que los trabajadores nacidos en el país de estar empleados en ocupaciones de servicio, 21.2 por ciento frente a 15.6 por ciento.</w:t>
      </w:r>
    </w:p>
    <w:p>
      <w:pPr>
        <w:numPr>
          <w:ilvl w:val="0"/>
          <w:numId w:val="1005"/>
        </w:numPr>
      </w:pPr>
      <w:r>
        <w:t xml:space="preserve">Estadísticas de No Empleadores del Censo: los servicios de conserjería estaban entre las industrias más grandes probablemente de economía gig, con aproximadamente $20 mil millones en ingresos de 2023 para propiedades unipersonales.</w:t>
      </w:r>
    </w:p>
    <w:p>
      <w:pPr>
        <w:numPr>
          <w:ilvl w:val="0"/>
          <w:numId w:val="1005"/>
        </w:numPr>
      </w:pPr>
      <w:r>
        <w:t xml:space="preserve">Guía del Formulario I-9 de USCIS: los empleadores de EE. UU. deben verificar la elegibilidad de empleo de cada empleado contratado, incluidos los ciudadanos estadounidenses, mientras siguen los requisitos contra la discriminación.</w:t>
      </w:r>
    </w:p>
    <w:p>
      <w:pPr>
        <w:pStyle w:val="FirstParagraph"/>
      </w:pPr>
      <w:r>
        <w:t xml:space="preserve">Fuentes consultadas (acceso julio de 2026): U.S. Bureau of Labor Statistics, Estadísticas Ocupacionales de Empleo y Salarios, mayo de 2025; BLS, Características de la Fuerza Laboral de Trabajadores Nacidos en el Extranjero, 2025; U.S. Census Bureau, QuickFacts y Estadísticas de No Empleadores de 2023; Servicios de Ciudadanía e Inmigración de EE. UU., Form I-9 Central. Todos los precios, tasas de conversión, costos, pronósticos y eventos de la empresa BrightNest son ficticios.</w:t>
      </w:r>
    </w:p>
    <w:bookmarkEnd w:id="35"/>
    <w:bookmarkStart w:id="36" w:name="comentarios-de-chatgpt"/>
    <w:p>
      <w:pPr>
        <w:pStyle w:val="Heading1"/>
      </w:pPr>
      <w:r>
        <w:t xml:space="preserve">Comentarios de ChatGPT</w:t>
      </w:r>
    </w:p>
    <w:p>
      <w:pPr>
        <w:pStyle w:val="FirstParagraph"/>
      </w:pPr>
      <w:r>
        <w:t xml:space="preserve">El caso examina una startup ficticia que debe construir simultáneamente demanda de clientes y reclutar una red de limpiadores geográficamente densa y confiable. Incluye:</w:t>
      </w:r>
    </w:p>
    <w:p>
      <w:pPr>
        <w:numPr>
          <w:ilvl w:val="0"/>
          <w:numId w:val="1006"/>
        </w:numPr>
      </w:pPr>
      <w:r>
        <w:t xml:space="preserve">Alternativas de adquisición de clientes a través de búsqueda, redes sociales, referidos, mercados y asociaciones institucionales</w:t>
      </w:r>
    </w:p>
    <w:p>
      <w:pPr>
        <w:numPr>
          <w:ilvl w:val="0"/>
          <w:numId w:val="1006"/>
        </w:numPr>
      </w:pPr>
      <w:r>
        <w:t xml:space="preserve">Descuentos introductorios e incertidumbre sobre el valor de vida del cliente</w:t>
      </w:r>
    </w:p>
    <w:p>
      <w:pPr>
        <w:numPr>
          <w:ilvl w:val="0"/>
          <w:numId w:val="1006"/>
        </w:numPr>
      </w:pPr>
      <w:r>
        <w:t xml:space="preserve">Compensación de limpiadores, flexibilidad, tiempo de viaje, retención y políticas de equipo</w:t>
      </w:r>
    </w:p>
    <w:p>
      <w:pPr>
        <w:numPr>
          <w:ilvl w:val="0"/>
          <w:numId w:val="1006"/>
        </w:numPr>
      </w:pPr>
      <w:r>
        <w:t xml:space="preserve">Consideraciones de empleado versus contratista</w:t>
      </w:r>
    </w:p>
    <w:p>
      <w:pPr>
        <w:numPr>
          <w:ilvl w:val="0"/>
          <w:numId w:val="1006"/>
        </w:numPr>
      </w:pPr>
      <w:r>
        <w:t xml:space="preserve">Incertidumbre de política migratoria y verificación de empleo</w:t>
      </w:r>
    </w:p>
    <w:p>
      <w:pPr>
        <w:numPr>
          <w:ilvl w:val="0"/>
          <w:numId w:val="1006"/>
        </w:numPr>
      </w:pPr>
      <w:r>
        <w:t xml:space="preserve">Estrategias de despliegue regional, multi-ciudad y nacional</w:t>
      </w:r>
    </w:p>
    <w:p>
      <w:pPr>
        <w:numPr>
          <w:ilvl w:val="0"/>
          <w:numId w:val="1006"/>
        </w:numPr>
      </w:pPr>
      <w:r>
        <w:t xml:space="preserve">Estimaciones de demanda de mercado, economía unitaria, embudos de reclutamiento y escenarios de lanzamiento</w:t>
      </w:r>
    </w:p>
    <w:p>
      <w:pPr>
        <w:numPr>
          <w:ilvl w:val="0"/>
          <w:numId w:val="1006"/>
        </w:numPr>
      </w:pPr>
      <w:r>
        <w:t xml:space="preserve">Diez preguntas de discusión sin solución preferida</w:t>
      </w:r>
    </w:p>
    <w:p>
      <w:pPr>
        <w:pStyle w:val="FirstParagraph"/>
      </w:pPr>
      <w:r>
        <w:t xml:space="preserve">El contexto laboral utiliza estimaciones actuales de BLS de aproximadamente 860,670 empleadas domésticas y limpiadoras de vivienda, con ganancias medias por hora de $17.83 en mayo de 2025. También incorpora hallazgos de BLS de que los trabajadores nacidos en el extranjero estaban más concentrados en ocupaciones de servicio que los trabajadores nacidos en el país en 2025.</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2026-09-11T15:12:50Z</dcterms:created>
  <dcterms:modified xsi:type="dcterms:W3CDTF">2026-09-11T15:12:50Z</dcterms:modified>
</cp:coreProperties>
</file>

<file path=docProps/custom.xml><?xml version="1.0" encoding="utf-8"?>
<Properties xmlns="http://schemas.openxmlformats.org/officeDocument/2006/custom-properties" xmlns:vt="http://schemas.openxmlformats.org/officeDocument/2006/docPropsVTypes"/>
</file>