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Crestline Biotherapeutics</w:t>
      </w:r>
    </w:p>
    <w:p>
      <w:pPr>
        <w:pStyle w:val="BodyText"/>
      </w:pPr>
      <w:r>
        <w:t xml:space="preserve">La Decisión de la Semana 28</w:t>
      </w:r>
    </w:p>
    <w:p>
      <w:pPr>
        <w:pStyle w:val="BodyText"/>
      </w:pPr>
      <w:r>
        <w:rPr>
          <w:i/>
          <w:iCs/>
        </w:rPr>
        <w:t xml:space="preserve">Un caso de desarrollo clínico sobre decidir qué aprender a continuación cuando el tiempo, los pacientes, el capital y la vida de la patente están todos limitados</w:t>
      </w:r>
    </w:p>
    <w:p>
      <w:pPr>
        <w:pStyle w:val="BodyText"/>
      </w:pPr>
      <w:r>
        <w:t xml:space="preserve">Este caso es ficticio y está destinado a la discusión instructiva. Los nombres, eventos, productos y datos de la compañía son inventados; las estadísticas públicas se citan en la nota de fuente.</w:t>
      </w:r>
    </w:p>
    <w:tbl>
      <w:tblPr>
        <w:tblStyle w:val="Table"/>
        <w:tblW w:type="auto" w:w="0"/>
        <w:tblLook w:firstRow="0" w:lastRow="0" w:firstColumn="0" w:lastColumn="0" w:noHBand="0" w:noVBand="0" w:val="0000"/>
      </w:tblPr>
      <w:tblGrid>
        <w:gridCol w:w="7920"/>
      </w:tblGrid>
      <w:tr>
        <w:tc>
          <w:tcPr/>
          <w:p>
            <w:pPr>
              <w:pStyle w:val="Compact"/>
            </w:pPr>
            <w:r>
              <w:t xml:space="preserve">En octubre de 2026, Crestline debe decidir si expandir, rediseñar, pausar o terminar un ensayo de Fase II para un tratamiento experimental para la enfermedad pulmonar inflamatoria. Los resultados tempranos sugieren una mejora significativa para algunos pacientes, poco beneficio para otros, y una señal de seguridad que puede o no estar relacionada con el tratamiento. La inscripción está seis meses retrasada respecto al calendario, un competidor ha anunciado un ensayo pivotal, y Crestline tiene suficiente efectivo para llevar a cabo solo un programa de desarrollo principal.</w:t>
            </w:r>
          </w:p>
        </w:tc>
      </w:tr>
    </w:tbl>
    <w:p>
      <w:r>
        <w:pict>
          <v:rect style="width:0;height:1.5pt" o:hralign="center" o:hrstd="t" o:hr="t"/>
        </w:pict>
      </w:r>
    </w:p>
    <w:p>
      <w:pPr>
        <w:pStyle w:val="FirstParagraph"/>
      </w:pPr>
      <w:r>
        <w:t xml:space="preserve">Este caso es ficticio y está destinado a la discusión instructiva. Los nombres, eventos, resultados clínicos y cifras financieras internas fueron creados para el caso. Las estadísticas públicas se resumen en la nota de fuente.</w:t>
      </w:r>
    </w:p>
    <w:bookmarkStart w:id="9" w:name="la-revisión-intermedia"/>
    <w:p>
      <w:pPr>
        <w:pStyle w:val="Heading1"/>
      </w:pPr>
      <w:r>
        <w:t xml:space="preserve">La Revisión Intermedia</w:t>
      </w:r>
    </w:p>
    <w:p>
      <w:pPr>
        <w:pStyle w:val="FirstParagraph"/>
      </w:pPr>
      <w:r>
        <w:t xml:space="preserve">A las 7:30 de la mañana del lunes, la Dra. Elena Marquez, directora médica de Crestline Biotherapeutics, abrió el informe confidencial del comité independiente de monitoreo de datos. El compuesto principal de la compañía, CLN-47, estaba siendo probado en adultos con enfermedad pulmonar inflamatoria progresiva cuyos síntomas permanecían mal controlados bajo la terapia estándar. El ensayo había alcanzado 164 pacientes aleatorizados, muy por debajo de los 240 planificados, pero la junta directiva había autorizado una revisión intermedia después de que la inscripción se ralentizara y se reportaran varios eventos adversos.</w:t>
      </w:r>
    </w:p>
    <w:p>
      <w:pPr>
        <w:pStyle w:val="BodyText"/>
      </w:pPr>
      <w:r>
        <w:t xml:space="preserve">El informe no proporcionó la respuesta simple que Marquez había esperado. Los pacientes que recibieron la dosis más alta mostraron una mayor mejora promedio en la función pulmonar que aquellos que recibieron placebo, pero la diferencia no alcanzó por poco el umbral estadístico escrito en el protocolo. Un subgrupo identificado a través de un biomarcador sanguíneo pareció responder fuertemente. El subgrupo no había sido designado como la población primaria cuando comenzó el ensayo, y el ensayo de laboratorio utilizado para identificarlo había producido resultados inconsistentes en dos sitios del ensayo.</w:t>
      </w:r>
    </w:p>
    <w:p>
      <w:pPr>
        <w:pStyle w:val="BodyText"/>
      </w:pPr>
      <w:r>
        <w:t xml:space="preserve">Cinco pacientes que recibieron CLN-47 habían experimentado elevaciones graves de enzimas hepáticas, comparado con un paciente que recibió placebo. Todos se recuperaron después de que se interrumpiera el tratamiento. Los investigadores no estuvieron de acuerdo sobre si los eventos reflejaban el fármaco, otros medicamentos, o la enfermedad subyacente. El comité no recomendó detener el ensayo, pero pidió a Crestline que fortaleciera el monitoreo y aclarara las condiciones bajo las cuales se suspendería la dosificación.</w:t>
      </w:r>
    </w:p>
    <w:bookmarkEnd w:id="9"/>
    <w:bookmarkStart w:id="11" w:name="Xd3a4337b4c2a84bb38a97654255fff8f0576468"/>
    <w:p>
      <w:pPr>
        <w:pStyle w:val="Heading1"/>
      </w:pPr>
      <w:r>
        <w:t xml:space="preserve">Un Camino de Alto Costo con una Baja Probabilidad de Llegada</w:t>
      </w:r>
    </w:p>
    <w:p>
      <w:pPr>
        <w:pStyle w:val="FirstParagraph"/>
      </w:pPr>
      <w:r>
        <w:t xml:space="preserve">El desarrollo clínico requería que las compañías comprometieran un capital sustancial antes de saber si un tratamiento sería seguro, efectivo, aprobable, manufacturable, o comercialmente aceptado. Los ensayos de Fase III comúnmente inscriben cientos o miles de participantes y proporcionan gran parte de la evidencia utilizada en la revisión regulatoria. Las estimaciones de la industria a menudo sitúan el costo total de desarrollar un medicamento aprobado, incluyendo programas fallidos, en miles de millones de dólares y el tiempo transcurrido en 10 a 15 años.</w:t>
      </w:r>
    </w:p>
    <w:p>
      <w:pPr>
        <w:pStyle w:val="BodyText"/>
      </w:pPr>
      <w:r>
        <w:t xml:space="preserve">El fracaso era común. Las estimaciones publicadas varían según el área de enfermedad y la metodología, pero solo una minoría de los compuestos que entran en pruebas humanas finalmente reciben aprobación. El reclutamiento en sí mismo podía convertirse en una fuente importante de retraso: las revisiones de investigación han reportado que muchos ensayos no alcanzan sus objetivos originales de inscripción o calendarios, mientras que un análisis de ensayos registrados encontró un retraso mediano de aproximadamente doce meses entre estudios completados y una discontinuación en más de una quinta parte de la muestra.</w:t>
      </w:r>
    </w:p>
    <w:p>
      <w:pPr>
        <w:pStyle w:val="BodyText"/>
      </w:pPr>
      <w:r>
        <w:t xml:space="preserve">Para Crestline, el retraso tenía otro costo. La patente principal de CLN-47 había sido presentada siete años antes. Cada año adicional gastado en desarrollo reducía el período en el cual la compañía podría vender el tratamiento sin competencia directa de genéricos. Sin embargo, avanzar demasiado rápido podía producir un estudio con poder estadístico insuficiente, exponer a los pacientes a una dosis insegura, o llevar a los reguladores a rechazar la evidencia.</w:t>
      </w:r>
    </w:p>
    <w:bookmarkStart w:id="10" w:name="X3f456178327bc85b0a8eabcd607dedaa831070c"/>
    <w:p>
      <w:pPr>
        <w:pStyle w:val="Heading2"/>
      </w:pPr>
      <w:r>
        <w:t xml:space="preserve">Exhibit 1. Estado del Ensayo de Fase II de CLN-47</w:t>
      </w:r>
    </w:p>
    <w:tbl>
      <w:tblPr>
        <w:tblStyle w:val="Table"/>
        <w:tblW w:type="pct" w:w="4936"/>
        <w:tblLayout w:type="fixed"/>
        <w:tblLook w:firstRow="1" w:lastRow="0" w:firstColumn="0" w:lastColumn="0" w:noHBand="0" w:noVBand="0" w:val="0020"/>
      </w:tblPr>
      <w:tblGrid>
        <w:gridCol w:w="1523"/>
        <w:gridCol w:w="1929"/>
        <w:gridCol w:w="2183"/>
        <w:gridCol w:w="2183"/>
      </w:tblGrid>
      <w:tr>
        <w:trPr>
          <w:tblHeader w:val="on"/>
        </w:trPr>
        <w:tc>
          <w:tcPr/>
          <w:p>
            <w:pPr>
              <w:pStyle w:val="Compact"/>
              <w:jc w:val="left"/>
            </w:pPr>
            <w:r>
              <w:t xml:space="preserve">Medida</w:t>
            </w:r>
          </w:p>
        </w:tc>
        <w:tc>
          <w:tcPr/>
          <w:p>
            <w:pPr>
              <w:pStyle w:val="Compact"/>
              <w:jc w:val="left"/>
            </w:pPr>
            <w:r>
              <w:t xml:space="preserve">Plan del protocolo</w:t>
            </w:r>
          </w:p>
        </w:tc>
        <w:tc>
          <w:tcPr/>
          <w:p>
            <w:pPr>
              <w:pStyle w:val="Compact"/>
              <w:jc w:val="left"/>
            </w:pPr>
            <w:r>
              <w:t xml:space="preserve">Estado en la semana 28</w:t>
            </w:r>
          </w:p>
        </w:tc>
        <w:tc>
          <w:tcPr/>
          <w:p>
            <w:pPr>
              <w:pStyle w:val="Compact"/>
              <w:jc w:val="center"/>
            </w:pPr>
            <w:r>
              <w:t xml:space="preserve">Preocupación de gestión</w:t>
            </w:r>
          </w:p>
        </w:tc>
      </w:tr>
      <w:tr>
        <w:tc>
          <w:tcPr/>
          <w:p>
            <w:pPr>
              <w:pStyle w:val="Compact"/>
              <w:jc w:val="left"/>
            </w:pPr>
            <w:r>
              <w:t xml:space="preserve">Pacientes aleatorizados</w:t>
            </w:r>
          </w:p>
        </w:tc>
        <w:tc>
          <w:tcPr/>
          <w:p>
            <w:pPr>
              <w:pStyle w:val="Compact"/>
              <w:jc w:val="left"/>
            </w:pPr>
            <w:r>
              <w:t xml:space="preserve">240</w:t>
            </w:r>
          </w:p>
        </w:tc>
        <w:tc>
          <w:tcPr/>
          <w:p>
            <w:pPr>
              <w:pStyle w:val="Compact"/>
              <w:jc w:val="left"/>
            </w:pPr>
            <w:r>
              <w:t xml:space="preserve">164</w:t>
            </w:r>
          </w:p>
        </w:tc>
        <w:tc>
          <w:tcPr/>
          <w:p>
            <w:pPr>
              <w:pStyle w:val="Compact"/>
              <w:jc w:val="center"/>
            </w:pPr>
            <w:r>
              <w:t xml:space="preserve">Inscripción con seis meses de retraso</w:t>
            </w:r>
          </w:p>
        </w:tc>
      </w:tr>
      <w:tr>
        <w:tc>
          <w:tcPr/>
          <w:p>
            <w:pPr>
              <w:pStyle w:val="Compact"/>
              <w:jc w:val="left"/>
            </w:pPr>
            <w:r>
              <w:t xml:space="preserve">Sitios del ensayo</w:t>
            </w:r>
          </w:p>
        </w:tc>
        <w:tc>
          <w:tcPr/>
          <w:p>
            <w:pPr>
              <w:pStyle w:val="Compact"/>
              <w:jc w:val="left"/>
            </w:pPr>
            <w:r>
              <w:t xml:space="preserve">32</w:t>
            </w:r>
          </w:p>
        </w:tc>
        <w:tc>
          <w:tcPr/>
          <w:p>
            <w:pPr>
              <w:pStyle w:val="Compact"/>
              <w:jc w:val="left"/>
            </w:pPr>
            <w:r>
              <w:t xml:space="preserve">29 abiertos; 18 inscribiendo activamente</w:t>
            </w:r>
          </w:p>
        </w:tc>
        <w:tc>
          <w:tcPr/>
          <w:p>
            <w:pPr>
              <w:pStyle w:val="Compact"/>
              <w:jc w:val="center"/>
            </w:pPr>
            <w:r>
              <w:t xml:space="preserve">Gran variación entre sitios</w:t>
            </w:r>
          </w:p>
        </w:tc>
      </w:tr>
      <w:tr>
        <w:tc>
          <w:tcPr/>
          <w:p>
            <w:pPr>
              <w:pStyle w:val="Compact"/>
              <w:jc w:val="left"/>
            </w:pPr>
            <w:r>
              <w:t xml:space="preserve">Punto final primario</w:t>
            </w:r>
          </w:p>
        </w:tc>
        <w:tc>
          <w:tcPr/>
          <w:p>
            <w:pPr>
              <w:pStyle w:val="Compact"/>
              <w:jc w:val="left"/>
            </w:pPr>
            <w:r>
              <w:t xml:space="preserve">Cambio en la función pulmonar a 24</w:t>
            </w:r>
            <w:r>
              <w:t xml:space="preserve"> </w:t>
            </w:r>
            <w:r>
              <w:t xml:space="preserve">semanas</w:t>
            </w:r>
          </w:p>
        </w:tc>
        <w:tc>
          <w:tcPr/>
          <w:p>
            <w:pPr>
              <w:pStyle w:val="Compact"/>
              <w:jc w:val="left"/>
            </w:pPr>
            <w:r>
              <w:t xml:space="preserve">Dosis alta +3.8%; placebo +1.9%</w:t>
            </w:r>
          </w:p>
        </w:tc>
        <w:tc>
          <w:tcPr/>
          <w:p>
            <w:pPr>
              <w:pStyle w:val="Compact"/>
              <w:jc w:val="center"/>
            </w:pPr>
            <w:r>
              <w:t xml:space="preserve">Diferencia por debajo del umbral</w:t>
            </w:r>
            <w:r>
              <w:t xml:space="preserve"> </w:t>
            </w:r>
            <w:r>
              <w:t xml:space="preserve">preespecificado</w:t>
            </w:r>
          </w:p>
        </w:tc>
      </w:tr>
      <w:tr>
        <w:tc>
          <w:tcPr/>
          <w:p>
            <w:pPr>
              <w:pStyle w:val="Compact"/>
              <w:jc w:val="left"/>
            </w:pPr>
            <w:r>
              <w:t xml:space="preserve">Subgrupo biomarcador-positivo</w:t>
            </w:r>
          </w:p>
        </w:tc>
        <w:tc>
          <w:tcPr/>
          <w:p>
            <w:pPr>
              <w:pStyle w:val="Compact"/>
              <w:jc w:val="left"/>
            </w:pPr>
            <w:r>
              <w:t xml:space="preserve">Exploratorio solamente</w:t>
            </w:r>
          </w:p>
        </w:tc>
        <w:tc>
          <w:tcPr/>
          <w:p>
            <w:pPr>
              <w:pStyle w:val="Compact"/>
              <w:jc w:val="left"/>
            </w:pPr>
            <w:r>
              <w:t xml:space="preserve">Dosis alta +6.4%; placebo +1.6%</w:t>
            </w:r>
          </w:p>
        </w:tc>
        <w:tc>
          <w:tcPr/>
          <w:p>
            <w:pPr>
              <w:pStyle w:val="Compact"/>
              <w:jc w:val="center"/>
            </w:pPr>
            <w:r>
              <w:t xml:space="preserve">Prometedor pero no preespecificado</w:t>
            </w:r>
          </w:p>
        </w:tc>
      </w:tr>
      <w:tr>
        <w:tc>
          <w:tcPr/>
          <w:p>
            <w:pPr>
              <w:pStyle w:val="Compact"/>
              <w:jc w:val="left"/>
            </w:pPr>
            <w:r>
              <w:t xml:space="preserve">Señales hepáticas graves</w:t>
            </w:r>
          </w:p>
        </w:tc>
        <w:tc>
          <w:tcPr/>
          <w:p>
            <w:pPr>
              <w:pStyle w:val="Compact"/>
              <w:jc w:val="left"/>
            </w:pPr>
            <w:r>
              <w:t xml:space="preserve">Sin desequilibrio esperado</w:t>
            </w:r>
          </w:p>
        </w:tc>
        <w:tc>
          <w:tcPr/>
          <w:p>
            <w:pPr>
              <w:pStyle w:val="Compact"/>
              <w:jc w:val="left"/>
            </w:pPr>
            <w:r>
              <w:t xml:space="preserve">5 tratamiento; 1 placebo</w:t>
            </w:r>
          </w:p>
        </w:tc>
        <w:tc>
          <w:tcPr/>
          <w:p>
            <w:pPr>
              <w:pStyle w:val="Compact"/>
              <w:jc w:val="center"/>
            </w:pPr>
            <w:r>
              <w:t xml:space="preserve">Causalidad incierta</w:t>
            </w:r>
          </w:p>
        </w:tc>
      </w:tr>
      <w:tr>
        <w:tc>
          <w:tcPr/>
          <w:p>
            <w:pPr>
              <w:pStyle w:val="Compact"/>
              <w:jc w:val="left"/>
            </w:pPr>
            <w:r>
              <w:t xml:space="preserve">Retiros de participantes</w:t>
            </w:r>
          </w:p>
        </w:tc>
        <w:tc>
          <w:tcPr/>
          <w:p>
            <w:pPr>
              <w:pStyle w:val="Compact"/>
              <w:jc w:val="left"/>
            </w:pPr>
            <w:r>
              <w:t xml:space="preserve">Por debajo del 15%</w:t>
            </w:r>
          </w:p>
        </w:tc>
        <w:tc>
          <w:tcPr/>
          <w:p>
            <w:pPr>
              <w:pStyle w:val="Compact"/>
              <w:jc w:val="left"/>
            </w:pPr>
            <w:r>
              <w:t xml:space="preserve">18% dosis alta; 12% dosis baja; 10%</w:t>
            </w:r>
            <w:r>
              <w:t xml:space="preserve"> </w:t>
            </w:r>
            <w:r>
              <w:t xml:space="preserve">placebo</w:t>
            </w:r>
          </w:p>
        </w:tc>
        <w:tc>
          <w:tcPr/>
          <w:p>
            <w:pPr>
              <w:pStyle w:val="Compact"/>
              <w:jc w:val="center"/>
            </w:pPr>
            <w:r>
              <w:t xml:space="preserve">Efectos secundarios y carga de visitas</w:t>
            </w:r>
          </w:p>
        </w:tc>
      </w:tr>
      <w:tr>
        <w:tc>
          <w:tcPr/>
          <w:p>
            <w:pPr>
              <w:pStyle w:val="Compact"/>
              <w:jc w:val="left"/>
            </w:pPr>
            <w:r>
              <w:t xml:space="preserve">Gasto actual del ensayo</w:t>
            </w:r>
          </w:p>
        </w:tc>
        <w:tc>
          <w:tcPr/>
          <w:p>
            <w:pPr>
              <w:pStyle w:val="Compact"/>
              <w:jc w:val="left"/>
            </w:pPr>
            <w:r>
              <w:t xml:space="preserve">$42 millones total</w:t>
            </w:r>
          </w:p>
        </w:tc>
        <w:tc>
          <w:tcPr/>
          <w:p>
            <w:pPr>
              <w:pStyle w:val="Compact"/>
              <w:jc w:val="left"/>
            </w:pPr>
            <w:r>
              <w:t xml:space="preserve">$34.6 millones comprometidos</w:t>
            </w:r>
          </w:p>
        </w:tc>
        <w:tc>
          <w:tcPr/>
          <w:p>
            <w:pPr>
              <w:pStyle w:val="Compact"/>
              <w:jc w:val="center"/>
            </w:pPr>
            <w:r>
              <w:t xml:space="preserve">Se requiere monitoreo adicional</w:t>
            </w:r>
          </w:p>
        </w:tc>
      </w:tr>
    </w:tbl>
    <w:bookmarkEnd w:id="10"/>
    <w:bookmarkEnd w:id="11"/>
    <w:bookmarkStart w:id="13" w:name="X1a62998e550bd17dbc1e8a32806611b04b7cc31"/>
    <w:p>
      <w:pPr>
        <w:pStyle w:val="Heading1"/>
      </w:pPr>
      <w:r>
        <w:t xml:space="preserve">Los Pacientes que Crestline Podía Encontrar</w:t>
      </w:r>
    </w:p>
    <w:p>
      <w:pPr>
        <w:pStyle w:val="FirstParagraph"/>
      </w:pPr>
      <w:r>
        <w:t xml:space="preserve">La enfermedad afectaba a un estimado de 185,000 adultos en los Estados Unidos, pero solo una fracción cumplía con los criterios del estudio. Los candidatos tenían que tener progresión documentada, terapia de fondo estable, función hepática y renal adecuada, y ninguna participación reciente en otro ensayo. Muchos eran mayores, vivían lejos de centros especializados, o dependían de familiares para el transporte. El protocolo requería once visitas presenciales, análisis de sangre repetidos, imágenes, y una evaluación de caminata de seis minutos a lo largo de treinta y dos semanas.</w:t>
      </w:r>
    </w:p>
    <w:p>
      <w:pPr>
        <w:pStyle w:val="BodyText"/>
      </w:pPr>
      <w:r>
        <w:t xml:space="preserve">Crestline había seleccionado inicialmente hospitales académicos líderes porque sus médicos entendían la enfermedad y podían manejar pacientes complejos. Esos centros también tenían estudios competidores, procesos de contratación largos, y capacidad limitada de coordinadores. Siete sitios habían inscrito a menos de dos pacientes. Tres consultorios pulmonares comunitarios inscribieron rápidamente pero generaron más desviaciones de protocolo. Un proveedor de investigación móvil propuso extracciones de sangre en el hogar y monitoreo remoto de síntomas, pero los reguladores no habían revisado el plan operativo revisado y varios investigadores cuestionaron si las evaluaciones descentralizadas serían comparables con las mediciones hospitalarias.</w:t>
      </w:r>
    </w:p>
    <w:bookmarkStart w:id="12" w:name="X23846139b788499c1caf2aafc531ded240dfd49"/>
    <w:p>
      <w:pPr>
        <w:pStyle w:val="Heading2"/>
      </w:pPr>
      <w:r>
        <w:t xml:space="preserve">Exhibit 2. Desempeño de Inscripción por Tipo de Sitio</w:t>
      </w:r>
    </w:p>
    <w:tbl>
      <w:tblPr>
        <w:tblStyle w:val="Table"/>
        <w:tblW w:type="pct" w:w="4931"/>
        <w:tblLayout w:type="fixed"/>
        <w:tblLook w:firstRow="1" w:lastRow="0" w:firstColumn="0" w:lastColumn="0" w:noHBand="0" w:noVBand="0" w:val="0020"/>
      </w:tblPr>
      <w:tblGrid>
        <w:gridCol w:w="1760"/>
        <w:gridCol w:w="715"/>
        <w:gridCol w:w="1210"/>
        <w:gridCol w:w="825"/>
        <w:gridCol w:w="1100"/>
        <w:gridCol w:w="2200"/>
      </w:tblGrid>
      <w:tr>
        <w:trPr>
          <w:tblHeader w:val="on"/>
        </w:trPr>
        <w:tc>
          <w:tcPr/>
          <w:p>
            <w:pPr>
              <w:pStyle w:val="Compact"/>
              <w:jc w:val="left"/>
            </w:pPr>
            <w:r>
              <w:t xml:space="preserve">Tipo de sitio</w:t>
            </w:r>
          </w:p>
        </w:tc>
        <w:tc>
          <w:tcPr/>
          <w:p>
            <w:pPr>
              <w:pStyle w:val="Compact"/>
              <w:jc w:val="left"/>
            </w:pPr>
            <w:r>
              <w:t xml:space="preserve">Sitios</w:t>
            </w:r>
            <w:r>
              <w:t xml:space="preserve"> </w:t>
            </w:r>
            <w:r>
              <w:t xml:space="preserve">abiertos</w:t>
            </w:r>
          </w:p>
        </w:tc>
        <w:tc>
          <w:tcPr/>
          <w:p>
            <w:pPr>
              <w:pStyle w:val="Compact"/>
              <w:jc w:val="left"/>
            </w:pPr>
            <w:r>
              <w:t xml:space="preserve">Pacientes</w:t>
            </w:r>
            <w:r>
              <w:t xml:space="preserve"> </w:t>
            </w:r>
            <w:r>
              <w:t xml:space="preserve">aleatorizados</w:t>
            </w:r>
          </w:p>
        </w:tc>
        <w:tc>
          <w:tcPr/>
          <w:p>
            <w:pPr>
              <w:pStyle w:val="Compact"/>
              <w:jc w:val="left"/>
            </w:pPr>
            <w:r>
              <w:t xml:space="preserve">Fallo de</w:t>
            </w:r>
            <w:r>
              <w:t xml:space="preserve"> </w:t>
            </w:r>
            <w:r>
              <w:t xml:space="preserve">selección</w:t>
            </w:r>
          </w:p>
        </w:tc>
        <w:tc>
          <w:tcPr/>
          <w:p>
            <w:pPr>
              <w:pStyle w:val="Compact"/>
              <w:jc w:val="center"/>
            </w:pPr>
            <w:r>
              <w:t xml:space="preserve">Costo mensual por P</w:t>
            </w:r>
            <w:r>
              <w:t xml:space="preserve"> </w:t>
            </w:r>
            <w:r>
              <w:t xml:space="preserve">sitio</w:t>
            </w:r>
          </w:p>
        </w:tc>
        <w:tc>
          <w:tcPr/>
          <w:p>
            <w:pPr>
              <w:pStyle w:val="Compact"/>
              <w:jc w:val="left"/>
            </w:pPr>
            <w:r>
              <w:t xml:space="preserve">roblema observado</w:t>
            </w:r>
          </w:p>
        </w:tc>
      </w:tr>
      <w:tr>
        <w:tc>
          <w:tcPr/>
          <w:p>
            <w:pPr>
              <w:pStyle w:val="Compact"/>
              <w:jc w:val="left"/>
            </w:pPr>
            <w:r>
              <w:t xml:space="preserve">Centros médicos académicos</w:t>
            </w:r>
          </w:p>
        </w:tc>
        <w:tc>
          <w:tcPr/>
          <w:p>
            <w:pPr>
              <w:pStyle w:val="Compact"/>
              <w:jc w:val="left"/>
            </w:pPr>
            <w:r>
              <w:t xml:space="preserve">16</w:t>
            </w:r>
          </w:p>
        </w:tc>
        <w:tc>
          <w:tcPr/>
          <w:p>
            <w:pPr>
              <w:pStyle w:val="Compact"/>
              <w:jc w:val="left"/>
            </w:pPr>
            <w:r>
              <w:t xml:space="preserve">91</w:t>
            </w:r>
          </w:p>
        </w:tc>
        <w:tc>
          <w:tcPr/>
          <w:p>
            <w:pPr>
              <w:pStyle w:val="Compact"/>
              <w:jc w:val="left"/>
            </w:pPr>
            <w:r>
              <w:t xml:space="preserve">48%</w:t>
            </w:r>
          </w:p>
        </w:tc>
        <w:tc>
          <w:tcPr/>
          <w:p>
            <w:pPr>
              <w:pStyle w:val="Compact"/>
              <w:jc w:val="center"/>
            </w:pPr>
            <w:r>
              <w:t xml:space="preserve">$68,000</w:t>
            </w:r>
          </w:p>
        </w:tc>
        <w:tc>
          <w:tcPr/>
          <w:p>
            <w:pPr>
              <w:pStyle w:val="Compact"/>
              <w:jc w:val="left"/>
            </w:pPr>
            <w:r>
              <w:t xml:space="preserve">Contratación lenta; fuerte calidad de</w:t>
            </w:r>
            <w:r>
              <w:t xml:space="preserve"> </w:t>
            </w:r>
            <w:r>
              <w:t xml:space="preserve">datos</w:t>
            </w:r>
          </w:p>
        </w:tc>
      </w:tr>
      <w:tr>
        <w:tc>
          <w:tcPr/>
          <w:p>
            <w:pPr>
              <w:pStyle w:val="Compact"/>
              <w:jc w:val="left"/>
            </w:pPr>
            <w:r>
              <w:t xml:space="preserve">Hospitales regionales</w:t>
            </w:r>
          </w:p>
        </w:tc>
        <w:tc>
          <w:tcPr/>
          <w:p>
            <w:pPr>
              <w:pStyle w:val="Compact"/>
              <w:jc w:val="left"/>
            </w:pPr>
            <w:r>
              <w:t xml:space="preserve">8</w:t>
            </w:r>
          </w:p>
        </w:tc>
        <w:tc>
          <w:tcPr/>
          <w:p>
            <w:pPr>
              <w:pStyle w:val="Compact"/>
              <w:jc w:val="left"/>
            </w:pPr>
            <w:r>
              <w:t xml:space="preserve">38</w:t>
            </w:r>
          </w:p>
        </w:tc>
        <w:tc>
          <w:tcPr/>
          <w:p>
            <w:pPr>
              <w:pStyle w:val="Compact"/>
              <w:jc w:val="left"/>
            </w:pPr>
            <w:r>
              <w:t xml:space="preserve">42%</w:t>
            </w:r>
          </w:p>
        </w:tc>
        <w:tc>
          <w:tcPr/>
          <w:p>
            <w:pPr>
              <w:pStyle w:val="Compact"/>
              <w:jc w:val="center"/>
            </w:pPr>
            <w:r>
              <w:t xml:space="preserve">$47,000</w:t>
            </w:r>
          </w:p>
        </w:tc>
        <w:tc>
          <w:tcPr/>
          <w:p>
            <w:pPr>
              <w:pStyle w:val="Compact"/>
              <w:jc w:val="left"/>
            </w:pPr>
            <w:r>
              <w:t xml:space="preserve">Atención variable del investigador</w:t>
            </w:r>
          </w:p>
        </w:tc>
      </w:tr>
      <w:tr>
        <w:tc>
          <w:tcPr/>
          <w:p>
            <w:pPr>
              <w:pStyle w:val="Compact"/>
              <w:jc w:val="left"/>
            </w:pPr>
            <w:r>
              <w:t xml:space="preserve">Consultorios pulmonares</w:t>
            </w:r>
            <w:r>
              <w:t xml:space="preserve"> </w:t>
            </w:r>
            <w:r>
              <w:t xml:space="preserve">comunitarios</w:t>
            </w:r>
          </w:p>
        </w:tc>
        <w:tc>
          <w:tcPr/>
          <w:p>
            <w:pPr>
              <w:pStyle w:val="Compact"/>
              <w:jc w:val="left"/>
            </w:pPr>
            <w:r>
              <w:t xml:space="preserve">5</w:t>
            </w:r>
          </w:p>
        </w:tc>
        <w:tc>
          <w:tcPr/>
          <w:p>
            <w:pPr>
              <w:pStyle w:val="Compact"/>
              <w:jc w:val="left"/>
            </w:pPr>
            <w:r>
              <w:t xml:space="preserve">29</w:t>
            </w:r>
          </w:p>
        </w:tc>
        <w:tc>
          <w:tcPr/>
          <w:p>
            <w:pPr>
              <w:pStyle w:val="Compact"/>
              <w:jc w:val="left"/>
            </w:pPr>
            <w:r>
              <w:t xml:space="preserve">31%</w:t>
            </w:r>
          </w:p>
        </w:tc>
        <w:tc>
          <w:tcPr/>
          <w:p>
            <w:pPr>
              <w:pStyle w:val="Compact"/>
              <w:jc w:val="center"/>
            </w:pPr>
            <w:r>
              <w:t xml:space="preserve">$34,000</w:t>
            </w:r>
          </w:p>
        </w:tc>
        <w:tc>
          <w:tcPr/>
          <w:p>
            <w:pPr>
              <w:pStyle w:val="Compact"/>
              <w:jc w:val="left"/>
            </w:pPr>
            <w:r>
              <w:t xml:space="preserve">Inscripción más rápida; más desviaciones</w:t>
            </w:r>
          </w:p>
        </w:tc>
      </w:tr>
      <w:tr>
        <w:tc>
          <w:tcPr/>
          <w:p>
            <w:pPr>
              <w:pStyle w:val="Compact"/>
              <w:jc w:val="left"/>
            </w:pPr>
            <w:r>
              <w:t xml:space="preserve">Clínicas de investigación</w:t>
            </w:r>
            <w:r>
              <w:t xml:space="preserve"> </w:t>
            </w:r>
            <w:r>
              <w:t xml:space="preserve">dedicadas</w:t>
            </w:r>
          </w:p>
        </w:tc>
        <w:tc>
          <w:tcPr/>
          <w:p>
            <w:pPr>
              <w:pStyle w:val="Compact"/>
              <w:jc w:val="left"/>
            </w:pPr>
            <w:r>
              <w:t xml:space="preserve">3</w:t>
            </w:r>
          </w:p>
        </w:tc>
        <w:tc>
          <w:tcPr/>
          <w:p>
            <w:pPr>
              <w:pStyle w:val="Compact"/>
              <w:jc w:val="left"/>
            </w:pPr>
            <w:r>
              <w:t xml:space="preserve">6</w:t>
            </w:r>
          </w:p>
        </w:tc>
        <w:tc>
          <w:tcPr/>
          <w:p>
            <w:pPr>
              <w:pStyle w:val="Compact"/>
              <w:jc w:val="left"/>
            </w:pPr>
            <w:r>
              <w:t xml:space="preserve">55%</w:t>
            </w:r>
          </w:p>
        </w:tc>
        <w:tc>
          <w:tcPr/>
          <w:p>
            <w:pPr>
              <w:pStyle w:val="Compact"/>
              <w:jc w:val="center"/>
            </w:pPr>
            <w:r>
              <w:t xml:space="preserve">$51,000</w:t>
            </w:r>
          </w:p>
        </w:tc>
        <w:tc>
          <w:tcPr/>
          <w:p>
            <w:pPr>
              <w:pStyle w:val="Compact"/>
              <w:jc w:val="left"/>
            </w:pPr>
            <w:r>
              <w:t xml:space="preserve">Red de referencia débil</w:t>
            </w:r>
          </w:p>
        </w:tc>
      </w:tr>
    </w:tbl>
    <w:p>
      <w:pPr>
        <w:pStyle w:val="BodyText"/>
      </w:pPr>
      <w:r>
        <w:t xml:space="preserve">El equipo comercial propuso abrir doce clínicas dedicadas en ubicaciones minoristas metropolitanas y anunciar directamente a los pacientes a través de redes sociales y grupos de defensa de enfermedades. El equipo clínico se preocupó de que un reclutamiento agresivo pudiera producir grandes cantidades de candidatos inelegibles, elevar las expectativas entre pacientes gravemente enfermos, y crear la apariencia de que la compañía estaba comercializando un fármaco antes de la aprobación. Los defensores de los pacientes argumentaron que el reembolso de viajes, las citas vespertinas, los materiales traducidos, y las visitas domiciliarias harían más para ampliar el acceso que la publicidad por sí sola.</w:t>
      </w:r>
    </w:p>
    <w:bookmarkEnd w:id="12"/>
    <w:bookmarkEnd w:id="13"/>
    <w:bookmarkStart w:id="15" w:name="X371a82d0c05afc85a44ec1ace57755d4772185f"/>
    <w:p>
      <w:pPr>
        <w:pStyle w:val="Heading1"/>
      </w:pPr>
      <w:r>
        <w:t xml:space="preserve">Lo Que Significaron los Resultados Intermedios</w:t>
      </w:r>
    </w:p>
    <w:p>
      <w:pPr>
        <w:pStyle w:val="FirstParagraph"/>
      </w:pPr>
      <w:r>
        <w:t xml:space="preserve">El estadístico del ensayo ofreció tres interpretaciones. La primera fue que CLN-47 probablemente producía un beneficio modesto en toda la población, pero el ensayo tenía muy pocos participantes para distinguirlo claramente del azar. La segunda fue que el tratamiento funcionaba principalmente en pacientes biomarcador-positivos. La tercera fue que el resultado del subgrupo era un artefacto creado al probar muchas posibles características de pacientes después de ver los datos.</w:t>
      </w:r>
    </w:p>
    <w:p>
      <w:pPr>
        <w:pStyle w:val="BodyText"/>
      </w:pPr>
      <w:r>
        <w:t xml:space="preserve">Cada interpretación sugería un siguiente paso diferente. Completar el ensayo original preservaría el protocolo pero requeriría más pacientes y quizás nueve meses adicionales. Expandir el grupo biomarcador-positivo podría proporcionar evidencia más rápida de un efecto mayor, pero requeriría cambiar el análisis estadístico y validar el ensayo. Reducir la dosis alta podría abordar las preocupaciones de seguridad pero debilitar la efectividad. Crestline también podría detener el estudio y conservar capital para un compuesto diferente cuyos resultados de Fase I llegarían en cuatro meses.</w:t>
      </w:r>
    </w:p>
    <w:bookmarkStart w:id="14" w:name="X03fbbcd4827b6587501d9f14e5d9efe11a36248"/>
    <w:p>
      <w:pPr>
        <w:pStyle w:val="Heading2"/>
      </w:pPr>
      <w:r>
        <w:t xml:space="preserve">Exhibit 3. Alternativas de Desarrollo Preparadas para la Junta Directiva</w:t>
      </w:r>
    </w:p>
    <w:tbl>
      <w:tblPr>
        <w:tblStyle w:val="Table"/>
        <w:tblW w:type="pct" w:w="4940"/>
        <w:tblLayout w:type="fixed"/>
        <w:tblLook w:firstRow="1" w:lastRow="0" w:firstColumn="0" w:lastColumn="0" w:noHBand="0" w:noVBand="0" w:val="0020"/>
      </w:tblPr>
      <w:tblGrid>
        <w:gridCol w:w="1838"/>
        <w:gridCol w:w="2027"/>
        <w:gridCol w:w="801"/>
        <w:gridCol w:w="848"/>
        <w:gridCol w:w="2310"/>
      </w:tblGrid>
      <w:tr>
        <w:trPr>
          <w:tblHeader w:val="on"/>
        </w:trPr>
        <w:tc>
          <w:tcPr/>
          <w:p>
            <w:pPr>
              <w:pStyle w:val="Compact"/>
              <w:jc w:val="left"/>
            </w:pPr>
            <w:r>
              <w:t xml:space="preserve">Alternativa</w:t>
            </w:r>
          </w:p>
        </w:tc>
        <w:tc>
          <w:tcPr/>
          <w:p>
            <w:pPr>
              <w:pStyle w:val="Compact"/>
              <w:jc w:val="left"/>
            </w:pPr>
            <w:r>
              <w:t xml:space="preserve">Costo adicional</w:t>
            </w:r>
          </w:p>
        </w:tc>
        <w:tc>
          <w:tcPr/>
          <w:p>
            <w:pPr>
              <w:pStyle w:val="Compact"/>
              <w:jc w:val="left"/>
            </w:pPr>
            <w:r>
              <w:t xml:space="preserve">Tiempo estimado</w:t>
            </w:r>
          </w:p>
        </w:tc>
        <w:tc>
          <w:tcPr/>
          <w:p>
            <w:pPr>
              <w:pStyle w:val="Compact"/>
              <w:jc w:val="left"/>
            </w:pPr>
            <w:r>
              <w:t xml:space="preserve">Pacientes</w:t>
            </w:r>
            <w:r>
              <w:t xml:space="preserve"> </w:t>
            </w:r>
            <w:r>
              <w:t xml:space="preserve">necesarios</w:t>
            </w:r>
          </w:p>
        </w:tc>
        <w:tc>
          <w:tcPr/>
          <w:p>
            <w:pPr>
              <w:pStyle w:val="Compact"/>
              <w:jc w:val="left"/>
            </w:pPr>
            <w:r>
              <w:t xml:space="preserve">Exposición principal</w:t>
            </w:r>
          </w:p>
        </w:tc>
      </w:tr>
      <w:tr>
        <w:tc>
          <w:tcPr/>
          <w:p>
            <w:pPr>
              <w:pStyle w:val="Compact"/>
              <w:jc w:val="left"/>
            </w:pPr>
            <w:r>
              <w:t xml:space="preserve">Completar la Fase II original</w:t>
            </w:r>
          </w:p>
        </w:tc>
        <w:tc>
          <w:tcPr/>
          <w:p>
            <w:pPr>
              <w:pStyle w:val="Compact"/>
              <w:jc w:val="left"/>
            </w:pPr>
            <w:r>
              <w:t xml:space="preserve">$23 millones</w:t>
            </w:r>
          </w:p>
        </w:tc>
        <w:tc>
          <w:tcPr/>
          <w:p>
            <w:pPr>
              <w:pStyle w:val="Compact"/>
              <w:jc w:val="left"/>
            </w:pPr>
            <w:r>
              <w:t xml:space="preserve">9-12 meses</w:t>
            </w:r>
          </w:p>
        </w:tc>
        <w:tc>
          <w:tcPr/>
          <w:p>
            <w:pPr>
              <w:pStyle w:val="Compact"/>
              <w:jc w:val="left"/>
            </w:pPr>
            <w:r>
              <w:t xml:space="preserve">76</w:t>
            </w:r>
          </w:p>
        </w:tc>
        <w:tc>
          <w:tcPr/>
          <w:p>
            <w:pPr>
              <w:pStyle w:val="Compact"/>
              <w:jc w:val="left"/>
            </w:pPr>
            <w:r>
              <w:t xml:space="preserve">El efecto promedio ambiguo puede persistir</w:t>
            </w:r>
          </w:p>
        </w:tc>
      </w:tr>
      <w:tr>
        <w:tc>
          <w:tcPr/>
          <w:p>
            <w:pPr>
              <w:pStyle w:val="Compact"/>
              <w:jc w:val="left"/>
            </w:pPr>
            <w:r>
              <w:t xml:space="preserve">Expandir a la cohorte biomarcador-</w:t>
            </w:r>
            <w:r>
              <w:t xml:space="preserve"> </w:t>
            </w:r>
            <w:r>
              <w:t xml:space="preserve">positiva</w:t>
            </w:r>
          </w:p>
        </w:tc>
        <w:tc>
          <w:tcPr/>
          <w:p>
            <w:pPr>
              <w:pStyle w:val="Compact"/>
              <w:jc w:val="left"/>
            </w:pPr>
            <w:r>
              <w:t xml:space="preserve">$38 millones</w:t>
            </w:r>
          </w:p>
        </w:tc>
        <w:tc>
          <w:tcPr/>
          <w:p>
            <w:pPr>
              <w:pStyle w:val="Compact"/>
              <w:jc w:val="left"/>
            </w:pPr>
            <w:r>
              <w:t xml:space="preserve">12-15 meses</w:t>
            </w:r>
          </w:p>
        </w:tc>
        <w:tc>
          <w:tcPr/>
          <w:p>
            <w:pPr>
              <w:pStyle w:val="Compact"/>
              <w:jc w:val="left"/>
            </w:pPr>
            <w:r>
              <w:t xml:space="preserve">120</w:t>
            </w:r>
          </w:p>
        </w:tc>
        <w:tc>
          <w:tcPr/>
          <w:p>
            <w:pPr>
              <w:pStyle w:val="Compact"/>
              <w:jc w:val="left"/>
            </w:pPr>
            <w:r>
              <w:t xml:space="preserve">El ensayo y el subgrupo pueden no ser aceptados</w:t>
            </w:r>
          </w:p>
        </w:tc>
      </w:tr>
      <w:tr>
        <w:tc>
          <w:tcPr/>
          <w:p>
            <w:pPr>
              <w:pStyle w:val="Compact"/>
              <w:jc w:val="left"/>
            </w:pPr>
            <w:r>
              <w:t xml:space="preserve">Rediseñar dosis y monitoreo</w:t>
            </w:r>
          </w:p>
        </w:tc>
        <w:tc>
          <w:tcPr/>
          <w:p>
            <w:pPr>
              <w:pStyle w:val="Compact"/>
              <w:jc w:val="left"/>
            </w:pPr>
            <w:r>
              <w:t xml:space="preserve">$46 millones</w:t>
            </w:r>
          </w:p>
        </w:tc>
        <w:tc>
          <w:tcPr/>
          <w:p>
            <w:pPr>
              <w:pStyle w:val="Compact"/>
              <w:jc w:val="left"/>
            </w:pPr>
            <w:r>
              <w:t xml:space="preserve">15-18 meses</w:t>
            </w:r>
          </w:p>
        </w:tc>
        <w:tc>
          <w:tcPr/>
          <w:p>
            <w:pPr>
              <w:pStyle w:val="Compact"/>
              <w:jc w:val="left"/>
            </w:pPr>
            <w:r>
              <w:t xml:space="preserve">150</w:t>
            </w:r>
          </w:p>
        </w:tc>
        <w:tc>
          <w:tcPr/>
          <w:p>
            <w:pPr>
              <w:pStyle w:val="Compact"/>
              <w:jc w:val="left"/>
            </w:pPr>
            <w:r>
              <w:t xml:space="preserve">La dosis más baja puede perder eficacia</w:t>
            </w:r>
          </w:p>
        </w:tc>
      </w:tr>
      <w:tr>
        <w:tc>
          <w:tcPr/>
          <w:p>
            <w:pPr>
              <w:pStyle w:val="Compact"/>
              <w:jc w:val="left"/>
            </w:pPr>
            <w:r>
              <w:t xml:space="preserve">Comenzar planificación de Fase III</w:t>
            </w:r>
            <w:r>
              <w:t xml:space="preserve"> </w:t>
            </w:r>
            <w:r>
              <w:t xml:space="preserve">ahora</w:t>
            </w:r>
          </w:p>
        </w:tc>
        <w:tc>
          <w:tcPr/>
          <w:p>
            <w:pPr>
              <w:pStyle w:val="Compact"/>
              <w:jc w:val="left"/>
            </w:pPr>
            <w:r>
              <w:t xml:space="preserve">$118 millones antes de la primera lectura</w:t>
            </w:r>
            <w:r>
              <w:t xml:space="preserve"> </w:t>
            </w:r>
            <w:r>
              <w:t xml:space="preserve">importante</w:t>
            </w:r>
          </w:p>
        </w:tc>
        <w:tc>
          <w:tcPr/>
          <w:p>
            <w:pPr>
              <w:pStyle w:val="Compact"/>
              <w:jc w:val="left"/>
            </w:pPr>
            <w:r>
              <w:t xml:space="preserve">30-36 meses</w:t>
            </w:r>
          </w:p>
        </w:tc>
        <w:tc>
          <w:tcPr/>
          <w:p>
            <w:pPr>
              <w:pStyle w:val="Compact"/>
              <w:jc w:val="left"/>
            </w:pPr>
            <w:r>
              <w:t xml:space="preserve">780</w:t>
            </w:r>
          </w:p>
        </w:tc>
        <w:tc>
          <w:tcPr/>
          <w:p>
            <w:pPr>
              <w:pStyle w:val="Compact"/>
              <w:jc w:val="left"/>
            </w:pPr>
            <w:r>
              <w:t xml:space="preserve">Compromete capital antes de que se resuelva la</w:t>
            </w:r>
            <w:r>
              <w:t xml:space="preserve"> </w:t>
            </w:r>
            <w:r>
              <w:t xml:space="preserve">incertidumbre</w:t>
            </w:r>
          </w:p>
        </w:tc>
      </w:tr>
      <w:tr>
        <w:tc>
          <w:tcPr/>
          <w:p>
            <w:pPr>
              <w:pStyle w:val="Compact"/>
              <w:jc w:val="left"/>
            </w:pPr>
            <w:r>
              <w:t xml:space="preserve">Pausar CLN-47 y esperar otro programa</w:t>
            </w:r>
          </w:p>
        </w:tc>
        <w:tc>
          <w:tcPr/>
          <w:p>
            <w:pPr>
              <w:pStyle w:val="Compact"/>
              <w:jc w:val="left"/>
            </w:pPr>
            <w:r>
              <w:t xml:space="preserve">$6 millones de cierre y preservación</w:t>
            </w:r>
          </w:p>
        </w:tc>
        <w:tc>
          <w:tcPr/>
          <w:p>
            <w:pPr>
              <w:pStyle w:val="Compact"/>
              <w:jc w:val="left"/>
            </w:pPr>
            <w:r>
              <w:t xml:space="preserve">4-6 meses</w:t>
            </w:r>
          </w:p>
        </w:tc>
        <w:tc>
          <w:tcPr/>
          <w:p>
            <w:pPr>
              <w:pStyle w:val="Compact"/>
              <w:jc w:val="left"/>
            </w:pPr>
            <w:r>
              <w:t xml:space="preserve">0 nuevos</w:t>
            </w:r>
          </w:p>
        </w:tc>
        <w:tc>
          <w:tcPr/>
          <w:p>
            <w:pPr>
              <w:pStyle w:val="Compact"/>
              <w:jc w:val="left"/>
            </w:pPr>
            <w:r>
              <w:t xml:space="preserve">Los sitios y los inversores pueden perder</w:t>
            </w:r>
            <w:r>
              <w:t xml:space="preserve"> </w:t>
            </w:r>
            <w:r>
              <w:t xml:space="preserve">confianza</w:t>
            </w:r>
          </w:p>
        </w:tc>
      </w:tr>
      <w:tr>
        <w:tc>
          <w:tcPr/>
          <w:p>
            <w:pPr>
              <w:pStyle w:val="Compact"/>
              <w:jc w:val="left"/>
            </w:pPr>
            <w:r>
              <w:t xml:space="preserve">Terminar CLN-47</w:t>
            </w:r>
          </w:p>
        </w:tc>
        <w:tc>
          <w:tcPr/>
          <w:p>
            <w:pPr>
              <w:pStyle w:val="Compact"/>
              <w:jc w:val="left"/>
            </w:pPr>
            <w:r>
              <w:t xml:space="preserve">$3 millones de cierre</w:t>
            </w:r>
          </w:p>
        </w:tc>
        <w:tc>
          <w:tcPr/>
          <w:p>
            <w:pPr>
              <w:pStyle w:val="Compact"/>
              <w:jc w:val="left"/>
            </w:pPr>
            <w:r>
              <w:t xml:space="preserve">3 meses</w:t>
            </w:r>
          </w:p>
        </w:tc>
        <w:tc>
          <w:tcPr/>
          <w:p>
            <w:pPr>
              <w:pStyle w:val="Compact"/>
              <w:jc w:val="left"/>
            </w:pPr>
            <w:r>
              <w:t xml:space="preserve">0 nuevos</w:t>
            </w:r>
          </w:p>
        </w:tc>
        <w:tc>
          <w:tcPr/>
          <w:p>
            <w:pPr>
              <w:pStyle w:val="Compact"/>
              <w:jc w:val="left"/>
            </w:pPr>
            <w:r>
              <w:t xml:space="preserve">Un tratamiento potencialmente valioso</w:t>
            </w:r>
            <w:r>
              <w:t xml:space="preserve"> </w:t>
            </w:r>
            <w:r>
              <w:t xml:space="preserve">abandonado</w:t>
            </w:r>
          </w:p>
        </w:tc>
      </w:tr>
    </w:tbl>
    <w:bookmarkEnd w:id="14"/>
    <w:bookmarkEnd w:id="15"/>
    <w:bookmarkStart w:id="17" w:name="preguntas-regulatorias-y-de-manufactura"/>
    <w:p>
      <w:pPr>
        <w:pStyle w:val="Heading1"/>
      </w:pPr>
      <w:r>
        <w:t xml:space="preserve">Preguntas Regulatorias y de Manufactura</w:t>
      </w:r>
    </w:p>
    <w:p>
      <w:pPr>
        <w:pStyle w:val="FirstParagraph"/>
      </w:pPr>
      <w:r>
        <w:t xml:space="preserve">Los asesores regulatorios de Crestline esperaban que la agencia se enfocara en la señal hepática, la importancia clínica del cambio en la función pulmonar, y la credibilidad del biomarcador. Una reunión formal podría aclarar las expectativas, pero los materiales informativos tomarían diez semanas para prepararse y la respuesta de la agencia podría no resolver el desacuerdo. Los reguladores podrían solicitar una base de datos de seguridad más grande, un seguimiento más largo, un punto final diferente, o un brazo de dosis adicional.</w:t>
      </w:r>
    </w:p>
    <w:p>
      <w:pPr>
        <w:pStyle w:val="BodyText"/>
      </w:pPr>
      <w:r>
        <w:t xml:space="preserve">La manufactura añadió otra incertidumbre. La formulación actual requería distribución refrigerada y tenía una vida útil de nueve meses. Un fabricante contratado había producido suficiente material para completar el estudio de Fase II, pero un programa de Fase III requeriría reservar una línea de producción dentro de sesenta días. El depósito de reserva era de $14 millones y no reembolsable. Un segundo fabricante ofreció un costo unitario más bajo pero necesitaría repetir el trabajo de validación de procesos. Los ingenieros también estaban probando una formulación a temperatura ambiente, aunque podría no estar lista antes de que comenzara un ensayo pivotal.</w:t>
      </w:r>
    </w:p>
    <w:bookmarkStart w:id="16" w:name="X7bfe6e81258a4bd42268ebec430b30390d5d357"/>
    <w:p>
      <w:pPr>
        <w:pStyle w:val="Heading2"/>
      </w:pPr>
      <w:r>
        <w:t xml:space="preserve">Exhibit 4. Supuestos Comerciales Ilustrativos</w:t>
      </w:r>
    </w:p>
    <w:tbl>
      <w:tblPr>
        <w:tblStyle w:val="Table"/>
        <w:tblW w:type="pct" w:w="4928"/>
        <w:tblLayout w:type="fixed"/>
        <w:tblLook w:firstRow="1" w:lastRow="0" w:firstColumn="0" w:lastColumn="0" w:noHBand="0" w:noVBand="0" w:val="0020"/>
      </w:tblPr>
      <w:tblGrid>
        <w:gridCol w:w="2525"/>
        <w:gridCol w:w="1262"/>
        <w:gridCol w:w="1606"/>
        <w:gridCol w:w="2410"/>
      </w:tblGrid>
      <w:tr>
        <w:trPr>
          <w:tblHeader w:val="on"/>
        </w:trPr>
        <w:tc>
          <w:tcPr/>
          <w:p>
            <w:pPr>
              <w:pStyle w:val="Compact"/>
              <w:jc w:val="left"/>
            </w:pPr>
            <w:r>
              <w:t xml:space="preserve">Supuesto</w:t>
            </w:r>
          </w:p>
        </w:tc>
        <w:tc>
          <w:tcPr/>
          <w:p>
            <w:pPr>
              <w:pStyle w:val="Compact"/>
              <w:jc w:val="center"/>
            </w:pPr>
            <w:r>
              <w:t xml:space="preserve">Producto de etiqueta</w:t>
            </w:r>
            <w:r>
              <w:t xml:space="preserve"> </w:t>
            </w:r>
            <w:r>
              <w:t xml:space="preserve">amplia</w:t>
            </w:r>
          </w:p>
        </w:tc>
        <w:tc>
          <w:tcPr/>
          <w:p>
            <w:pPr>
              <w:pStyle w:val="Compact"/>
              <w:jc w:val="center"/>
            </w:pPr>
            <w:r>
              <w:t xml:space="preserve">Producto limitado por</w:t>
            </w:r>
            <w:r>
              <w:t xml:space="preserve"> </w:t>
            </w:r>
            <w:r>
              <w:t xml:space="preserve">biomarcador</w:t>
            </w:r>
          </w:p>
        </w:tc>
        <w:tc>
          <w:tcPr/>
          <w:p>
            <w:pPr>
              <w:pStyle w:val="Compact"/>
              <w:jc w:val="center"/>
            </w:pPr>
            <w:r>
              <w:t xml:space="preserve">Incertidumbre principal</w:t>
            </w:r>
          </w:p>
        </w:tc>
      </w:tr>
      <w:tr>
        <w:tc>
          <w:tcPr/>
          <w:p>
            <w:pPr>
              <w:pStyle w:val="Compact"/>
              <w:jc w:val="left"/>
            </w:pPr>
            <w:r>
              <w:t xml:space="preserve">Pacientes elegibles en EE.UU. al lanzamiento</w:t>
            </w:r>
          </w:p>
        </w:tc>
        <w:tc>
          <w:tcPr/>
          <w:p>
            <w:pPr>
              <w:pStyle w:val="Compact"/>
              <w:jc w:val="center"/>
            </w:pPr>
            <w:r>
              <w:t xml:space="preserve">78,000</w:t>
            </w:r>
          </w:p>
        </w:tc>
        <w:tc>
          <w:tcPr/>
          <w:p>
            <w:pPr>
              <w:pStyle w:val="Compact"/>
              <w:jc w:val="center"/>
            </w:pPr>
            <w:r>
              <w:t xml:space="preserve">29,000</w:t>
            </w:r>
          </w:p>
        </w:tc>
        <w:tc>
          <w:tcPr/>
          <w:p>
            <w:pPr>
              <w:pStyle w:val="Compact"/>
              <w:jc w:val="center"/>
            </w:pPr>
            <w:r>
              <w:t xml:space="preserve">Diagnóstico, progresión, redacción de la</w:t>
            </w:r>
            <w:r>
              <w:t xml:space="preserve"> </w:t>
            </w:r>
            <w:r>
              <w:t xml:space="preserve">etiqueta</w:t>
            </w:r>
          </w:p>
        </w:tc>
      </w:tr>
      <w:tr>
        <w:tc>
          <w:tcPr/>
          <w:p>
            <w:pPr>
              <w:pStyle w:val="Compact"/>
              <w:jc w:val="left"/>
            </w:pPr>
            <w:r>
              <w:t xml:space="preserve">Adopción por médicos después de tres años</w:t>
            </w:r>
          </w:p>
        </w:tc>
        <w:tc>
          <w:tcPr/>
          <w:p>
            <w:pPr>
              <w:pStyle w:val="Compact"/>
              <w:jc w:val="center"/>
            </w:pPr>
            <w:r>
              <w:t xml:space="preserve">38%</w:t>
            </w:r>
          </w:p>
        </w:tc>
        <w:tc>
          <w:tcPr/>
          <w:p>
            <w:pPr>
              <w:pStyle w:val="Compact"/>
              <w:jc w:val="center"/>
            </w:pPr>
            <w:r>
              <w:t xml:space="preserve">55%</w:t>
            </w:r>
          </w:p>
        </w:tc>
        <w:tc>
          <w:tcPr/>
          <w:p>
            <w:pPr>
              <w:pStyle w:val="Compact"/>
              <w:jc w:val="center"/>
            </w:pPr>
            <w:r>
              <w:t xml:space="preserve">Beneficio percibido y carga de monitoreo</w:t>
            </w:r>
          </w:p>
        </w:tc>
      </w:tr>
      <w:tr>
        <w:tc>
          <w:tcPr/>
          <w:p>
            <w:pPr>
              <w:pStyle w:val="Compact"/>
              <w:jc w:val="left"/>
            </w:pPr>
            <w:r>
              <w:t xml:space="preserve">Precio neto anual por paciente tratado</w:t>
            </w:r>
          </w:p>
        </w:tc>
        <w:tc>
          <w:tcPr/>
          <w:p>
            <w:pPr>
              <w:pStyle w:val="Compact"/>
              <w:jc w:val="center"/>
            </w:pPr>
            <w:r>
              <w:t xml:space="preserve">$48,000</w:t>
            </w:r>
          </w:p>
        </w:tc>
        <w:tc>
          <w:tcPr/>
          <w:p>
            <w:pPr>
              <w:pStyle w:val="Compact"/>
              <w:jc w:val="center"/>
            </w:pPr>
            <w:r>
              <w:t xml:space="preserve">$56,000</w:t>
            </w:r>
          </w:p>
        </w:tc>
        <w:tc>
          <w:tcPr/>
          <w:p>
            <w:pPr>
              <w:pStyle w:val="Compact"/>
              <w:jc w:val="center"/>
            </w:pPr>
            <w:r>
              <w:t xml:space="preserve">Restricciones de pagadores y competencia</w:t>
            </w:r>
          </w:p>
        </w:tc>
      </w:tr>
      <w:tr>
        <w:tc>
          <w:tcPr/>
          <w:p>
            <w:pPr>
              <w:pStyle w:val="Compact"/>
              <w:jc w:val="left"/>
            </w:pPr>
            <w:r>
              <w:t xml:space="preserve">Costo anual de manufactura/distribución</w:t>
            </w:r>
          </w:p>
        </w:tc>
        <w:tc>
          <w:tcPr/>
          <w:p>
            <w:pPr>
              <w:pStyle w:val="Compact"/>
              <w:jc w:val="center"/>
            </w:pPr>
            <w:r>
              <w:t xml:space="preserve">$7,800</w:t>
            </w:r>
          </w:p>
        </w:tc>
        <w:tc>
          <w:tcPr/>
          <w:p>
            <w:pPr>
              <w:pStyle w:val="Compact"/>
              <w:jc w:val="center"/>
            </w:pPr>
            <w:r>
              <w:t xml:space="preserve">$8,600</w:t>
            </w:r>
          </w:p>
        </w:tc>
        <w:tc>
          <w:tcPr/>
          <w:p>
            <w:pPr>
              <w:pStyle w:val="Compact"/>
              <w:jc w:val="center"/>
            </w:pPr>
            <w:r>
              <w:t xml:space="preserve">Escala, refrigeración, desperdicio</w:t>
            </w:r>
          </w:p>
        </w:tc>
      </w:tr>
      <w:tr>
        <w:tc>
          <w:tcPr/>
          <w:p>
            <w:pPr>
              <w:pStyle w:val="Compact"/>
              <w:jc w:val="left"/>
            </w:pPr>
            <w:r>
              <w:t xml:space="preserve">Tiempo hasta el mercado desde la decisión</w:t>
            </w:r>
            <w:r>
              <w:t xml:space="preserve"> </w:t>
            </w:r>
            <w:r>
              <w:t xml:space="preserve">actual</w:t>
            </w:r>
          </w:p>
        </w:tc>
        <w:tc>
          <w:tcPr/>
          <w:p>
            <w:pPr>
              <w:pStyle w:val="Compact"/>
              <w:jc w:val="center"/>
            </w:pPr>
            <w:r>
              <w:t xml:space="preserve">4.5-5.5 años</w:t>
            </w:r>
          </w:p>
        </w:tc>
        <w:tc>
          <w:tcPr/>
          <w:p>
            <w:pPr>
              <w:pStyle w:val="Compact"/>
              <w:jc w:val="center"/>
            </w:pPr>
            <w:r>
              <w:t xml:space="preserve">4.0-5.0 años</w:t>
            </w:r>
          </w:p>
        </w:tc>
        <w:tc>
          <w:tcPr/>
          <w:p>
            <w:pPr>
              <w:pStyle w:val="Compact"/>
              <w:jc w:val="center"/>
            </w:pPr>
            <w:r>
              <w:t xml:space="preserve">Resultado del ensayo y revisión</w:t>
            </w:r>
            <w:r>
              <w:t xml:space="preserve"> </w:t>
            </w:r>
            <w:r>
              <w:t xml:space="preserve">regulatoria</w:t>
            </w:r>
          </w:p>
        </w:tc>
      </w:tr>
      <w:tr>
        <w:tc>
          <w:tcPr/>
          <w:p>
            <w:pPr>
              <w:pStyle w:val="Compact"/>
              <w:jc w:val="left"/>
            </w:pPr>
            <w:r>
              <w:t xml:space="preserve">Vida efectiva restante de la patente al</w:t>
            </w:r>
            <w:r>
              <w:t xml:space="preserve"> </w:t>
            </w:r>
            <w:r>
              <w:t xml:space="preserve">lanzamiento</w:t>
            </w:r>
          </w:p>
        </w:tc>
        <w:tc>
          <w:tcPr/>
          <w:p>
            <w:pPr>
              <w:pStyle w:val="Compact"/>
              <w:jc w:val="center"/>
            </w:pPr>
            <w:r>
              <w:t xml:space="preserve">7-9 años</w:t>
            </w:r>
          </w:p>
        </w:tc>
        <w:tc>
          <w:tcPr/>
          <w:p>
            <w:pPr>
              <w:pStyle w:val="Compact"/>
              <w:jc w:val="center"/>
            </w:pPr>
            <w:r>
              <w:t xml:space="preserve">8-10 años</w:t>
            </w:r>
          </w:p>
        </w:tc>
        <w:tc>
          <w:tcPr/>
          <w:p>
            <w:pPr>
              <w:pStyle w:val="Compact"/>
              <w:jc w:val="center"/>
            </w:pPr>
            <w:r>
              <w:t xml:space="preserve">Retrasos y desafíos de patentes</w:t>
            </w:r>
          </w:p>
        </w:tc>
      </w:tr>
    </w:tbl>
    <w:bookmarkEnd w:id="16"/>
    <w:bookmarkEnd w:id="17"/>
    <w:bookmarkStart w:id="19" w:name="la-restricción-de-capital"/>
    <w:p>
      <w:pPr>
        <w:pStyle w:val="Heading1"/>
      </w:pPr>
      <w:r>
        <w:t xml:space="preserve">La Restricción de Capital</w:t>
      </w:r>
    </w:p>
    <w:p>
      <w:pPr>
        <w:pStyle w:val="FirstParagraph"/>
      </w:pPr>
      <w:r>
        <w:t xml:space="preserve">Crestline tenía $186 millones en efectivo y valores negociables. Los compromisos existentes para CLN-47, el segundo compuesto, las operaciones corporativas, y el servicio de deuda consumirían aproximadamente $91 millones durante los próximos dieciocho meses. Levantar nuevo capital accionario era posible, pero el precio de las acciones de la compañía había caído un 37 por ciento después de que se divulgara el retraso en la inscripción. Una asociación con una compañía farmacéutica más grande podría proporcionar capital y experiencia en gestión de ensayos, pero los socios potenciales querían revisar los datos intermedios y podrían exigir control sobre el desarrollo futuro y los precios.</w:t>
      </w:r>
    </w:p>
    <w:p>
      <w:pPr>
        <w:pStyle w:val="BodyText"/>
      </w:pPr>
      <w:r>
        <w:t xml:space="preserve">El director financiero argumentó que Crestline no podía tratar cada pregunta científica como algo que requiriera otro estudio. El jefe de investigación respondió que terminar un programa después de un análisis intermedio inconcluso favorecería sistemáticamente a los tratamientos con efectos rápidos y obvios y abandonaría terapias que requerían una mejor selección de pacientes. El jefe comercial creía que un producto definido por biomarcador podría lograr un mayor interés de los médicos. El jefe de operaciones clínicas advirtió que una población más estrecha podría ser más difícil, no más fácil, de reclutar.</w:t>
      </w:r>
    </w:p>
    <w:bookmarkStart w:id="18" w:name="Xf1331ae70c587dabc5e5c180b57684981803fda"/>
    <w:p>
      <w:pPr>
        <w:pStyle w:val="Heading2"/>
      </w:pPr>
      <w:r>
        <w:t xml:space="preserve">Exhibit 5. Perspectiva de Efectivo a Dieciocho Meses</w:t>
      </w:r>
    </w:p>
    <w:tbl>
      <w:tblPr>
        <w:tblStyle w:val="Table"/>
        <w:tblW w:type="pct" w:w="4907"/>
        <w:tblLayout w:type="fixed"/>
        <w:tblLook w:firstRow="1" w:lastRow="0" w:firstColumn="0" w:lastColumn="0" w:noHBand="0" w:noVBand="0" w:val="0020"/>
      </w:tblPr>
      <w:tblGrid>
        <w:gridCol w:w="2346"/>
        <w:gridCol w:w="1760"/>
        <w:gridCol w:w="2053"/>
        <w:gridCol w:w="1613"/>
      </w:tblGrid>
      <w:tr>
        <w:trPr>
          <w:tblHeader w:val="on"/>
        </w:trPr>
        <w:tc>
          <w:tcPr/>
          <w:p>
            <w:pPr>
              <w:pStyle w:val="Compact"/>
              <w:jc w:val="left"/>
            </w:pPr>
            <w:r>
              <w:t xml:space="preserve">Uso de efectivo</w:t>
            </w:r>
          </w:p>
        </w:tc>
        <w:tc>
          <w:tcPr/>
          <w:p>
            <w:pPr>
              <w:pStyle w:val="Compact"/>
              <w:jc w:val="right"/>
            </w:pPr>
            <w:r>
              <w:t xml:space="preserve">Comprometido / plan b</w:t>
            </w:r>
          </w:p>
        </w:tc>
        <w:tc>
          <w:tcPr/>
          <w:p>
            <w:pPr>
              <w:pStyle w:val="Compact"/>
              <w:jc w:val="center"/>
            </w:pPr>
            <w:r>
              <w:t xml:space="preserve">ase Finalización del ensay</w:t>
            </w:r>
            <w:r>
              <w:t xml:space="preserve"> </w:t>
            </w:r>
            <w:r>
              <w:t xml:space="preserve">original</w:t>
            </w:r>
          </w:p>
        </w:tc>
        <w:tc>
          <w:tcPr/>
          <w:p>
            <w:pPr>
              <w:pStyle w:val="Compact"/>
            </w:pPr>
            <w:r>
              <w:t xml:space="preserve">o Expansión de biomarcador</w:t>
            </w:r>
          </w:p>
        </w:tc>
      </w:tr>
      <w:tr>
        <w:tc>
          <w:tcPr/>
          <w:p>
            <w:pPr>
              <w:pStyle w:val="Compact"/>
              <w:jc w:val="left"/>
            </w:pPr>
            <w:r>
              <w:t xml:space="preserve">Operaciones corporativas y</w:t>
            </w:r>
            <w:r>
              <w:br/>
            </w:r>
            <w:r>
              <w:t xml:space="preserve">servicio de deuda</w:t>
            </w:r>
          </w:p>
        </w:tc>
        <w:tc>
          <w:tcPr/>
          <w:p>
            <w:pPr>
              <w:pStyle w:val="Compact"/>
              <w:jc w:val="right"/>
            </w:pPr>
            <w:r>
              <w:t xml:space="preserve">$49 millones</w:t>
            </w:r>
          </w:p>
        </w:tc>
        <w:tc>
          <w:tcPr/>
          <w:p>
            <w:pPr>
              <w:pStyle w:val="Compact"/>
              <w:jc w:val="center"/>
            </w:pPr>
            <w:r>
              <w:t xml:space="preserve">$49 millones</w:t>
            </w:r>
          </w:p>
        </w:tc>
        <w:tc>
          <w:tcPr/>
          <w:p>
            <w:pPr>
              <w:pStyle w:val="Compact"/>
            </w:pPr>
            <w:r>
              <w:t xml:space="preserve">$49 millones</w:t>
            </w:r>
          </w:p>
        </w:tc>
      </w:tr>
      <w:tr>
        <w:tc>
          <w:tcPr/>
          <w:p>
            <w:pPr>
              <w:pStyle w:val="Compact"/>
              <w:jc w:val="left"/>
            </w:pPr>
            <w:r>
              <w:t xml:space="preserve">Obligaciones actuales de</w:t>
            </w:r>
            <w:r>
              <w:br/>
            </w:r>
            <w:r>
              <w:t xml:space="preserve">CLN-47</w:t>
            </w:r>
          </w:p>
        </w:tc>
        <w:tc>
          <w:tcPr/>
          <w:p>
            <w:pPr>
              <w:pStyle w:val="Compact"/>
              <w:jc w:val="right"/>
            </w:pPr>
            <w:r>
              <w:t xml:space="preserve">$35 millones</w:t>
            </w:r>
          </w:p>
        </w:tc>
        <w:tc>
          <w:tcPr/>
          <w:p>
            <w:pPr>
              <w:pStyle w:val="Compact"/>
              <w:jc w:val="center"/>
            </w:pPr>
            <w:r>
              <w:t xml:space="preserve">$35 millones</w:t>
            </w:r>
          </w:p>
        </w:tc>
        <w:tc>
          <w:tcPr/>
          <w:p>
            <w:pPr>
              <w:pStyle w:val="Compact"/>
            </w:pPr>
            <w:r>
              <w:t xml:space="preserve">$35 millones</w:t>
            </w:r>
          </w:p>
        </w:tc>
      </w:tr>
      <w:tr>
        <w:tc>
          <w:tcPr/>
          <w:p>
            <w:pPr>
              <w:pStyle w:val="Compact"/>
              <w:jc w:val="left"/>
            </w:pPr>
            <w:r>
              <w:t xml:space="preserve">Programa adicional de CLN-47</w:t>
            </w:r>
            <w:r>
              <w:br/>
            </w:r>
          </w:p>
        </w:tc>
        <w:tc>
          <w:tcPr/>
          <w:p>
            <w:pPr>
              <w:pStyle w:val="Compact"/>
              <w:jc w:val="right"/>
            </w:pPr>
            <w:r>
              <w:t xml:space="preserve">$0</w:t>
            </w:r>
          </w:p>
        </w:tc>
        <w:tc>
          <w:tcPr/>
          <w:p>
            <w:pPr>
              <w:pStyle w:val="Compact"/>
              <w:jc w:val="center"/>
            </w:pPr>
            <w:r>
              <w:t xml:space="preserve">$23 millones</w:t>
            </w:r>
          </w:p>
        </w:tc>
        <w:tc>
          <w:tcPr/>
          <w:p>
            <w:pPr>
              <w:pStyle w:val="Compact"/>
            </w:pPr>
            <w:r>
              <w:t xml:space="preserve">$38 millones</w:t>
            </w:r>
          </w:p>
        </w:tc>
      </w:tr>
      <w:tr>
        <w:tc>
          <w:tcPr/>
          <w:p>
            <w:pPr>
              <w:pStyle w:val="Compact"/>
              <w:jc w:val="left"/>
            </w:pPr>
            <w:r>
              <w:t xml:space="preserve">Segundo compuesto en</w:t>
            </w:r>
            <w:r>
              <w:br/>
            </w:r>
            <w:r>
              <w:t xml:space="preserve">desarrollo</w:t>
            </w:r>
          </w:p>
        </w:tc>
        <w:tc>
          <w:tcPr/>
          <w:p>
            <w:pPr>
              <w:pStyle w:val="Compact"/>
              <w:jc w:val="right"/>
            </w:pPr>
            <w:r>
              <w:t xml:space="preserve">$31 millones</w:t>
            </w:r>
          </w:p>
        </w:tc>
        <w:tc>
          <w:tcPr/>
          <w:p>
            <w:pPr>
              <w:pStyle w:val="Compact"/>
              <w:jc w:val="center"/>
            </w:pPr>
            <w:r>
              <w:t xml:space="preserve">$31 millones</w:t>
            </w:r>
          </w:p>
        </w:tc>
        <w:tc>
          <w:tcPr/>
          <w:p>
            <w:pPr>
              <w:pStyle w:val="Compact"/>
            </w:pPr>
            <w:r>
              <w:t xml:space="preserve">$31 millones</w:t>
            </w:r>
          </w:p>
        </w:tc>
      </w:tr>
      <w:tr>
        <w:tc>
          <w:tcPr/>
          <w:p>
            <w:pPr>
              <w:pStyle w:val="Compact"/>
              <w:jc w:val="left"/>
            </w:pPr>
            <w:r>
              <w:t xml:space="preserve">Reserva de manufactura</w:t>
            </w:r>
            <w:r>
              <w:br/>
            </w:r>
          </w:p>
        </w:tc>
        <w:tc>
          <w:tcPr/>
          <w:p>
            <w:pPr>
              <w:pStyle w:val="Compact"/>
              <w:jc w:val="right"/>
            </w:pPr>
            <w:r>
              <w:t xml:space="preserve">$0</w:t>
            </w:r>
          </w:p>
        </w:tc>
        <w:tc>
          <w:tcPr/>
          <w:p>
            <w:pPr>
              <w:pStyle w:val="Compact"/>
              <w:jc w:val="center"/>
            </w:pPr>
            <w:r>
              <w:t xml:space="preserve">$14 millones</w:t>
            </w:r>
          </w:p>
        </w:tc>
        <w:tc>
          <w:tcPr/>
          <w:p>
            <w:pPr>
              <w:pStyle w:val="Compact"/>
            </w:pPr>
            <w:r>
              <w:t xml:space="preserve">$14 millones</w:t>
            </w:r>
          </w:p>
        </w:tc>
      </w:tr>
      <w:tr>
        <w:tc>
          <w:tcPr/>
          <w:p>
            <w:pPr>
              <w:pStyle w:val="Compact"/>
              <w:jc w:val="left"/>
            </w:pPr>
            <w:r>
              <w:t xml:space="preserve">Efectivo final proyectado</w:t>
            </w:r>
            <w:r>
              <w:br/>
            </w:r>
          </w:p>
        </w:tc>
        <w:tc>
          <w:tcPr/>
          <w:p>
            <w:pPr>
              <w:pStyle w:val="Compact"/>
              <w:jc w:val="right"/>
            </w:pPr>
            <w:r>
              <w:t xml:space="preserve">$71 millones</w:t>
            </w:r>
          </w:p>
        </w:tc>
        <w:tc>
          <w:tcPr/>
          <w:p>
            <w:pPr>
              <w:pStyle w:val="Compact"/>
              <w:jc w:val="center"/>
            </w:pPr>
            <w:r>
              <w:t xml:space="preserve">$34 millones</w:t>
            </w:r>
          </w:p>
        </w:tc>
        <w:tc>
          <w:tcPr/>
          <w:p>
            <w:pPr>
              <w:pStyle w:val="Compact"/>
            </w:pPr>
            <w:r>
              <w:t xml:space="preserve">$19 millones</w:t>
            </w:r>
          </w:p>
        </w:tc>
      </w:tr>
    </w:tbl>
    <w:bookmarkEnd w:id="18"/>
    <w:bookmarkEnd w:id="19"/>
    <w:bookmarkStart w:id="20" w:name="X1e3e5568469d92d6f5026e64321832ef03c2a6c"/>
    <w:p>
      <w:pPr>
        <w:pStyle w:val="Heading1"/>
      </w:pPr>
      <w:r>
        <w:t xml:space="preserve">La Reunión de la Junta Directiva del Miércoles</w:t>
      </w:r>
    </w:p>
    <w:p>
      <w:pPr>
        <w:pStyle w:val="FirstParagraph"/>
      </w:pPr>
      <w:r>
        <w:t xml:space="preserve">Para la tarde del miércoles, Marquez había recibido tres nuevas piezas de información. Un sitio comunitario reportó dos elevaciones adicionales de enzimas hepáticas, ninguna todavía clasificada como grave. El proveedor de laboratorio dijo que podía validar un ensayo de biomarcador mejorado en cinco meses, pero solo si Crestline se comprometía con $4.2 millones inmediatamente. Un competidor anunció que su ensayo de Fase III inscribiría a 620 pacientes y usaría la supervivencia libre de hospitalización en lugar de la función pulmonar como el punto final primario.</w:t>
      </w:r>
    </w:p>
    <w:p>
      <w:pPr>
        <w:pStyle w:val="BodyText"/>
      </w:pPr>
      <w:r>
        <w:t xml:space="preserve">El anuncio del competidor podría significar que los médicos y hospitales tendrían aún menos capacidad para el ensayo de Crestline. También podría validar el interés de los inversores en la enfermedad. Nadie sabía si el tratamiento competidor demostraría ser más seguro o más efectivo, si llegaría al mercado primero, o si su diseño de ensayo influiría en las expectativas de los reguladores para CLN-47.</w:t>
      </w:r>
    </w:p>
    <w:p>
      <w:pPr>
        <w:pStyle w:val="BodyText"/>
      </w:pPr>
      <w:r>
        <w:t xml:space="preserve">Marquez tenía que recomendar un camino esa noche. La junta directiva querría saber si la evidencia actual justificaba la exposición continuada de pacientes y capital, qué información adicional cambiaría materialmente la decisión, y qué tan rápido podría obtenerse esa información. También preguntaría si Crestline debería preservar una ambición de tratamiento amplio, enfocarse en los pacientes que parecían más propensos a beneficiarse, buscar un socio, o dirigir sus recursos restantes hacia otro lugar.</w:t>
      </w:r>
    </w:p>
    <w:p>
      <w:pPr>
        <w:pStyle w:val="BodyText"/>
      </w:pPr>
      <w:r>
        <w:t xml:space="preserve">Ninguna opción protegía todos los objetivos. Expandir el estudio podría revelar un tratamiento clínicamente importante, pero podría consumir el efectivo de la compañía antes de que se conociera el resultado. Comenzar la planificación de la Fase III podría preservar tiempo y capacidad de manufactura, pero magnificar las consecuencias de una interpretación equivocada. Pausar podría permitir que el ensayo y la estrategia regulatoria maduraran, pero los sitios, los pacientes, los empleados, y los inversores podrían no esperar. La terminación proporcionaría claridad financiera mientras cerraría la posibilidad de que los datos desiguales contuvieran una señal terapéutica real.</w:t>
      </w:r>
    </w:p>
    <w:bookmarkEnd w:id="20"/>
    <w:bookmarkStart w:id="21" w:name="preguntas-de-discusión"/>
    <w:p>
      <w:pPr>
        <w:pStyle w:val="Heading1"/>
      </w:pPr>
      <w:r>
        <w:t xml:space="preserve">Preguntas de Discusión</w:t>
      </w:r>
    </w:p>
    <w:p>
      <w:pPr>
        <w:numPr>
          <w:ilvl w:val="0"/>
          <w:numId w:val="1001"/>
        </w:numPr>
      </w:pPr>
      <w:r>
        <w:t xml:space="preserve">¿Cuál es el problema central que enfrentan Marquez y Crestline Biotherapeutics?</w:t>
      </w:r>
    </w:p>
    <w:p>
      <w:pPr>
        <w:numPr>
          <w:ilvl w:val="0"/>
          <w:numId w:val="1001"/>
        </w:numPr>
      </w:pPr>
      <w:r>
        <w:t xml:space="preserve">¿Cómo debería la compañía interpretar el resultado promedio del ensayo y la respuesta más fuerte en el subgrupo biomarcador-positivo?</w:t>
      </w:r>
    </w:p>
    <w:p>
      <w:pPr>
        <w:numPr>
          <w:ilvl w:val="0"/>
          <w:numId w:val="1001"/>
        </w:numPr>
      </w:pPr>
      <w:r>
        <w:t xml:space="preserve">¿Qué información adicional sería más valiosa antes de comprometerse a otro estudio grande?</w:t>
      </w:r>
    </w:p>
    <w:p>
      <w:pPr>
        <w:numPr>
          <w:ilvl w:val="0"/>
          <w:numId w:val="1001"/>
        </w:numPr>
      </w:pPr>
      <w:r>
        <w:t xml:space="preserve">¿Debería Crestline completar el protocolo original de la Fase II, rediseñarlo, o avanzar hacia la Fase III? ¿Por qué?</w:t>
      </w:r>
    </w:p>
    <w:p>
      <w:pPr>
        <w:numPr>
          <w:ilvl w:val="0"/>
          <w:numId w:val="1001"/>
        </w:numPr>
      </w:pPr>
      <w:r>
        <w:t xml:space="preserve">¿Cómo deberían equilibrarse las preocupaciones de seguridad del paciente con la necesidad no satisfecha y la posibilidad de beneficio?</w:t>
      </w:r>
    </w:p>
    <w:p>
      <w:pPr>
        <w:numPr>
          <w:ilvl w:val="0"/>
          <w:numId w:val="1001"/>
        </w:numPr>
      </w:pPr>
      <w:r>
        <w:t xml:space="preserve">¿Qué cambios en la selección de sitios, el reclutamiento de pacientes, el diseño de visitas, y el reembolso podrían mejorar la inscripción sin debilitar la calidad de los datos?</w:t>
      </w:r>
    </w:p>
    <w:p>
      <w:pPr>
        <w:numPr>
          <w:ilvl w:val="0"/>
          <w:numId w:val="1001"/>
        </w:numPr>
      </w:pPr>
      <w:r>
        <w:t xml:space="preserve">¿Debería Crestline reservar capacidad de manufactura antes de haber resuelto las preguntas clínicas?</w:t>
      </w:r>
    </w:p>
    <w:p>
      <w:pPr>
        <w:numPr>
          <w:ilvl w:val="0"/>
          <w:numId w:val="1001"/>
        </w:numPr>
      </w:pPr>
      <w:r>
        <w:t xml:space="preserve">¿Cómo deberían la vida de la patente, la actividad del competidor, la aceptación por parte de los médicos, los precios, y los requisitos de manufactura afectar la decisión de desarrollo?</w:t>
      </w:r>
    </w:p>
    <w:p>
      <w:pPr>
        <w:numPr>
          <w:ilvl w:val="0"/>
          <w:numId w:val="1001"/>
        </w:numPr>
      </w:pPr>
      <w:r>
        <w:t xml:space="preserve">¿Mejoraría una asociación el programa, o transferiría demasiado valor y control futuros?</w:t>
      </w:r>
    </w:p>
    <w:p>
      <w:pPr>
        <w:numPr>
          <w:ilvl w:val="0"/>
          <w:numId w:val="1001"/>
        </w:numPr>
      </w:pPr>
      <w:r>
        <w:t xml:space="preserve">¿Bajo qué hallazgos futuros debería Crestline continuar, estrechar, pausar, o terminar CLN-47?</w:t>
      </w:r>
    </w:p>
    <w:bookmarkEnd w:id="21"/>
    <w:bookmarkStart w:id="27" w:name="preguntas-de-encuadre-de-la-decisión"/>
    <w:p>
      <w:pPr>
        <w:pStyle w:val="Heading1"/>
      </w:pPr>
      <w:r>
        <w:t xml:space="preserve">Preguntas de Encuadre de la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2">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23">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4">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por la prioridad en la pirámide anterior. Haga clic en cada celda para indicar si el impacto de la decisión sobre cada métrica es alto (rojo), medio (naranja), bajo (amarillo), o nulo (blanco).</w:t>
      </w:r>
    </w:p>
    <w:p>
      <w:pPr>
        <w:numPr>
          <w:ilvl w:val="0"/>
          <w:numId w:val="1002"/>
        </w:numPr>
      </w:pPr>
      <w:r>
        <w:t xml:space="preserve">Puede tomar el asa (tres barras) más a la izquierda en cada fila para moverla hacia arriba o hacia abajo. Ordene las filas de manera que las decisiones con el mayor impacto en las métricas más importantes estén hacia arriba. Las celdas en la esquina superior izquierda deberían tener la mayor concentración de celdas rojas y naranjas. En este punto identifique las decisiones que deberían recibir la mayor atención en su estudio. Si no tiene decisiones con un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5">
        <w:r>
          <w:rPr>
            <w:rStyle w:val="Hyperlink"/>
          </w:rPr>
          <w:t xml:space="preserve">herramienta de priorización de incertidumbre</w:t>
        </w:r>
      </w:hyperlink>
      <w:r>
        <w:t xml:space="preserve">. Use las</w:t>
      </w:r>
      <w:r>
        <w:t xml:space="preserve"> </w:t>
      </w:r>
      <w:hyperlink r:id="rId26">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decisión única que parece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7"/>
    <w:bookmarkStart w:id="28" w:name="nota-de-fuente"/>
    <w:p>
      <w:pPr>
        <w:pStyle w:val="Heading1"/>
      </w:pPr>
      <w:r>
        <w:t xml:space="preserve">Nota de Fuente</w:t>
      </w:r>
    </w:p>
    <w:p>
      <w:pPr>
        <w:pStyle w:val="FirstParagraph"/>
      </w:pPr>
      <w:r>
        <w:t xml:space="preserve">El fundamento conceptual para este caso es la sección</w:t>
      </w:r>
      <w:r>
        <w:t xml:space="preserve"> </w:t>
      </w:r>
      <w:r>
        <w:t xml:space="preserve">“Running clinical trials for drug testing”</w:t>
      </w:r>
      <w:r>
        <w:t xml:space="preserve"> </w:t>
      </w:r>
      <w:r>
        <w:t xml:space="preserve">de Warren B. Powell, Bridging Decision Problems, Volume I: Framing the Problem, Capítulo 2. El caso incorpora las consideraciones clínicas, financieras, operativas, regulatorias, de manufactura, de marketing, y competitivas de la sección en la narrativa y los exhibits sin identificarlas como categorías analíticas separadas.</w:t>
      </w:r>
    </w:p>
    <w:p>
      <w:pPr>
        <w:pStyle w:val="BodyText"/>
      </w:pPr>
      <w:r>
        <w:t xml:space="preserve">La información pública utilizada para motivar el escenario incluye descripciones de la FDA de los ensayos de Fase III que comúnmente involucran aproximadamente de 300 a 3,000 participantes y proporcionan gran parte de la evidencia de seguridad utilizada para la revisión; investigación publicada que reporta que los retrasos en la inscripción son generalizados, que los ensayos completados en un análisis grande tuvieron un retraso mediano de 12.2 meses, y que el 21.5 por ciento de los ensayos en esa muestra fueron discontinuados; un análisis de 2025 que estima una probabilidad promedio de primera aprobación del 14.3 por ciento entre las principales compañías farmacéuticas basadas en investigación; y estimaciones de la industria de que el desarrollo de un nuevo medicamento comúnmente toma de 10 a 15 años y cuesta aproximadamente $2.6 billones cuando se incluyen los programas fallidos. Las estimaciones difieren según el área terapéutica, el diseño del estudio, el patrocinador, y la metodología. Todos los datos, personas, compuestos, resultados, presupuestos, y eventos de Crestline son ficticios.</w:t>
      </w:r>
    </w:p>
    <w:bookmarkEnd w:id="28"/>
    <w:bookmarkStart w:id="31" w:name="notas-de-chatgpt"/>
    <w:p>
      <w:pPr>
        <w:pStyle w:val="Heading1"/>
      </w:pPr>
      <w:r>
        <w:t xml:space="preserve">Notas de ChatGPT</w:t>
      </w:r>
    </w:p>
    <w:bookmarkStart w:id="29" w:name="prompt"/>
    <w:p>
      <w:pPr>
        <w:pStyle w:val="Heading2"/>
      </w:pPr>
      <w:r>
        <w:t xml:space="preserve">Prompt</w:t>
      </w:r>
    </w:p>
    <w:p>
      <w:pPr>
        <w:pStyle w:val="FirstParagraph"/>
      </w:pPr>
      <w:r>
        <w:t xml:space="preserve">Write a 4-6 page case study based on the material in the section at https://warrenpowell.org/bridging-vol1/chapter-2/#clinicaltrials. Create a context based on the metrics, decisions and uncertainties in the section, but without explicitly calling attention to them. motivate your case problem with data.</w:t>
      </w:r>
    </w:p>
    <w:bookmarkEnd w:id="29"/>
    <w:bookmarkStart w:id="30" w:name="resumen"/>
    <w:p>
      <w:pPr>
        <w:pStyle w:val="Heading2"/>
      </w:pPr>
      <w:r>
        <w:t xml:space="preserve">Resumen</w:t>
      </w:r>
    </w:p>
    <w:p>
      <w:pPr>
        <w:pStyle w:val="FirstParagraph"/>
      </w:pPr>
      <w:r>
        <w:t xml:space="preserve">El caso sigue a una compañía biotecnológica que decide si expandir, rediseñar, pausar, avanzar, o terminar un ensayo de Fase II después de recibir resultados prometedores pero inconclusos. Incorpora:</w:t>
      </w:r>
    </w:p>
    <w:p>
      <w:pPr>
        <w:numPr>
          <w:ilvl w:val="0"/>
          <w:numId w:val="1005"/>
        </w:numPr>
      </w:pPr>
      <w:r>
        <w:t xml:space="preserve">Reclutamiento de pacientes y selección de sitios de ensayo</w:t>
      </w:r>
    </w:p>
    <w:p>
      <w:pPr>
        <w:numPr>
          <w:ilvl w:val="0"/>
          <w:numId w:val="1005"/>
        </w:numPr>
      </w:pPr>
      <w:r>
        <w:t xml:space="preserve">Efectividad del tratamiento y respuesta de subgrupo</w:t>
      </w:r>
    </w:p>
    <w:p>
      <w:pPr>
        <w:numPr>
          <w:ilvl w:val="0"/>
          <w:numId w:val="1005"/>
        </w:numPr>
      </w:pPr>
      <w:r>
        <w:t xml:space="preserve">Señales de seguridad y selección de dosis</w:t>
      </w:r>
    </w:p>
    <w:p>
      <w:pPr>
        <w:numPr>
          <w:ilvl w:val="0"/>
          <w:numId w:val="1005"/>
        </w:numPr>
      </w:pPr>
      <w:r>
        <w:t xml:space="preserve">Requisitos regulatorios</w:t>
      </w:r>
    </w:p>
    <w:p>
      <w:pPr>
        <w:numPr>
          <w:ilvl w:val="0"/>
          <w:numId w:val="1005"/>
        </w:numPr>
      </w:pPr>
      <w:r>
        <w:t xml:space="preserve">Capacidad de manufactura y necesidades de refrigeración</w:t>
      </w:r>
    </w:p>
    <w:p>
      <w:pPr>
        <w:numPr>
          <w:ilvl w:val="0"/>
          <w:numId w:val="1005"/>
        </w:numPr>
      </w:pPr>
      <w:r>
        <w:t xml:space="preserve">Presión de la vida de la patente</w:t>
      </w:r>
    </w:p>
    <w:p>
      <w:pPr>
        <w:numPr>
          <w:ilvl w:val="0"/>
          <w:numId w:val="1005"/>
        </w:numPr>
      </w:pPr>
      <w:r>
        <w:t xml:space="preserve">Actividad de competidores</w:t>
      </w:r>
    </w:p>
    <w:p>
      <w:pPr>
        <w:numPr>
          <w:ilvl w:val="0"/>
          <w:numId w:val="1005"/>
        </w:numPr>
      </w:pPr>
      <w:r>
        <w:t xml:space="preserve">Aceptación por parte de médicos, precios, y potencial comercial</w:t>
      </w:r>
    </w:p>
    <w:p>
      <w:pPr>
        <w:numPr>
          <w:ilvl w:val="0"/>
          <w:numId w:val="1005"/>
        </w:numPr>
      </w:pPr>
      <w:r>
        <w:t xml:space="preserve">Restricciones de capital y alternativas de asociación</w:t>
      </w:r>
    </w:p>
    <w:p>
      <w:pPr>
        <w:numPr>
          <w:ilvl w:val="0"/>
          <w:numId w:val="1005"/>
        </w:numPr>
      </w:pPr>
      <w:r>
        <w:t xml:space="preserve">Cinco exhibits cuantitativos y diez preguntas de discusión</w:t>
      </w:r>
    </w:p>
    <w:p>
      <w:pPr>
        <w:pStyle w:val="FirstParagraph"/>
      </w:pPr>
      <w:r>
        <w:t xml:space="preserve">El escenario está motivado por la guía de la FDA de que los estudios de Fase III a menudo involucran aproximadamente de 300 a 3,000 participantes, evidencia publicada de que los ensayos completados pueden experimentar retrasos medianos de aproximadamente 12 meses, e investigación que estima que solo una minoría de los compuestos que entran en ensayos humanos eventualmente obtienen aprobación.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2026-09-11T15:14:13Z</dcterms:created>
  <dcterms:modified xsi:type="dcterms:W3CDTF">2026-09-11T15:14:13Z</dcterms:modified>
</cp:coreProperties>
</file>

<file path=docProps/custom.xml><?xml version="1.0" encoding="utf-8"?>
<Properties xmlns="http://schemas.openxmlformats.org/officeDocument/2006/custom-properties" xmlns:vt="http://schemas.openxmlformats.org/officeDocument/2006/docPropsVTypes"/>
</file>