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Dinámica de Despacho:</w:t>
      </w:r>
    </w:p>
    <w:p>
      <w:pPr>
        <w:pStyle w:val="BodyText"/>
      </w:pPr>
      <w:r>
        <w:t xml:space="preserve">La Brecha en las Recomendaciones</w:t>
      </w:r>
    </w:p>
    <w:p>
      <w:pPr>
        <w:pStyle w:val="BodyText"/>
      </w:pPr>
      <w:r>
        <w:t xml:space="preserve">Una empresa de automatización de decisiones enfrenta la última milla de la implementación</w:t>
      </w:r>
    </w:p>
    <w:p>
      <w:pPr>
        <w:pStyle w:val="BodyText"/>
      </w:pPr>
      <w:r>
        <w:rPr>
          <w:b/>
          <w:bCs/>
        </w:rPr>
        <w:t xml:space="preserve">La Revisión del Lunes</w:t>
      </w:r>
    </w:p>
    <w:p>
      <w:pPr>
        <w:pStyle w:val="BodyText"/>
      </w:pPr>
      <w:r>
        <w:t xml:space="preserve">A las 7:15 de un lunes por la mañana, Maya Chen, directora de clientes de Dispatch Dynamics, estudiaba un panel que parecía contradecir la narrativa de ventas de la empresa. La empresa de software había completado doce implementaciones de su plataforma de despacho de camiones de carga completa. Varios clientes reportaron ganancias significativas en ingresos por tractocamión, millas cargadas, productividad de planificación y consistencia de la red. Sin embargo, en todo el portafolio, solo el 43 por ciento de las recomendaciones de conductores elegibles se seguían sin modificación material.</w:t>
      </w:r>
    </w:p>
    <w:p>
      <w:pPr>
        <w:pStyle w:val="BodyText"/>
      </w:pPr>
      <w:r>
        <w:t xml:space="preserve">La cifra era preocupante porque el sistema no se limitaba a mostrar pronósticos. Cada pocos minutos evaluaba a los conductores disponibles, las cargas comprometidas, el flete anticipado, los horarios de los conductores, los requisitos de tiempo en casa, las restricciones de equipo y la incertidumbre de la red. Luego recomendaba qué debía hacer cada conductor a continuación. El equipo de producto creía que el uso más amplio de esas recomendaciones era esencial: las decisiones locales que parecían sensatas de manera aislada podían reducir las opciones futuras en otras partes de la red.</w:t>
      </w:r>
    </w:p>
    <w:p>
      <w:pPr>
        <w:pStyle w:val="BodyText"/>
      </w:pPr>
      <w:r>
        <w:t xml:space="preserve">Pero la métrica de adopción ocultaba tanto como revelaba. Un cliente siguió el 82 por ciento de las recomendaciones y había mejorado los ingresos por tractocamión. Otro siguió solo el 31 por ciento, pero insistía en que los despachadores estaban protegiendo compromisos de servicio que el software no comprendía. Un tercero parecía tener alta adopción, pero una auditoría encontró que los planificadores estaban modificando los datos de conductores y cargas antes de que se generaran las recomendaciones, dirigiendo eficazmente la respuesta mientras preservaban la apariencia de cumplimiento.</w:t>
      </w:r>
    </w:p>
    <w:p>
      <w:pPr>
        <w:pStyle w:val="BodyText"/>
      </w:pPr>
      <w:r>
        <w:t xml:space="preserve">Se le había pedido a Chen que propusiera una respuesta a nivel de toda la empresa en la reunión trimestral de operaciones en tres semanas. Dispatch Dynamics podía invertir en mejores explicaciones del producto, un apoyo de implementación más intensivo, investigación formal sobre el comportamiento del usuario, diagnósticos de datos mejorados, o el rediseño del flujo de trabajo de despacho. También podía concluir que la baja adherencia era en ocasiones racional y que el producto necesitaba aprender más de las anulaciones. La evidencia no apuntaba claramente en una dirección.</w:t>
      </w:r>
    </w:p>
    <w:bookmarkStart w:id="9" w:name="el-producto-y-su-promesa"/>
    <w:p>
      <w:pPr>
        <w:pStyle w:val="Heading1"/>
      </w:pPr>
      <w:r>
        <w:t xml:space="preserve">El Producto y Su Promesa</w:t>
      </w:r>
    </w:p>
    <w:p>
      <w:pPr>
        <w:pStyle w:val="FirstParagraph"/>
      </w:pPr>
      <w:r>
        <w:t xml:space="preserve">Dispatch Dynamics vendía software de automatización de decisiones a transportistas de carga completa de tamaño mediano y grande. La plataforma generaba recomendaciones de aceptación de carga y despacho de conductores considerando las consecuencias posteriores. Su afirmación central era que un planificador no debía evaluar un emparejamiento conductor-carga solo por sus ingresos inmediatos o sus millas vacías. El emparejamiento también cambiaba dónde quedaría posicionado el conductor, qué cargas futuras seguirían siendo factibles, si los compromisos de tiempo en casa podrían cumplirse, y cómo se distribuiría la capacidad escasa en toda la red.</w:t>
      </w:r>
    </w:p>
    <w:p>
      <w:pPr>
        <w:pStyle w:val="BodyText"/>
      </w:pPr>
      <w:r>
        <w:t xml:space="preserve">Las implementaciones exitosas habían cambiado el papel de los despachadores. En lugar de buscar manualmente entre cada asignación factible, los usuarios monitoreaban las recomendaciones, gestionaban excepciones, se comunicaban con conductores y clientes, y corregían información faltante. En los sitios de clientes más sólidos, la dirección describió la transición como un cambio de modelo operativo más que como una instalación de software. En los sitios más débiles, el nuevo sistema se había insertado junto a hojas de cálculo existentes, hilos de mensajes y reglas informales.</w:t>
      </w:r>
    </w:p>
    <w:p>
      <w:pPr>
        <w:pStyle w:val="BodyText"/>
      </w:pPr>
      <w:r>
        <w:t xml:space="preserve">Anexo 1. Resultados de implementación seleccionados después de seis meses</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t xml:space="preserve">Cliente</w:t>
            </w:r>
          </w:p>
        </w:tc>
        <w:tc>
          <w:tcPr/>
          <w:p>
            <w:pPr>
              <w:pStyle w:val="Compact"/>
              <w:jc w:val="center"/>
            </w:pPr>
            <w:r>
              <w:t xml:space="preserve">Flota</w:t>
            </w:r>
          </w:p>
        </w:tc>
        <w:tc>
          <w:tcPr/>
          <w:p>
            <w:pPr>
              <w:pStyle w:val="Compact"/>
              <w:jc w:val="right"/>
            </w:pPr>
            <w:r>
              <w:t xml:space="preserve">Adherencia a recomendacion</w:t>
            </w:r>
          </w:p>
        </w:tc>
        <w:tc>
          <w:tcPr/>
          <w:p>
            <w:pPr>
              <w:pStyle w:val="Compact"/>
            </w:pPr>
            <w:r>
              <w:t xml:space="preserve">es Cambio en ingresos/t</w:t>
            </w:r>
          </w:p>
        </w:tc>
        <w:tc>
          <w:tcPr/>
          <w:p>
            <w:pPr>
              <w:pStyle w:val="Compact"/>
            </w:pPr>
            <w:r>
              <w:t xml:space="preserve">ractocamión Cambio</w:t>
            </w:r>
          </w:p>
        </w:tc>
        <w:tc>
          <w:tcPr/>
          <w:p>
            <w:pPr>
              <w:pStyle w:val="Compact"/>
              <w:jc w:val="right"/>
            </w:pPr>
            <w:r>
              <w:t xml:space="preserve">en millas vacías Productividad del planificador</w:t>
            </w:r>
          </w:p>
        </w:tc>
      </w:tr>
      <w:tr>
        <w:tc>
          <w:tcPr/>
          <w:p>
            <w:pPr>
              <w:pStyle w:val="Compact"/>
              <w:jc w:val="left"/>
            </w:pPr>
            <w:r>
              <w:t xml:space="preserve">Northstar Freight</w:t>
            </w:r>
          </w:p>
        </w:tc>
        <w:tc>
          <w:tcPr/>
          <w:p>
            <w:pPr>
              <w:pStyle w:val="Compact"/>
              <w:jc w:val="center"/>
            </w:pPr>
            <w:r>
              <w:t xml:space="preserve">420</w:t>
            </w:r>
          </w:p>
        </w:tc>
        <w:tc>
          <w:tcPr/>
          <w:p>
            <w:pPr>
              <w:pStyle w:val="Compact"/>
              <w:jc w:val="right"/>
            </w:pPr>
            <w:r>
              <w:t xml:space="preserve">82%</w:t>
            </w:r>
          </w:p>
        </w:tc>
        <w:tc>
          <w:tcPr/>
          <w:p>
            <w:pPr>
              <w:pStyle w:val="Compact"/>
            </w:pPr>
            <w:r>
              <w:t xml:space="preserve">+8.1%</w:t>
            </w:r>
          </w:p>
        </w:tc>
        <w:tc>
          <w:tcPr/>
          <w:p>
            <w:pPr>
              <w:pStyle w:val="Compact"/>
            </w:pPr>
            <w:r>
              <w:t xml:space="preserve">-7.4%</w:t>
            </w:r>
          </w:p>
        </w:tc>
        <w:tc>
          <w:tcPr/>
          <w:p>
            <w:pPr>
              <w:pStyle w:val="Compact"/>
              <w:jc w:val="right"/>
            </w:pPr>
            <w:r>
              <w:t xml:space="preserve">+32%</w:t>
            </w:r>
          </w:p>
        </w:tc>
      </w:tr>
      <w:tr>
        <w:tc>
          <w:tcPr/>
          <w:p>
            <w:pPr>
              <w:pStyle w:val="Compact"/>
              <w:jc w:val="left"/>
            </w:pPr>
            <w:r>
              <w:t xml:space="preserve">Redwood Carriers</w:t>
            </w:r>
          </w:p>
        </w:tc>
        <w:tc>
          <w:tcPr/>
          <w:p>
            <w:pPr>
              <w:pStyle w:val="Compact"/>
              <w:jc w:val="center"/>
            </w:pPr>
            <w:r>
              <w:t xml:space="preserve">690</w:t>
            </w:r>
          </w:p>
        </w:tc>
        <w:tc>
          <w:tcPr/>
          <w:p>
            <w:pPr>
              <w:pStyle w:val="Compact"/>
              <w:jc w:val="right"/>
            </w:pPr>
            <w:r>
              <w:t xml:space="preserve">61%</w:t>
            </w:r>
          </w:p>
        </w:tc>
        <w:tc>
          <w:tcPr/>
          <w:p>
            <w:pPr>
              <w:pStyle w:val="Compact"/>
            </w:pPr>
            <w:r>
              <w:t xml:space="preserve">+3.6%</w:t>
            </w:r>
          </w:p>
        </w:tc>
        <w:tc>
          <w:tcPr/>
          <w:p>
            <w:pPr>
              <w:pStyle w:val="Compact"/>
            </w:pPr>
            <w:r>
              <w:t xml:space="preserve">-2.1%</w:t>
            </w:r>
          </w:p>
        </w:tc>
        <w:tc>
          <w:tcPr/>
          <w:p>
            <w:pPr>
              <w:pStyle w:val="Compact"/>
              <w:jc w:val="right"/>
            </w:pPr>
            <w:r>
              <w:t xml:space="preserve">+18%</w:t>
            </w:r>
          </w:p>
        </w:tc>
      </w:tr>
      <w:tr>
        <w:tc>
          <w:tcPr/>
          <w:p>
            <w:pPr>
              <w:pStyle w:val="Compact"/>
              <w:jc w:val="left"/>
            </w:pPr>
            <w:r>
              <w:t xml:space="preserve">Crescent Transport</w:t>
            </w:r>
          </w:p>
        </w:tc>
        <w:tc>
          <w:tcPr/>
          <w:p>
            <w:pPr>
              <w:pStyle w:val="Compact"/>
              <w:jc w:val="center"/>
            </w:pPr>
            <w:r>
              <w:t xml:space="preserve">310</w:t>
            </w:r>
          </w:p>
        </w:tc>
        <w:tc>
          <w:tcPr/>
          <w:p>
            <w:pPr>
              <w:pStyle w:val="Compact"/>
              <w:jc w:val="right"/>
            </w:pPr>
            <w:r>
              <w:t xml:space="preserve">47%</w:t>
            </w:r>
          </w:p>
        </w:tc>
        <w:tc>
          <w:tcPr/>
          <w:p>
            <w:pPr>
              <w:pStyle w:val="Compact"/>
            </w:pPr>
            <w:r>
              <w:t xml:space="preserve">+1.2%</w:t>
            </w:r>
          </w:p>
        </w:tc>
        <w:tc>
          <w:tcPr/>
          <w:p>
            <w:pPr>
              <w:pStyle w:val="Compact"/>
            </w:pPr>
            <w:r>
              <w:t xml:space="preserve">+0.8%</w:t>
            </w:r>
          </w:p>
        </w:tc>
        <w:tc>
          <w:tcPr/>
          <w:p>
            <w:pPr>
              <w:pStyle w:val="Compact"/>
              <w:jc w:val="right"/>
            </w:pPr>
            <w:r>
              <w:t xml:space="preserve">+11%</w:t>
            </w:r>
          </w:p>
        </w:tc>
      </w:tr>
      <w:tr>
        <w:tc>
          <w:tcPr/>
          <w:p>
            <w:pPr>
              <w:pStyle w:val="Compact"/>
              <w:jc w:val="left"/>
            </w:pPr>
            <w:r>
              <w:t xml:space="preserve">Pioneer Logistics</w:t>
            </w:r>
          </w:p>
        </w:tc>
        <w:tc>
          <w:tcPr/>
          <w:p>
            <w:pPr>
              <w:pStyle w:val="Compact"/>
              <w:jc w:val="center"/>
            </w:pPr>
            <w:r>
              <w:t xml:space="preserve">540</w:t>
            </w:r>
          </w:p>
        </w:tc>
        <w:tc>
          <w:tcPr/>
          <w:p>
            <w:pPr>
              <w:pStyle w:val="Compact"/>
              <w:jc w:val="right"/>
            </w:pPr>
            <w:r>
              <w:t xml:space="preserve">31%</w:t>
            </w:r>
          </w:p>
        </w:tc>
        <w:tc>
          <w:tcPr/>
          <w:p>
            <w:pPr>
              <w:pStyle w:val="Compact"/>
            </w:pPr>
            <w:r>
              <w:t xml:space="preserve">-0.4%</w:t>
            </w:r>
          </w:p>
        </w:tc>
        <w:tc>
          <w:tcPr/>
          <w:p>
            <w:pPr>
              <w:pStyle w:val="Compact"/>
            </w:pPr>
            <w:r>
              <w:t xml:space="preserve">-1.7%</w:t>
            </w:r>
          </w:p>
        </w:tc>
        <w:tc>
          <w:tcPr/>
          <w:p>
            <w:pPr>
              <w:pStyle w:val="Compact"/>
              <w:jc w:val="right"/>
            </w:pPr>
            <w:r>
              <w:t xml:space="preserve">+6%</w:t>
            </w:r>
          </w:p>
        </w:tc>
      </w:tr>
      <w:tr>
        <w:tc>
          <w:tcPr/>
          <w:p>
            <w:pPr>
              <w:pStyle w:val="Compact"/>
              <w:jc w:val="left"/>
            </w:pPr>
            <w:r>
              <w:t xml:space="preserve">Summit Haulage</w:t>
            </w:r>
          </w:p>
        </w:tc>
        <w:tc>
          <w:tcPr/>
          <w:p>
            <w:pPr>
              <w:pStyle w:val="Compact"/>
              <w:jc w:val="center"/>
            </w:pPr>
            <w:r>
              <w:t xml:space="preserve">225</w:t>
            </w:r>
          </w:p>
        </w:tc>
        <w:tc>
          <w:tcPr/>
          <w:p>
            <w:pPr>
              <w:pStyle w:val="Compact"/>
              <w:jc w:val="right"/>
            </w:pPr>
            <w:r>
              <w:t xml:space="preserve">68%</w:t>
            </w:r>
          </w:p>
        </w:tc>
        <w:tc>
          <w:tcPr/>
          <w:p>
            <w:pPr>
              <w:pStyle w:val="Compact"/>
            </w:pPr>
            <w:r>
              <w:t xml:space="preserve">+5.0%</w:t>
            </w:r>
          </w:p>
        </w:tc>
        <w:tc>
          <w:tcPr/>
          <w:p>
            <w:pPr>
              <w:pStyle w:val="Compact"/>
            </w:pPr>
            <w:r>
              <w:t xml:space="preserve">-5.9%</w:t>
            </w:r>
          </w:p>
        </w:tc>
        <w:tc>
          <w:tcPr/>
          <w:p>
            <w:pPr>
              <w:pStyle w:val="Compact"/>
              <w:jc w:val="right"/>
            </w:pPr>
            <w:r>
              <w:t xml:space="preserve">+24%</w:t>
            </w:r>
          </w:p>
        </w:tc>
      </w:tr>
      <w:tr>
        <w:tc>
          <w:tcPr/>
          <w:p>
            <w:pPr>
              <w:pStyle w:val="Compact"/>
              <w:jc w:val="left"/>
            </w:pPr>
            <w:r>
              <w:t xml:space="preserve">Mediana del portafoli</w:t>
            </w:r>
          </w:p>
        </w:tc>
        <w:tc>
          <w:tcPr/>
          <w:p>
            <w:pPr>
              <w:pStyle w:val="Compact"/>
              <w:jc w:val="center"/>
            </w:pPr>
            <w:r>
              <w:t xml:space="preserve">o —</w:t>
            </w:r>
          </w:p>
        </w:tc>
        <w:tc>
          <w:tcPr/>
          <w:p>
            <w:pPr>
              <w:pStyle w:val="Compact"/>
              <w:jc w:val="right"/>
            </w:pPr>
            <w:r>
              <w:t xml:space="preserve">52%</w:t>
            </w:r>
          </w:p>
        </w:tc>
        <w:tc>
          <w:tcPr/>
          <w:p>
            <w:pPr>
              <w:pStyle w:val="Compact"/>
            </w:pPr>
            <w:r>
              <w:t xml:space="preserve">+2.9%</w:t>
            </w:r>
          </w:p>
        </w:tc>
        <w:tc>
          <w:tcPr/>
          <w:p>
            <w:pPr>
              <w:pStyle w:val="Compact"/>
            </w:pPr>
            <w:r>
              <w:t xml:space="preserve">-1.9%</w:t>
            </w:r>
          </w:p>
        </w:tc>
        <w:tc>
          <w:tcPr/>
          <w:p>
            <w:pPr>
              <w:pStyle w:val="Compact"/>
              <w:jc w:val="right"/>
            </w:pPr>
            <w:r>
              <w:t xml:space="preserve">+17%</w:t>
            </w:r>
          </w:p>
        </w:tc>
      </w:tr>
    </w:tbl>
    <w:p>
      <w:pPr>
        <w:pStyle w:val="BodyText"/>
      </w:pPr>
      <w:r>
        <w:t xml:space="preserve">Nota: Todas las empresas y cifras son ficticias.</w:t>
      </w:r>
      <w:r>
        <w:t xml:space="preserve"> </w:t>
      </w:r>
      <w:r>
        <w:t xml:space="preserve">“Adherencia”</w:t>
      </w:r>
      <w:r>
        <w:t xml:space="preserve"> </w:t>
      </w:r>
      <w:r>
        <w:t xml:space="preserve">significa que la acción recomendada de conductor-carga se ejecutó sin un cambio material dentro de la ventana de decisión. Los cambios de desempeño se miden contra la línea base previa a la implementación de cada cliente y no son experimentos controlados.</w:t>
      </w:r>
    </w:p>
    <w:bookmarkEnd w:id="9"/>
    <w:bookmarkStart w:id="10" w:name="qué-era-una-anulación"/>
    <w:p>
      <w:pPr>
        <w:pStyle w:val="Heading1"/>
      </w:pPr>
      <w:r>
        <w:t xml:space="preserve">¿Qué Era una Anulación?</w:t>
      </w:r>
    </w:p>
    <w:p>
      <w:pPr>
        <w:pStyle w:val="FirstParagraph"/>
      </w:pPr>
      <w:r>
        <w:t xml:space="preserve">El equipo de éxito del cliente inicialmente había tratado cada anulación como evidencia de que el usuario había rechazado la recomendación. Los despachadores objetaron. Argumentaron que la etiqueta combinaba al menos cuatro situaciones diferentes: la recomendación era inviable porque los datos eran incorrectos; la recomendación era factible pero no reflejaba un compromiso con el cliente o el conductor; el usuario prefería una acción diferente basada en la experiencia; o un evento operativo cambió antes de la ejecución.</w:t>
      </w:r>
    </w:p>
    <w:p>
      <w:pPr>
        <w:pStyle w:val="BodyText"/>
      </w:pPr>
      <w:r>
        <w:t xml:space="preserve">La plataforma capturaba si se seguía una recomendación, pero no capturaba de manera consistente por qué se cambiaba. Las notas de texto libre eran opcionales, y la terminología variaba según el cliente. En una auditoría de dos semanas, los analistas reconstruyeron 1,284 anulaciones entrevistando a planificadores y revisando mensajes, telemática e historiales de pedidos. Los resultados debilitaron la interpretación simple de que los usuarios simplemente carecían de confianza.</w:t>
      </w:r>
    </w:p>
    <w:p>
      <w:pPr>
        <w:pStyle w:val="BodyText"/>
      </w:pPr>
      <w:r>
        <w:t xml:space="preserve">Anexo 2. Razones reconstruidas para 1,284 anulaciones de recomendaciones</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t xml:space="preserve">Razón asignada tras la revisión</w:t>
            </w:r>
          </w:p>
        </w:tc>
        <w:tc>
          <w:tcPr/>
          <w:p>
            <w:pPr>
              <w:pStyle w:val="Compact"/>
              <w:jc w:val="center"/>
            </w:pPr>
            <w:r>
              <w:t xml:space="preserve">Proporción</w:t>
            </w:r>
          </w:p>
        </w:tc>
        <w:tc>
          <w:tcPr/>
          <w:p>
            <w:pPr>
              <w:pStyle w:val="Compact"/>
              <w:jc w:val="center"/>
            </w:pPr>
            <w:r>
              <w:t xml:space="preserve">Problema ilustrativo</w:t>
            </w:r>
          </w:p>
        </w:tc>
      </w:tr>
      <w:tr>
        <w:tc>
          <w:tcPr/>
          <w:p>
            <w:pPr>
              <w:pStyle w:val="Compact"/>
              <w:jc w:val="left"/>
            </w:pPr>
            <w:r>
              <w:t xml:space="preserve">Datos operativos faltantes u obsoletos</w:t>
            </w:r>
          </w:p>
        </w:tc>
        <w:tc>
          <w:tcPr/>
          <w:p>
            <w:pPr>
              <w:pStyle w:val="Compact"/>
              <w:jc w:val="center"/>
            </w:pPr>
            <w:r>
              <w:t xml:space="preserve">24%</w:t>
            </w:r>
          </w:p>
        </w:tc>
        <w:tc>
          <w:tcPr/>
          <w:p>
            <w:pPr>
              <w:pStyle w:val="Compact"/>
              <w:jc w:val="center"/>
            </w:pPr>
            <w:r>
              <w:t xml:space="preserve">Ubicación del conductor, horas, equipo, cita o estado de la carga</w:t>
            </w:r>
          </w:p>
        </w:tc>
      </w:tr>
      <w:tr>
        <w:tc>
          <w:tcPr/>
          <w:p>
            <w:pPr>
              <w:pStyle w:val="Compact"/>
              <w:jc w:val="left"/>
            </w:pPr>
            <w:r>
              <w:t xml:space="preserve">Compromiso o preferencia no modelado</w:t>
            </w:r>
          </w:p>
        </w:tc>
        <w:tc>
          <w:tcPr/>
          <w:p>
            <w:pPr>
              <w:pStyle w:val="Compact"/>
              <w:jc w:val="center"/>
            </w:pPr>
            <w:r>
              <w:t xml:space="preserve">21%</w:t>
            </w:r>
          </w:p>
        </w:tc>
        <w:tc>
          <w:tcPr/>
          <w:p>
            <w:pPr>
              <w:pStyle w:val="Compact"/>
              <w:jc w:val="center"/>
            </w:pPr>
            <w:r>
              <w:t xml:space="preserve">Tiempo en casa, promesa al cliente, relación con el conductor, visita al taller</w:t>
            </w:r>
          </w:p>
        </w:tc>
      </w:tr>
      <w:tr>
        <w:tc>
          <w:tcPr/>
          <w:p>
            <w:pPr>
              <w:pStyle w:val="Compact"/>
              <w:jc w:val="left"/>
            </w:pPr>
            <w:r>
              <w:t xml:space="preserve">Recomendación ya no vigente 16%</w:t>
            </w:r>
          </w:p>
        </w:tc>
        <w:tc>
          <w:tcPr/>
          <w:p>
            <w:pPr>
              <w:pStyle w:val="Compact"/>
              <w:jc w:val="center"/>
            </w:pPr>
            <w:r>
              <w:t xml:space="preserve">Reco</w:t>
            </w:r>
          </w:p>
        </w:tc>
        <w:tc>
          <w:tcPr/>
          <w:p>
            <w:pPr>
              <w:pStyle w:val="Compact"/>
              <w:jc w:val="center"/>
            </w:pPr>
            <w:r>
              <w:t xml:space="preserve">gida tardía, cancelación, avería, clima o nueva carga prioritaria</w:t>
            </w:r>
          </w:p>
        </w:tc>
      </w:tr>
      <w:tr>
        <w:tc>
          <w:tcPr/>
          <w:p>
            <w:pPr>
              <w:pStyle w:val="Compact"/>
              <w:jc w:val="left"/>
            </w:pPr>
            <w:r>
              <w:t xml:space="preserve">El despachador esperaba un mejor resultado de r</w:t>
            </w:r>
          </w:p>
        </w:tc>
        <w:tc>
          <w:tcPr/>
          <w:p>
            <w:pPr>
              <w:pStyle w:val="Compact"/>
              <w:jc w:val="center"/>
            </w:pPr>
            <w:r>
              <w:t xml:space="preserve">ed 15%</w:t>
            </w:r>
          </w:p>
        </w:tc>
        <w:tc>
          <w:tcPr/>
          <w:p>
            <w:pPr>
              <w:pStyle w:val="Compact"/>
              <w:jc w:val="center"/>
            </w:pPr>
            <w:r>
              <w:t xml:space="preserve">Juicio de posicionamiento o flete anticipado no visible en el sistema</w:t>
            </w:r>
          </w:p>
        </w:tc>
      </w:tr>
      <w:tr>
        <w:tc>
          <w:tcPr/>
          <w:p>
            <w:pPr>
              <w:pStyle w:val="Compact"/>
              <w:jc w:val="left"/>
            </w:pPr>
            <w:r>
              <w:t xml:space="preserve">Conflicto de KPI local o incentivo</w:t>
            </w:r>
          </w:p>
        </w:tc>
        <w:tc>
          <w:tcPr/>
          <w:p>
            <w:pPr>
              <w:pStyle w:val="Compact"/>
              <w:jc w:val="center"/>
            </w:pPr>
            <w:r>
              <w:t xml:space="preserve">11%</w:t>
            </w:r>
          </w:p>
        </w:tc>
        <w:tc>
          <w:tcPr/>
          <w:p>
            <w:pPr>
              <w:pStyle w:val="Compact"/>
              <w:jc w:val="center"/>
            </w:pPr>
            <w:r>
              <w:t xml:space="preserve">Meta de millas vacías, tarjeta de puntuación del cliente, propiedad de la flota, regla de bonificación</w:t>
            </w:r>
          </w:p>
        </w:tc>
      </w:tr>
      <w:tr>
        <w:tc>
          <w:tcPr/>
          <w:p>
            <w:pPr>
              <w:pStyle w:val="Compact"/>
              <w:jc w:val="left"/>
            </w:pPr>
            <w:r>
              <w:t xml:space="preserve">Fricción de flujo de trabajo o interfaz</w:t>
            </w:r>
          </w:p>
        </w:tc>
        <w:tc>
          <w:tcPr/>
          <w:p>
            <w:pPr>
              <w:pStyle w:val="Compact"/>
              <w:jc w:val="center"/>
            </w:pPr>
            <w:r>
              <w:t xml:space="preserve">8%</w:t>
            </w:r>
          </w:p>
        </w:tc>
        <w:tc>
          <w:tcPr/>
          <w:p>
            <w:pPr>
              <w:pStyle w:val="Compact"/>
              <w:jc w:val="center"/>
            </w:pPr>
            <w:r>
              <w:t xml:space="preserve">La recomendación llegó tarde o requirió entrada duplicada</w:t>
            </w:r>
          </w:p>
        </w:tc>
      </w:tr>
      <w:tr>
        <w:tc>
          <w:tcPr/>
          <w:p>
            <w:pPr>
              <w:pStyle w:val="Compact"/>
              <w:jc w:val="left"/>
            </w:pPr>
            <w:r>
              <w:t xml:space="preserve">No se identificó razón defendible 5%</w:t>
            </w:r>
          </w:p>
        </w:tc>
        <w:tc>
          <w:tcPr/>
          <w:p>
            <w:pPr>
              <w:pStyle w:val="Compact"/>
              <w:jc w:val="center"/>
            </w:pPr>
            <w:r>
              <w:t xml:space="preserve">Hábito, inc</w:t>
            </w:r>
          </w:p>
        </w:tc>
        <w:tc>
          <w:tcPr/>
          <w:p>
            <w:pPr>
              <w:pStyle w:val="Compact"/>
              <w:jc w:val="center"/>
            </w:pPr>
            <w:r>
              <w:t xml:space="preserve">omodidad o preferencia no documentada</w:t>
            </w:r>
          </w:p>
        </w:tc>
      </w:tr>
    </w:tbl>
    <w:bookmarkEnd w:id="10"/>
    <w:bookmarkStart w:id="11" w:name="cinco-explicaciones-en-competencia"/>
    <w:p>
      <w:pPr>
        <w:pStyle w:val="Heading1"/>
      </w:pPr>
      <w:r>
        <w:t xml:space="preserve">Cinco Explicaciones en Competencia</w:t>
      </w:r>
    </w:p>
    <w:p>
      <w:pPr>
        <w:pStyle w:val="FirstParagraph"/>
      </w:pPr>
      <w:r>
        <w:rPr>
          <w:b/>
          <w:bCs/>
        </w:rPr>
        <w:t xml:space="preserve">El problema de explicación del producto.</w:t>
      </w:r>
      <w:r>
        <w:t xml:space="preserve"> </w:t>
      </w:r>
      <w:r>
        <w:t xml:space="preserve">Los despachadores podían ver la acción recomendada pero no siempre las disyuntivas detrás de ella. Algunos querían saber qué cargas futuras, restricciones de conductores o efectos de red hacían atractiva la recomendación. Los líderes de producto propusieron una función de explicación en lenguaje natural, pero los investigadores advirtieron que una explicación persuasiva podía aumentar el cumplimiento incluso cuando los datos subyacentes fueran incorrectos.</w:t>
      </w:r>
    </w:p>
    <w:p>
      <w:pPr>
        <w:pStyle w:val="BodyText"/>
      </w:pPr>
      <w:r>
        <w:rPr>
          <w:b/>
          <w:bCs/>
        </w:rPr>
        <w:t xml:space="preserve">El problema de preparación de datos.</w:t>
      </w:r>
      <w:r>
        <w:t xml:space="preserve"> </w:t>
      </w:r>
      <w:r>
        <w:t xml:space="preserve">El motor de optimización dependía de información oportuna y precisa. Algunos clientes tenían procesos débiles para actualizar la disponibilidad del conductor, el estado de la carga, la flexibilidad de las citas o los compromisos de tiempo en casa. Los ejecutivos de los clientes a menudo describían esto como errores del software, mientras los despachadores corregían silenciosamente el registro mediante decisiones manuales.</w:t>
      </w:r>
    </w:p>
    <w:p>
      <w:pPr>
        <w:pStyle w:val="BodyText"/>
      </w:pPr>
      <w:r>
        <w:rPr>
          <w:b/>
          <w:bCs/>
        </w:rPr>
        <w:t xml:space="preserve">El problema del modelo operativo.</w:t>
      </w:r>
      <w:r>
        <w:t xml:space="preserve"> </w:t>
      </w:r>
      <w:r>
        <w:t xml:space="preserve">En varios transportistas, la autoridad de despacho seguía dividida entre planificadores regionales, gerentes de conductores, representantes de servicio al cliente y equipos de corretaje. El software optimizaba en toda la red, pero los empleados eran evaluados según el servicio local, las millas vacías o el desempeño de su flota asignada. Una recomendación podía ser óptima para la empresa y aun así resultar costosa para la persona a quien se le pedía ejecutarla.</w:t>
      </w:r>
    </w:p>
    <w:p>
      <w:pPr>
        <w:pStyle w:val="BodyText"/>
      </w:pPr>
      <w:r>
        <w:rPr>
          <w:b/>
          <w:bCs/>
        </w:rPr>
        <w:t xml:space="preserve">El problema de capacidad e identidad.</w:t>
      </w:r>
      <w:r>
        <w:t xml:space="preserve"> </w:t>
      </w:r>
      <w:r>
        <w:t xml:space="preserve">Los despachadores experimentados habían construido carreras basadas en el juicio, las relaciones y la resolución rápida de problemas. Algunos interpretaron la automatización como un desafío a su experiencia o seguridad laboral. Otros dieron la bienvenida al alivio de la búsqueda repetitiva pero temían ser responsabilizados por una recomendación que no habían creado.</w:t>
      </w:r>
    </w:p>
    <w:p>
      <w:pPr>
        <w:pStyle w:val="BodyText"/>
      </w:pPr>
      <w:r>
        <w:rPr>
          <w:b/>
          <w:bCs/>
        </w:rPr>
        <w:t xml:space="preserve">El problema de aprendizaje del algoritmo.</w:t>
      </w:r>
      <w:r>
        <w:t xml:space="preserve"> </w:t>
      </w:r>
      <w:r>
        <w:t xml:space="preserve">El equipo de producto reconoció que algunas anulaciones contenían información que el modelo no poseía. Tratar cada excepción como incumplimiento podía suprimir un aprendizaje valioso. Sin embargo, permitir una amplia discreción sin retroalimentación estructurada dificultaba distinguir las excepciones legítimas del rechazo habitual.</w:t>
      </w:r>
    </w:p>
    <w:bookmarkEnd w:id="11"/>
    <w:bookmarkStart w:id="12" w:name="el-contraste-entre-clientes"/>
    <w:p>
      <w:pPr>
        <w:pStyle w:val="Heading1"/>
      </w:pPr>
      <w:r>
        <w:t xml:space="preserve">El Contraste entre Clientes</w:t>
      </w:r>
    </w:p>
    <w:p>
      <w:pPr>
        <w:pStyle w:val="FirstParagraph"/>
      </w:pPr>
      <w:r>
        <w:t xml:space="preserve">Northstar Freight había alcanzado una alta adherencia rápidamente. Su presidente anunció que la plataforma se convertiría en el proceso de decisión por defecto, aseguró a los empleados que los roles cambiarían en lugar de desaparecer, y trasladó a los planificadores a un escritorio operativo compartido. Durante el primer mes, el personal de Dispatch Dynamics se unió a sesiones de revisión diarias. Cada anulación requería uno de seis códigos de razón, y la dirección cambió las tarjetas de puntuación para que los planificadores no fueran penalizados por movimientos vacíos a nivel de red que apoyaran un mejor plan a futuro.</w:t>
      </w:r>
    </w:p>
    <w:p>
      <w:pPr>
        <w:pStyle w:val="BodyText"/>
      </w:pPr>
      <w:r>
        <w:t xml:space="preserve">Pioneer Logistics siguió un camino diferente. El software se agregó al sistema de gestión de transporte existente, pero los grupos de despacho regionales conservaron sus propios métodos y objetivos de desempeño. La capacitación se centró en la navegación de la interfaz. Los supervisores les dijeron a los usuarios que aplicaran su juicio cada vez que una recomendación</w:t>
      </w:r>
      <w:r>
        <w:t xml:space="preserve"> </w:t>
      </w:r>
      <w:r>
        <w:t xml:space="preserve">“no se viera bien”</w:t>
      </w:r>
      <w:r>
        <w:t xml:space="preserve">. Los despachadores continuaron confiando en hojas de cálculo privadas y mensajes de texto de los conductores. El director de operaciones de Pioneer argumentó que estas prácticas preservaban el servicio al cliente; el equipo de cuenta de Dispatch Dynamics creía que impedían que la plataforma recibiera alguna vez una prueba justa.</w:t>
      </w:r>
    </w:p>
    <w:p>
      <w:pPr>
        <w:pStyle w:val="BodyText"/>
      </w:pPr>
      <w:r>
        <w:t xml:space="preserve">El contraste era sugerente pero no concluyente. Northstar tenía una red más densa, datos más limpios y una cultura más centralizada antes de la implementación. Pioneer atendía a clientes más irregulares y tenía más conductores con horarios individualizados. Una intervención de gestión del cambio que funcionara en Northstar podría fallar en Pioneer, o podría simplemente exponer antes las limitaciones del producto.</w:t>
      </w:r>
    </w:p>
    <w:bookmarkEnd w:id="12"/>
    <w:bookmarkStart w:id="13" w:name="una-agenda-de-aprendizaje-propuesta"/>
    <w:p>
      <w:pPr>
        <w:pStyle w:val="Heading1"/>
      </w:pPr>
      <w:r>
        <w:t xml:space="preserve">Una Agenda de Aprendizaje Propuesta</w:t>
      </w:r>
    </w:p>
    <w:p>
      <w:pPr>
        <w:pStyle w:val="FirstParagraph"/>
      </w:pPr>
      <w:r>
        <w:t xml:space="preserve">Chen pidió a cuatro equipos internos que propusieran cómo debía gastar Dispatch Dynamics un presupuesto de adopción recién aprobado de $1.2 millones. Las propuestas competían por el mismo personal de implementación y capacidad de ingeniería.</w:t>
      </w:r>
    </w:p>
    <w:p>
      <w:pPr>
        <w:pStyle w:val="BodyText"/>
      </w:pPr>
      <w:r>
        <w:t xml:space="preserve">Anexo 3. Iniciativas candidatas para los próximos doce meses</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t xml:space="preserve">Iniciativa</w:t>
            </w:r>
          </w:p>
        </w:tc>
        <w:tc>
          <w:tcPr/>
          <w:p>
            <w:pPr>
              <w:pStyle w:val="Compact"/>
              <w:jc w:val="left"/>
            </w:pPr>
            <w:r>
              <w:t xml:space="preserve">Costo</w:t>
            </w:r>
          </w:p>
        </w:tc>
        <w:tc>
          <w:tcPr/>
          <w:p>
            <w:pPr>
              <w:pStyle w:val="Compact"/>
              <w:jc w:val="center"/>
            </w:pPr>
            <w:r>
              <w:t xml:space="preserve">Pregunta principal</w:t>
            </w:r>
          </w:p>
        </w:tc>
        <w:tc>
          <w:tcPr/>
          <w:p>
            <w:pPr>
              <w:pStyle w:val="Compact"/>
              <w:jc w:val="center"/>
            </w:pPr>
            <w:r>
              <w:t xml:space="preserve">Limitación principal</w:t>
            </w:r>
          </w:p>
        </w:tc>
      </w:tr>
      <w:tr>
        <w:tc>
          <w:tcPr/>
          <w:p>
            <w:pPr>
              <w:pStyle w:val="Compact"/>
              <w:jc w:val="left"/>
            </w:pPr>
            <w:r>
              <w:t xml:space="preserve">Investigación de campo integrada en 3 clie</w:t>
            </w:r>
          </w:p>
        </w:tc>
        <w:tc>
          <w:tcPr/>
          <w:p>
            <w:pPr>
              <w:pStyle w:val="Compact"/>
              <w:jc w:val="left"/>
            </w:pPr>
            <w:r>
              <w:t xml:space="preserve">ntes $360,000</w:t>
            </w:r>
          </w:p>
        </w:tc>
        <w:tc>
          <w:tcPr/>
          <w:p>
            <w:pPr>
              <w:pStyle w:val="Compact"/>
              <w:jc w:val="center"/>
            </w:pPr>
            <w:r>
              <w:t xml:space="preserve">¿Qué sucede en el momento de la aceptación o la anulación?</w:t>
            </w:r>
          </w:p>
        </w:tc>
        <w:tc>
          <w:tcPr/>
          <w:p>
            <w:pPr>
              <w:pStyle w:val="Compact"/>
              <w:jc w:val="center"/>
            </w:pPr>
            <w:r>
              <w:t xml:space="preserve">Muestra pequeña; el comportamiento puede cambiar bajo observación</w:t>
            </w:r>
          </w:p>
        </w:tc>
      </w:tr>
      <w:tr>
        <w:tc>
          <w:tcPr/>
          <w:p>
            <w:pPr>
              <w:pStyle w:val="Compact"/>
              <w:jc w:val="left"/>
            </w:pPr>
            <w:r>
              <w:t xml:space="preserve">Razones de anulación estructuradas obligat</w:t>
            </w:r>
          </w:p>
        </w:tc>
        <w:tc>
          <w:tcPr/>
          <w:p>
            <w:pPr>
              <w:pStyle w:val="Compact"/>
              <w:jc w:val="left"/>
            </w:pPr>
            <w:r>
              <w:t xml:space="preserve">orias $220,00</w:t>
            </w:r>
          </w:p>
        </w:tc>
        <w:tc>
          <w:tcPr/>
          <w:p>
            <w:pPr>
              <w:pStyle w:val="Compact"/>
              <w:jc w:val="center"/>
            </w:pPr>
            <w:r>
              <w:t xml:space="preserve">0 ¿Qué excepciones son legítimas, recurrentes o prevenible</w:t>
            </w:r>
          </w:p>
        </w:tc>
        <w:tc>
          <w:tcPr/>
          <w:p>
            <w:pPr>
              <w:pStyle w:val="Compact"/>
              <w:jc w:val="center"/>
            </w:pPr>
            <w:r>
              <w:t xml:space="preserve">s? Añade carga al usuario; los códigos de razón pueden manipularse</w:t>
            </w:r>
          </w:p>
        </w:tc>
      </w:tr>
      <w:tr>
        <w:tc>
          <w:tcPr/>
          <w:p>
            <w:pPr>
              <w:pStyle w:val="Compact"/>
              <w:jc w:val="left"/>
            </w:pPr>
            <w:r>
              <w:t xml:space="preserve">Interfaz de explicación y confianza</w:t>
            </w:r>
            <w:r>
              <w:br/>
            </w:r>
          </w:p>
        </w:tc>
        <w:tc>
          <w:tcPr/>
          <w:p>
            <w:pPr>
              <w:pStyle w:val="Compact"/>
              <w:jc w:val="left"/>
            </w:pPr>
            <w:r>
              <w:t xml:space="preserve">$410,000 ¿</w:t>
            </w:r>
          </w:p>
        </w:tc>
        <w:tc>
          <w:tcPr/>
          <w:p>
            <w:pPr>
              <w:pStyle w:val="Compact"/>
              <w:jc w:val="center"/>
            </w:pPr>
            <w:r>
              <w:t xml:space="preserve">La transparencia aumenta la confianza apropiada?</w:t>
            </w:r>
          </w:p>
        </w:tc>
        <w:tc>
          <w:tcPr/>
          <w:p>
            <w:pPr>
              <w:pStyle w:val="Compact"/>
              <w:jc w:val="center"/>
            </w:pPr>
            <w:r>
              <w:t xml:space="preserve">Puede crear una falsa confianza o sobrecarga de información</w:t>
            </w:r>
          </w:p>
        </w:tc>
      </w:tr>
      <w:tr>
        <w:tc>
          <w:tcPr/>
          <w:p>
            <w:pPr>
              <w:pStyle w:val="Compact"/>
              <w:jc w:val="left"/>
            </w:pPr>
            <w:r>
              <w:t xml:space="preserve">Diagnósticos de calidad de datos y flujo d</w:t>
            </w:r>
          </w:p>
        </w:tc>
        <w:tc>
          <w:tcPr/>
          <w:p>
            <w:pPr>
              <w:pStyle w:val="Compact"/>
              <w:jc w:val="left"/>
            </w:pPr>
            <w:r>
              <w:t xml:space="preserve">e trabajo $330</w:t>
            </w:r>
          </w:p>
        </w:tc>
        <w:tc>
          <w:tcPr/>
          <w:p>
            <w:pPr>
              <w:pStyle w:val="Compact"/>
              <w:jc w:val="center"/>
            </w:pPr>
            <w:r>
              <w:t xml:space="preserve">,000 ¿Se rechazan las recomendaciones porque las entradas</w:t>
            </w:r>
          </w:p>
        </w:tc>
        <w:tc>
          <w:tcPr/>
          <w:p>
            <w:pPr>
              <w:pStyle w:val="Compact"/>
              <w:jc w:val="center"/>
            </w:pPr>
            <w:r>
              <w:t xml:space="preserve">o el tiempo son deficientes? Podría percibirse como culpar al cliente</w:t>
            </w:r>
          </w:p>
        </w:tc>
      </w:tr>
      <w:tr>
        <w:tc>
          <w:tcPr/>
          <w:p>
            <w:pPr>
              <w:pStyle w:val="Compact"/>
              <w:jc w:val="left"/>
            </w:pPr>
            <w:r>
              <w:t xml:space="preserve">Pilotos de rediseño de tarjetas de puntuac</w:t>
            </w:r>
          </w:p>
        </w:tc>
        <w:tc>
          <w:tcPr/>
          <w:p>
            <w:pPr>
              <w:pStyle w:val="Compact"/>
              <w:jc w:val="left"/>
            </w:pPr>
            <w:r>
              <w:t xml:space="preserve">ión de supervisore</w:t>
            </w:r>
          </w:p>
        </w:tc>
        <w:tc>
          <w:tcPr/>
          <w:p>
            <w:pPr>
              <w:pStyle w:val="Compact"/>
              <w:jc w:val="center"/>
            </w:pPr>
            <w:r>
              <w:t xml:space="preserve">s $180,000 ¿Los incentivos y los KPI locales impulsa</w:t>
            </w:r>
          </w:p>
        </w:tc>
        <w:tc>
          <w:tcPr/>
          <w:p>
            <w:pPr>
              <w:pStyle w:val="Compact"/>
              <w:jc w:val="center"/>
            </w:pPr>
            <w:r>
              <w:t xml:space="preserve">n el rechazo? Requiere cooperación ejecutiva y cambios sensibles en materia laboral</w:t>
            </w:r>
          </w:p>
        </w:tc>
      </w:tr>
      <w:tr>
        <w:tc>
          <w:tcPr/>
          <w:p>
            <w:pPr>
              <w:pStyle w:val="Compact"/>
              <w:jc w:val="left"/>
            </w:pPr>
            <w:r>
              <w:t xml:space="preserve">Implementación aleatorizada de apoyos de a</w:t>
            </w:r>
          </w:p>
        </w:tc>
        <w:tc>
          <w:tcPr/>
          <w:p>
            <w:pPr>
              <w:pStyle w:val="Compact"/>
              <w:jc w:val="left"/>
            </w:pPr>
            <w:r>
              <w:t xml:space="preserve">dopción $29</w:t>
            </w:r>
          </w:p>
        </w:tc>
        <w:tc>
          <w:tcPr/>
          <w:p>
            <w:pPr>
              <w:pStyle w:val="Compact"/>
              <w:jc w:val="center"/>
            </w:pPr>
            <w:r>
              <w:t xml:space="preserve">0,000 ¿Qué prácticas de implementación mejoran causalmente</w:t>
            </w:r>
          </w:p>
        </w:tc>
        <w:tc>
          <w:tcPr/>
          <w:p>
            <w:pPr>
              <w:pStyle w:val="Compact"/>
              <w:jc w:val="center"/>
            </w:pPr>
            <w:r>
              <w:t xml:space="preserve">el uso? Operativamente difícil; los clientes pueden resistirse a grupos de control</w:t>
            </w:r>
          </w:p>
        </w:tc>
      </w:tr>
    </w:tbl>
    <w:p>
      <w:pPr>
        <w:pStyle w:val="BodyText"/>
      </w:pPr>
      <w:r>
        <w:t xml:space="preserve">El director de producto favorecía las explicaciones e indicadores de confianza. El jefe de implementación argumentó que la empresa debía primero aplicar anulaciones estructuradas y revisiones operativas diarias. La directora de datos creía que ninguno de los enfoques funcionaría hasta que se pudiera medir continuamente la calidad de los datos del cliente. Los líderes de ventas se preocupaban de que los procesos obligatorios alargarían las implementaciones y harían que el producto pareciera difícil de usar. Un miembro de la junta hizo una pregunta más incómoda: ¿Era la adherencia siquiera el objetivo correcto, o debería Dispatch Dynamics medir la calidad de las decisiones humano-máquina en lugar del porcentaje de recomendaciones seguidas?</w:t>
      </w:r>
    </w:p>
    <w:p>
      <w:pPr>
        <w:pStyle w:val="BodyText"/>
      </w:pPr>
      <w:r>
        <w:t xml:space="preserve">Chen también tenía que decidir con cuánta franqueza discutir el problema con los clientes. Publicar puntos de referencia de adherencia a nivel de portafolio podía crear urgencia, pero los clientes diferían en el diseño de la red y la complejidad operativa. Vincular tarifas o garantías de desempeño a la adherencia podía alinear incentivos, pero podía fomentar un cumplimiento superficial. Redefinir el producto en torno a la</w:t>
      </w:r>
      <w:r>
        <w:t xml:space="preserve"> </w:t>
      </w:r>
      <w:r>
        <w:t xml:space="preserve">“automatización guiada por humanos”</w:t>
      </w:r>
      <w:r>
        <w:t xml:space="preserve"> </w:t>
      </w:r>
      <w:r>
        <w:t xml:space="preserve">podía mejorar la credibilidad, pero debilitar la promesa de la empresa de una automatización de decisiones escalable.</w:t>
      </w:r>
    </w:p>
    <w:bookmarkEnd w:id="13"/>
    <w:bookmarkStart w:id="14" w:name="la-decisión"/>
    <w:p>
      <w:pPr>
        <w:pStyle w:val="Heading1"/>
      </w:pPr>
      <w:r>
        <w:t xml:space="preserve">La Decisión</w:t>
      </w:r>
    </w:p>
    <w:p>
      <w:pPr>
        <w:pStyle w:val="FirstParagraph"/>
      </w:pPr>
      <w:r>
        <w:t xml:space="preserve">En la reunión trimestral, se esperaría que Chen recomendara tanto una política inmediata para los clientes como un programa de investigación a más largo plazo. Necesitaba decidir qué debía intentar aprender Dispatch Dynamics, qué evidencia distinguiría entre las explicaciones en competencia, y cómo debía actuar la empresa mientras se recopilaba esa evidencia.</w:t>
      </w:r>
    </w:p>
    <w:p>
      <w:pPr>
        <w:pStyle w:val="BodyText"/>
      </w:pPr>
      <w:r>
        <w:t xml:space="preserve">Lo que estaba en juego se extendía más allá de las renovaciones actuales. Si la empresa trataba la baja adherencia como un problema de capacitación cuando la causa real eran datos deficientes o restricciones faltantes, podía dañar la confianza. Si trataba cada anulación como una valiosa perspectiva humana, podía preservar los mismos hábitos que el software estaba diseñado para reemplazar. Si optimizaba únicamente para la adherencia, podía fomentar que los usuarios siguieran las recomendaciones mecánicamente en lugar de ejercer su juicio cuando las circunstancias realmente cambiaran.</w:t>
      </w:r>
    </w:p>
    <w:p>
      <w:pPr>
        <w:pStyle w:val="BodyText"/>
      </w:pPr>
      <w:r>
        <w:t xml:space="preserve">Chen cerró el panel y escribió una pregunta en la parte superior de sus notas: ¿Qué significaría que un cliente utilizara bien Dispatch Dynamics?</w:t>
      </w:r>
    </w:p>
    <w:bookmarkEnd w:id="14"/>
    <w:bookmarkStart w:id="15" w:name="preguntas-de-discusión"/>
    <w:p>
      <w:pPr>
        <w:pStyle w:val="Heading1"/>
      </w:pPr>
      <w:r>
        <w:t xml:space="preserve">Preguntas de Discusión</w:t>
      </w:r>
    </w:p>
    <w:p>
      <w:pPr>
        <w:numPr>
          <w:ilvl w:val="0"/>
          <w:numId w:val="1001"/>
        </w:numPr>
      </w:pPr>
      <w:r>
        <w:t xml:space="preserve">¿Cómo debería definir Dispatch Dynamics el uso exitoso: adherencia a las recomendaciones, desempeño empresarial, calidad de las excepciones, o alguna combinación?</w:t>
      </w:r>
    </w:p>
    <w:p>
      <w:pPr>
        <w:numPr>
          <w:ilvl w:val="0"/>
          <w:numId w:val="1001"/>
        </w:numPr>
      </w:pPr>
      <w:r>
        <w:t xml:space="preserve">¿Qué hipótesis podrían explicar la baja adopción, y qué evidencia distinguiría entre ellas?</w:t>
      </w:r>
    </w:p>
    <w:p>
      <w:pPr>
        <w:numPr>
          <w:ilvl w:val="0"/>
          <w:numId w:val="1001"/>
        </w:numPr>
      </w:pPr>
      <w:r>
        <w:t xml:space="preserve">¿Qué categorías de anulación representan defectos del producto, defectos de datos, conflictos organizacionales o información humana valiosa?</w:t>
      </w:r>
    </w:p>
    <w:p>
      <w:pPr>
        <w:numPr>
          <w:ilvl w:val="0"/>
          <w:numId w:val="1001"/>
        </w:numPr>
      </w:pPr>
      <w:r>
        <w:t xml:space="preserve">¿Cómo debería la empresa rediseñar la implementación, la capacitación, los incentivos, el flujo de trabajo o el producto mismo?</w:t>
      </w:r>
    </w:p>
    <w:p>
      <w:pPr>
        <w:numPr>
          <w:ilvl w:val="0"/>
          <w:numId w:val="1001"/>
        </w:numPr>
      </w:pPr>
      <w:r>
        <w:t xml:space="preserve">¿Qué iniciativas del Anexo 3 deberían recibir el presupuesto de $1.2 millones, y en qué secuencia?</w:t>
      </w:r>
    </w:p>
    <w:p>
      <w:pPr>
        <w:numPr>
          <w:ilvl w:val="0"/>
          <w:numId w:val="1001"/>
        </w:numPr>
      </w:pPr>
      <w:r>
        <w:t xml:space="preserve">¿Qué riesgos surgen de aumentar la adherencia de manera demasiado agresiva?</w:t>
      </w:r>
    </w:p>
    <w:p>
      <w:pPr>
        <w:numPr>
          <w:ilvl w:val="0"/>
          <w:numId w:val="1001"/>
        </w:numPr>
      </w:pPr>
      <w:r>
        <w:t xml:space="preserve">¿Cómo debería Dispatch Dynamics aprender de las anulaciones de los clientes sin permitir que los usuarios eludan el sistema indefinidamente?</w:t>
      </w:r>
    </w:p>
    <w:bookmarkEnd w:id="15"/>
    <w:bookmarkStart w:id="21" w:name="preguntas-de-encuadre-de-decisión"/>
    <w:p>
      <w:pPr>
        <w:pStyle w:val="Heading1"/>
      </w:pPr>
      <w:r>
        <w:t xml:space="preserve">Preguntas de Encuadre de Decisión</w:t>
      </w:r>
    </w:p>
    <w:p>
      <w:pPr>
        <w:numPr>
          <w:ilvl w:val="0"/>
          <w:numId w:val="1002"/>
        </w:numPr>
      </w:pPr>
      <w:r>
        <w:t xml:space="preserve">Identifique y describa las responsabilidades del tomador de decisiones. Esto debe establecer el alcance del problema.</w:t>
      </w:r>
    </w:p>
    <w:p>
      <w:pPr>
        <w:numPr>
          <w:ilvl w:val="0"/>
          <w:numId w:val="1002"/>
        </w:numPr>
      </w:pPr>
      <w:r>
        <w:t xml:space="preserve">Use la</w:t>
      </w:r>
      <w:r>
        <w:t xml:space="preserve"> </w:t>
      </w:r>
      <w:hyperlink r:id="rId16">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17">
        <w:r>
          <w:rPr>
            <w:rStyle w:val="Hyperlink"/>
          </w:rPr>
          <w:t xml:space="preserve">herramienta de priorización de decisiones</w:t>
        </w:r>
      </w:hyperlink>
      <w:r>
        <w:t xml:space="preserve"> </w:t>
      </w:r>
      <w:r>
        <w:t xml:space="preserve">para primero enumerar los diferentes tipos de decisiones (use los</w:t>
      </w:r>
      <w:r>
        <w:t xml:space="preserve"> </w:t>
      </w:r>
      <w:hyperlink r:id="rId18">
        <w:r>
          <w:rPr>
            <w:rStyle w:val="Hyperlink"/>
          </w:rPr>
          <w:t xml:space="preserve">tipos de decisiones</w:t>
        </w:r>
      </w:hyperlink>
      <w:r>
        <w:t xml:space="preserve"> </w:t>
      </w:r>
      <w:r>
        <w:t xml:space="preserve">como guía). Estos poblarán luego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nulo (blanco).</w:t>
      </w:r>
    </w:p>
    <w:p>
      <w:pPr>
        <w:numPr>
          <w:ilvl w:val="0"/>
          <w:numId w:val="1002"/>
        </w:numPr>
      </w:pPr>
      <w:r>
        <w:t xml:space="preserve">Puede tomar el asa (tres barras) más a la izquierda en cada fila para moverla hacia arriba o hacia abajo. Ordene las filas de manera que las decisiones con mayor impacto en las métricas más importantes queden hacia arriba. Las celdas en la esquina superior izquierda deben tener la mayor concentración de celdas rojas y naranjas. En este punto, identifique las decisiones que deberían recibir más atención en su estudio. Si no tiene decisiones con impacto medio o alto en las métricas más importantes, revise su lista de decisiones.</w:t>
      </w:r>
    </w:p>
    <w:p>
      <w:pPr>
        <w:numPr>
          <w:ilvl w:val="0"/>
          <w:numId w:val="1002"/>
        </w:numPr>
      </w:pPr>
      <w:r>
        <w:t xml:space="preserve">Repita el proceso para enumerar y priorizar las incertidumbres usando la</w:t>
      </w:r>
      <w:r>
        <w:t xml:space="preserve"> </w:t>
      </w:r>
      <w:hyperlink r:id="rId19">
        <w:r>
          <w:rPr>
            <w:rStyle w:val="Hyperlink"/>
          </w:rPr>
          <w:t xml:space="preserve">herramienta de priorización de incertidumbre</w:t>
        </w:r>
      </w:hyperlink>
      <w:r>
        <w:t xml:space="preserve">. Use las</w:t>
      </w:r>
      <w:r>
        <w:t xml:space="preserve"> </w:t>
      </w:r>
      <w:hyperlink r:id="rId20">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se pueden evaluar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decisión individual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1"/>
    <w:bookmarkStart w:id="22" w:name="nota-del-caso"/>
    <w:p>
      <w:pPr>
        <w:pStyle w:val="Heading1"/>
      </w:pPr>
      <w:r>
        <w:t xml:space="preserve">Nota del Caso</w:t>
      </w:r>
    </w:p>
    <w:p>
      <w:pPr>
        <w:pStyle w:val="FirstParagraph"/>
      </w:pPr>
      <w:r>
        <w:t xml:space="preserve">Este caso de enseñanza ficticio se basó en temas recurrentes de los estudios de caso de automatización de decisiones de carga completa y los materiales de gestión del cambio proporcionados: vínculos entre adopción y desempeño, confianza en las recomendaciones, el cambio de la planificación manual a la gestión de excepciones, la importancia de la alineación del flujo de trabajo y el liderazgo, la evolución de los roles de los empleados, la preparación de los datos, y la necesidad continua de una intervención humana legítima. Todas las organizaciones, personas, eventos y anexos numéricos en este caso son inventados para uso instructivo.</w:t>
      </w:r>
    </w:p>
    <w:bookmarkEnd w:id="22"/>
    <w:bookmarkStart w:id="25" w:name="notas-de-chatgpt"/>
    <w:p>
      <w:pPr>
        <w:pStyle w:val="Heading1"/>
      </w:pPr>
      <w:r>
        <w:t xml:space="preserve">Notas de ChatGPT:</w:t>
      </w:r>
    </w:p>
    <w:bookmarkStart w:id="23" w:name="indicación"/>
    <w:p>
      <w:pPr>
        <w:pStyle w:val="Heading2"/>
      </w:pPr>
      <w:r>
        <w:t xml:space="preserve">Indicación</w:t>
      </w:r>
    </w:p>
    <w:p>
      <w:pPr>
        <w:pStyle w:val="FirstParagraph"/>
      </w:pPr>
      <w:r>
        <w:t xml:space="preserve">Escriba un estudio de caso usando el contexto de una empresa de software,</w:t>
      </w:r>
      <w:r>
        <w:t xml:space="preserve"> </w:t>
      </w:r>
      <w:r>
        <w:t xml:space="preserve">“Dynamic Dispatching”</w:t>
      </w:r>
      <w:r>
        <w:t xml:space="preserve"> </w:t>
      </w:r>
      <w:r>
        <w:t xml:space="preserve">que desarrolla software para la industria de carga completa. Puede usar los estudios de caso en la carpeta C:\Users\Warren Powell\Dropbox\Warrens documents\Optimal Dynamics\OD case studies, pero no use ningún nombre de empresas reales.</w:t>
      </w:r>
      <w:r>
        <w:t xml:space="preserve"> </w:t>
      </w:r>
      <w:r>
        <w:t xml:space="preserve">“Dispatch Dynamics”</w:t>
      </w:r>
      <w:r>
        <w:t xml:space="preserve"> </w:t>
      </w:r>
      <w:r>
        <w:t xml:space="preserve">ha disfrutado de varias implementaciones exitosas de su software de despacho, pero hay demasiadas empresas que no usan las recomendaciones de qué hacer con cada conductor. El desafío de negocio es descubrir por qué estos clientes no están usando el sistema, y explorar los pasos que</w:t>
      </w:r>
      <w:r>
        <w:t xml:space="preserve"> </w:t>
      </w:r>
      <w:r>
        <w:t xml:space="preserve">“Dispatch Dynamics”</w:t>
      </w:r>
      <w:r>
        <w:t xml:space="preserve"> </w:t>
      </w:r>
      <w:r>
        <w:t xml:space="preserve">podría tomar para comprender mejor la aceptación del usuario.</w:t>
      </w:r>
    </w:p>
    <w:bookmarkEnd w:id="23"/>
    <w:bookmarkStart w:id="24" w:name="resumen"/>
    <w:p>
      <w:pPr>
        <w:pStyle w:val="Heading2"/>
      </w:pPr>
      <w:r>
        <w:t xml:space="preserve">Resumen</w:t>
      </w:r>
    </w:p>
    <w:p>
      <w:pPr>
        <w:pStyle w:val="FirstParagraph"/>
      </w:pPr>
      <w:r>
        <w:t xml:space="preserve">El nuevo caso incorpora temas recurrentes de los materiales proporcionados, incluyendo:</w:t>
      </w:r>
    </w:p>
    <w:p>
      <w:pPr>
        <w:numPr>
          <w:ilvl w:val="0"/>
          <w:numId w:val="1005"/>
        </w:numPr>
      </w:pPr>
      <w:r>
        <w:t xml:space="preserve">La relación entre la adopción de recomendaciones y el desempeño operativo</w:t>
      </w:r>
    </w:p>
    <w:p>
      <w:pPr>
        <w:numPr>
          <w:ilvl w:val="0"/>
          <w:numId w:val="1005"/>
        </w:numPr>
      </w:pPr>
      <w:r>
        <w:t xml:space="preserve">La transición del despacho manual a la gestión de excepciones</w:t>
      </w:r>
    </w:p>
    <w:p>
      <w:pPr>
        <w:numPr>
          <w:ilvl w:val="0"/>
          <w:numId w:val="1005"/>
        </w:numPr>
      </w:pPr>
      <w:r>
        <w:t xml:space="preserve">La confianza en las recomendaciones automatizadas</w:t>
      </w:r>
    </w:p>
    <w:p>
      <w:pPr>
        <w:numPr>
          <w:ilvl w:val="0"/>
          <w:numId w:val="1005"/>
        </w:numPr>
      </w:pPr>
      <w:r>
        <w:t xml:space="preserve">La calidad de los datos y las restricciones operativas faltantes</w:t>
      </w:r>
    </w:p>
    <w:p>
      <w:pPr>
        <w:numPr>
          <w:ilvl w:val="0"/>
          <w:numId w:val="1005"/>
        </w:numPr>
      </w:pPr>
      <w:r>
        <w:t xml:space="preserve">Los conflictos entre las recomendaciones a nivel de red y las medidas de desempeño locales</w:t>
      </w:r>
    </w:p>
    <w:p>
      <w:pPr>
        <w:numPr>
          <w:ilvl w:val="0"/>
          <w:numId w:val="1005"/>
        </w:numPr>
      </w:pPr>
      <w:r>
        <w:t xml:space="preserve">Los roles de los despachadores, la identidad profesional y las preocupaciones por la seguridad laboral</w:t>
      </w:r>
    </w:p>
    <w:p>
      <w:pPr>
        <w:numPr>
          <w:ilvl w:val="0"/>
          <w:numId w:val="1005"/>
        </w:numPr>
      </w:pPr>
      <w:r>
        <w:t xml:space="preserve">Las razones estructuradas para anular recomendaciones</w:t>
      </w:r>
    </w:p>
    <w:p>
      <w:pPr>
        <w:numPr>
          <w:ilvl w:val="0"/>
          <w:numId w:val="1005"/>
        </w:numPr>
      </w:pPr>
      <w:r>
        <w:t xml:space="preserve">La necesidad de distinguir la intervención humana legítima del no uso habitual</w:t>
      </w:r>
    </w:p>
    <w:p>
      <w:pPr>
        <w:numPr>
          <w:ilvl w:val="0"/>
          <w:numId w:val="1005"/>
        </w:numPr>
      </w:pPr>
      <w:r>
        <w:t xml:space="preserve">Iniciativas alternativas de investigación, producto e implementación</w:t>
      </w:r>
    </w:p>
    <w:p>
      <w:pPr>
        <w:pStyle w:val="FirstParagraph"/>
      </w:pPr>
      <w:r>
        <w:t xml:space="preserve">Todos los nombres de empresas e individuos, eventos y anexos numéricos son ficticios. El caso deja deliberadamente abierto si el problema principal radica en el software, los datos del cliente, las prácticas de implementación, los incentivos, el diseño organizacional, la confianza del usuario, o la definición de</w:t>
      </w:r>
      <w:r>
        <w:t xml:space="preserve"> </w:t>
      </w:r>
      <w:r>
        <w:t xml:space="preserve">“uso exitoso”</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2026-09-11T15:15:23Z</dcterms:created>
  <dcterms:modified xsi:type="dcterms:W3CDTF">2026-09-11T15:15:23Z</dcterms:modified>
</cp:coreProperties>
</file>

<file path=docProps/custom.xml><?xml version="1.0" encoding="utf-8"?>
<Properties xmlns="http://schemas.openxmlformats.org/officeDocument/2006/custom-properties" xmlns:vt="http://schemas.openxmlformats.org/officeDocument/2006/docPropsVTypes"/>
</file>