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¿Cómo debería responder una comunidad cuando el riesgo de sarampión está concentrado, la confianza en la vacunación está cayendo, y los costos de la prevención son inmediatos—pero los beneficios son en gran medida invisibles?</w:t>
      </w:r>
    </w:p>
    <w:tbl>
      <w:tblPr>
        <w:tblStyle w:val="Table"/>
        <w:tblW w:type="auto" w:w="0"/>
        <w:tblLook w:firstRow="0" w:lastRow="0" w:firstColumn="0" w:lastColumn="0" w:noHBand="0" w:noVBand="0" w:val="0000"/>
      </w:tblPr>
      <w:tblGrid>
        <w:gridCol w:w="7920"/>
      </w:tblGrid>
      <w:tr>
        <w:tc>
          <w:tcPr/>
          <w:p>
            <w:pPr>
              <w:pStyle w:val="Compact"/>
            </w:pPr>
            <w:r>
              <w:rPr>
                <w:b/>
                <w:bCs/>
              </w:rPr>
              <w:t xml:space="preserve">ENTORNO**</w:t>
            </w:r>
            <w:r>
              <w:rPr>
                <w:b/>
                <w:bCs/>
              </w:rPr>
              <w:t xml:space="preserve"> </w:t>
            </w:r>
            <w:r>
              <w:t xml:space="preserve">RESPONSABLE DE LA DECISIÓN** FECHA DE LA DECISIÓN\</w:t>
            </w:r>
          </w:p>
        </w:tc>
      </w:tr>
      <w:tr>
        <w:tc>
          <w:tcPr/>
          <w:p>
            <w:pPr>
              <w:pStyle w:val="Compact"/>
            </w:pPr>
            <w:r>
              <w:t xml:space="preserve">Harbor County, un condado suburbano-rural ficticio Dra. Maya Patel, Oficial de Salud del Condado Agosto de 2026</w:t>
            </w:r>
          </w:p>
        </w:tc>
      </w:tr>
    </w:tbl>
    <w:p>
      <w:r>
        <w:pict>
          <v:rect style="width:0;height:1.5pt" o:hralign="center" o:hrstd="t" o:hr="t"/>
        </w:pict>
      </w:r>
    </w:p>
    <w:bookmarkStart w:id="9" w:name="section"/>
    <w:p>
      <w:pPr>
        <w:pStyle w:val="Heading1"/>
      </w:pPr>
    </w:p>
    <w:bookmarkEnd w:id="9"/>
    <w:bookmarkStart w:id="11" w:name="un-mensaje-antes-del-amanecer"/>
    <w:p>
      <w:pPr>
        <w:pStyle w:val="Heading1"/>
      </w:pPr>
      <w:r>
        <w:t xml:space="preserve">Un mensaje antes del amanecer</w:t>
      </w:r>
    </w:p>
    <w:p>
      <w:pPr>
        <w:pStyle w:val="FirstParagraph"/>
      </w:pPr>
      <w:r>
        <w:t xml:space="preserve">A las 5:42 a.m., la Dra. Maya Patel recibió un mensaje de texto del epidemiólogo estatal: un laboratorio había confirmado sarampión en un estudiante de nueve años de Harbor County. El niño había asistido a la escuela durante cuatro días mientras era infeccioso, había visitado una clínica de atención urgente, había jugado en un torneo de baloncesto de fin de semana y había pasado dos horas en una concurrida terminal aeroportuaria antes de que apareciera la erupción.</w:t>
      </w:r>
    </w:p>
    <w:p>
      <w:pPr>
        <w:pStyle w:val="BodyText"/>
      </w:pPr>
      <w:r>
        <w:t xml:space="preserve">Para las 7:00 a.m., el departamento de salud del condado había identificado a 186 personas que podrían haber estado expuestas. El número seguiría creciendo. Algunos contactos tenían registros de vacunación electrónicos; otros tenían registros dispersos entre consultorios pediátricos, escuelas, farmacias y otros estados. Veintisiete bebés eran demasiado pequeños para la vacunación rutinaria. Al menos once personas expuestas estaban embarazadas o inmunocomprometidas. El distrito escolar quería saber si los estudiantes sin inmunidad documentada debían ser excluidos de clase—y por cuánto tiempo.</w:t>
      </w:r>
    </w:p>
    <w:p>
      <w:pPr>
        <w:pStyle w:val="BodyText"/>
      </w:pPr>
      <w:r>
        <w:t xml:space="preserve">El caso confirmado llegó durante un resurgimiento nacional. Al 23 de julio de 2026, Estados Unidos había reportado 2,318 casos confirmados de sarampión, con un 93% asociado a brotes. El total del año completo de 2025 había sido de 2,289 casos, en comparación con 285 en 2024.¹</w:t>
      </w:r>
    </w:p>
    <w:p>
      <w:pPr>
        <w:pStyle w:val="BodyText"/>
      </w:pPr>
      <w:r>
        <w:t xml:space="preserve">Harbor County no había tenido transmisión local confirmada en más de una década. Sin embargo, Patel sabía que la ausencia de enfermedad no era lo mismo que la ausencia de riesgo. La cobertura de MMR en todo el condado entre estudiantes de kínder era del 91.8%, pero el promedio ocultaba una amplia variación entre escuelas y vecindarios. El ejecutivo del condado había programado una reunión de emergencia para las 3:30 p.m. Se esperaba que Patel recomendara una respuesta inmediata y una estrategia de vacunación a más largo plazo—sin inflamar la desconfianza ni prometer que se podía prevenir un brote.</w:t>
      </w:r>
    </w:p>
    <w:bookmarkStart w:id="10" w:name="el-desafío-central"/>
    <w:p>
      <w:pPr>
        <w:pStyle w:val="Heading2"/>
      </w:pPr>
      <w:r>
        <w:t xml:space="preserve">El desafío central</w:t>
      </w:r>
    </w:p>
    <w:p>
      <w:pPr>
        <w:pStyle w:val="FirstParagraph"/>
      </w:pPr>
      <w:r>
        <w:t xml:space="preserve">¿Debería Harbor County tratar el caso como una exposición contenida que requiere una respuesta intensiva a corto plazo, o como evidencia de una brecha de inmunidad más profunda que justifica una intervención sostenida en escuelas, clínicas y comunidades?</w:t>
      </w:r>
    </w:p>
    <w:bookmarkEnd w:id="10"/>
    <w:bookmarkEnd w:id="11"/>
    <w:bookmarkStart w:id="12" w:name="harbor-county"/>
    <w:p>
      <w:pPr>
        <w:pStyle w:val="Heading1"/>
      </w:pPr>
      <w:r>
        <w:t xml:space="preserve">Harbor County</w:t>
      </w:r>
    </w:p>
    <w:p>
      <w:pPr>
        <w:pStyle w:val="FirstParagraph"/>
      </w:pPr>
      <w:r>
        <w:t xml:space="preserve">Harbor County tenía 742,000 residentes. Sus suburbios costeros incluían varios grandes empleadores, un aeropuerto regional y un centro médico universitario. Las comunidades del interior eran más rurales, con menos consultorios pediátricos y transporte nocturno limitado. El condado era económicamente diverso: el ingreso familiar promedio era de $86,900, pero el 14% de los niños vivía por debajo de la línea federal de pobreza. Aproximadamente el 24% de los residentes hablaba un idioma distinto del inglés en casa. Todos los datos de Harbor County en este caso son ficticios pero están diseñados para reflejar condiciones que enfrentan las comunidades de EE. UU.</w:t>
      </w:r>
    </w:p>
    <w:bookmarkEnd w:id="12"/>
    <w:bookmarkStart w:id="13" w:name="X7fade8f16fa5dd39d49468c1b0e86560f346a5b"/>
    <w:p>
      <w:pPr>
        <w:pStyle w:val="Heading1"/>
      </w:pPr>
      <w:r>
        <w:t xml:space="preserve">Una enfermedad prevenible con exigentes requisitos de control</w:t>
      </w:r>
    </w:p>
    <w:p>
      <w:pPr>
        <w:pStyle w:val="FirstParagraph"/>
      </w:pPr>
      <w:r>
        <w:t xml:space="preserve">El sarampión está entre las infecciones humanas más contagiosas. Los síntomas a menudo comienzan entre 7 y 14 días después de la exposición, lo que permite que las personas infectadas se muevan por escuelas, clínicas, tiendas, lugares de trabajo y sistemas de transporte antes de que la enfermedad sea reconocida. Aproximadamente uno de cada cinco pacientes estadounidenses no vacunados con sarampión es hospitalizado; la neumonía ocurre en hasta uno de cada veinte niños, y la encefalitis en aproximadamente uno de cada mil.²</w:t>
      </w:r>
    </w:p>
    <w:p>
      <w:pPr>
        <w:pStyle w:val="BodyText"/>
      </w:pPr>
      <w:r>
        <w:t xml:space="preserve">Dos dosis de MMR proporcionan la mejor protección, y la mayoría de las personas vacunadas están protegidas de por vida. Se recomienda de manera rutinaria que los niños reciban la primera dosis entre los 12 y 15 meses, y la segunda entre los 4 y 6 años.³ La protección comunitaria generalmente requiere una cobertura de vacunación superior al 95%, un umbral que debe sostenerse localmente y no solo en promedios de todo el condado.¹</w:t>
      </w:r>
    </w:p>
    <w:p>
      <w:pPr>
        <w:pStyle w:val="BodyText"/>
      </w:pPr>
      <w:r>
        <w:t xml:space="preserve">La cobertura nacional de MMR en kínder cayó del 95.2% en 2019–2020 al 92.5% en 2024–2025, dejando a unos 286,000 estudiantes de kínder sin documentación de haber completado la serie. Las exenciones de una o más vacunas aumentaron al 3.6%, y diecisiete estados reportaron tasas de exención superiores al 5%.⁴</w:t>
      </w:r>
    </w:p>
    <w:bookmarkEnd w:id="13"/>
    <w:bookmarkStart w:id="14" w:name="el-mapa-local-de-inmunidad"/>
    <w:p>
      <w:pPr>
        <w:pStyle w:val="Heading1"/>
      </w:pPr>
      <w:r>
        <w:t xml:space="preserve">El mapa local de inmunidad</w:t>
      </w:r>
    </w:p>
    <w:p>
      <w:pPr>
        <w:pStyle w:val="FirstParagraph"/>
      </w:pPr>
      <w:r>
        <w:t xml:space="preserve">El promedio de Harbor County parecía manejable hasta que los analistas mapearon la cobertura a nivel escolar. Cuarenta y tres de las 128 escuelas primarias del condado superaban el 95% de cobertura documentada de MMR. Treinta y una escuelas estaban por debajo del 90%, incluidas nueve por debajo del 85%. Varias escuelas de baja cobertura estaban agrupadas geográficamente, pero sus circunstancias diferían. Algunas atendían a familias que tenían dificultades para programar citas o recuperar registros. Otras tenían redes organizadas de padres que cuestionaban los requisitos de vacunación. Algunas escuelas privadas tenían altas tasas de exención pero relaciones sólidas con las familias y poca confianza en el gobierno del condado.</w:t>
      </w:r>
    </w:p>
    <w:p>
      <w:pPr>
        <w:pStyle w:val="BodyText"/>
      </w:pPr>
      <w:r>
        <w:t xml:space="preserve">Los datos estaban incompletos. El registro estatal de inmunización no capturaba de manera confiable las vacunas administradas antes de que las familias se mudaran al estado. Los registros escolares contaban la falta de documentación como no vacunado, lo que sobreestimaba la susceptibilidad en algunos lugares. Al mismo tiempo, los promedios escolares podían subestimar el riesgo porque las familias no vacunadas a menudo interactuaban a través de equipos deportivos, comunidades religiosas, redes de cuidado infantil y grupos de educación en el hogar que cruzaban los límites de asistencia escolar.</w:t>
      </w:r>
    </w:p>
    <w:bookmarkEnd w:id="14"/>
    <w:bookmarkStart w:id="15" w:name="la-respuesta-inmediata"/>
    <w:p>
      <w:pPr>
        <w:pStyle w:val="Heading1"/>
      </w:pPr>
      <w:r>
        <w:t xml:space="preserve">La respuesta inmediata</w:t>
      </w:r>
    </w:p>
    <w:p>
      <w:pPr>
        <w:pStyle w:val="FirstParagraph"/>
      </w:pPr>
      <w:r>
        <w:t xml:space="preserve">Investigación de casos y rastreo de contactos: Entrevistar a la familia, reconstruir ubicaciones y horarios, notificar a las personas expuestas, y monitorear síntomas durante 21 días después de la última exposición.</w:t>
      </w:r>
    </w:p>
    <w:p>
      <w:pPr>
        <w:pStyle w:val="BodyText"/>
      </w:pPr>
      <w:r>
        <w:t xml:space="preserve">Protección post-exposición: Organizar vacunación rápida con MMR para contactos elegibles dentro de las 72 horas posteriores a la exposición e inmunoglobulina para ciertas personas de alto riesgo dentro de seis días.³</w:t>
      </w:r>
    </w:p>
    <w:p>
      <w:pPr>
        <w:pStyle w:val="BodyText"/>
      </w:pPr>
      <w:r>
        <w:t xml:space="preserve">Controles escolares: Verificar registros, identificar estudiantes y personal susceptibles, y determinar si la exclusión es legalmente requerida u operativamente factible.</w:t>
      </w:r>
    </w:p>
    <w:p>
      <w:pPr>
        <w:pStyle w:val="BodyText"/>
      </w:pPr>
      <w:r>
        <w:t xml:space="preserve">Preparación clínica: Alertar a hospitales y consultorios, establecer procedimientos de aislamiento, y reducir el riesgo de que pacientes sospechosos expongan a las salas de espera.</w:t>
      </w:r>
    </w:p>
    <w:p>
      <w:pPr>
        <w:pStyle w:val="BodyText"/>
      </w:pPr>
      <w:r>
        <w:t xml:space="preserve">Comunicación pública: Informar a la comunidad con la suficiente rapidez para impulsar la acción, evitando al mismo tiempo divulgar la identidad del niño o un lenguaje que pudiera estigmatizar a una escuela, comunidad religiosa, grupo de inmigrantes o familias reacias a la vacunación.</w:t>
      </w:r>
    </w:p>
    <w:bookmarkEnd w:id="15"/>
    <w:bookmarkStart w:id="16" w:name="puntos-de-vista-en-conflicto"/>
    <w:p>
      <w:pPr>
        <w:pStyle w:val="Heading1"/>
      </w:pPr>
      <w:r>
        <w:t xml:space="preserve">Puntos de vista en conflicto</w:t>
      </w:r>
    </w:p>
    <w:p>
      <w:pPr>
        <w:pStyle w:val="FirstParagraph"/>
      </w:pPr>
      <w:r>
        <w:t xml:space="preserve">La superintendente Laura Chen quería una regla uniforme. Los directores no podían interpretar diferentes registros y exenciones mientras también manejaban a padres ansiosos y ausencias de personal. El fiscal del condado advirtió que las reglas de exclusión estaban regidas por la ley estatal y los requisitos de debido proceso. Los pediatras apoyaban las clínicas de vacunación pero dijeron que muchos consultorios carecían de personal de reserva y almacenamiento refrigerado para una campaña repentina. Los ejecutivos hospitalarios pidieron al condado que financiara capacidad dedicada de triaje y pruebas para que los pacientes sospechosos no ingresaran a las salas de espera de urgencias ordinarias.</w:t>
      </w:r>
    </w:p>
    <w:p>
      <w:pPr>
        <w:pStyle w:val="BodyText"/>
      </w:pPr>
      <w:r>
        <w:t xml:space="preserve">Los grupos de padres discrepaban marcadamente. Algunos exigían la exclusión inmediata de todo estudiante sin inmunidad verificada. Otros argumentaban que un solo caso importado no justificaba interrumpir la educación ni tratar a las familias exentas como irresponsables. Las organizaciones comunitarias dijeron que los mensajes del condado eran demasiado técnicos y estaban demasiado centrados en la persuasión. Querían apoyo práctico—traducción, transporte, clínicas nocturnas, recuperación de registros y mensajeros de confianza—antes de la aplicación de la ley.</w:t>
      </w:r>
    </w:p>
    <w:bookmarkEnd w:id="16"/>
    <w:bookmarkStart w:id="17" w:name="la-decisión-de-financiamiento"/>
    <w:p>
      <w:pPr>
        <w:pStyle w:val="Heading1"/>
      </w:pPr>
      <w:r>
        <w:t xml:space="preserve">La decisión de financiamiento</w:t>
      </w:r>
    </w:p>
    <w:p>
      <w:pPr>
        <w:pStyle w:val="FirstParagraph"/>
      </w:pPr>
      <w:r>
        <w:t xml:space="preserve">Patel podía acceder a $1.9 million en reservas de emergencia. Una subvención estatal para brotes podría reembolsar hasta $1.2 million, pero solo después de que los gastos fueran documentados y aprobados. El ejecutivo del condado estaba dispuesto a considerar una asignación adicional si Patel podía explicar qué se compraría, cuánto tiempo operaría y cuándo se detendría el condado. Cada dólar comprometido con el sarampión no estaría disponible para inspecciones de restaurantes, clínicas de infecciones de transmisión sexual, visitas de salud materna, control de tuberculosis y preparativos para la temporada de virus respiratorios del otoño.</w:t>
      </w:r>
    </w:p>
    <w:bookmarkEnd w:id="17"/>
    <w:bookmarkStart w:id="18" w:name="programas-en-revisión"/>
    <w:p>
      <w:pPr>
        <w:pStyle w:val="Heading1"/>
      </w:pPr>
      <w:r>
        <w:t xml:space="preserve">Programas en revisión</w:t>
      </w:r>
    </w:p>
    <w:p>
      <w:pPr>
        <w:pStyle w:val="FirstParagraph"/>
      </w:pPr>
      <w:r>
        <w:t xml:space="preserve">Nota: Los costos, resultados y estimaciones locales son ficticios. Las cifras de capacidad muestran lo que podría entregarse durante los primeros 90 días.</w:t>
      </w:r>
    </w:p>
    <w:tbl>
      <w:tblPr>
        <w:tblStyle w:val="Table"/>
        <w:tblW w:type="pct" w:w="4950"/>
        <w:tblLayout w:type="fixed"/>
        <w:tblLook w:firstRow="1" w:lastRow="0" w:firstColumn="0" w:lastColumn="0" w:noHBand="0" w:noVBand="0" w:val="0020"/>
      </w:tblPr>
      <w:tblGrid>
        <w:gridCol w:w="1221"/>
        <w:gridCol w:w="551"/>
        <w:gridCol w:w="1694"/>
        <w:gridCol w:w="2324"/>
        <w:gridCol w:w="2048"/>
      </w:tblGrid>
      <w:tr>
        <w:trPr>
          <w:tblHeader w:val="on"/>
        </w:trPr>
        <w:tc>
          <w:tcPr/>
          <w:p>
            <w:pPr>
              <w:pStyle w:val="Compact"/>
              <w:jc w:val="left"/>
            </w:pPr>
            <w:r>
              <w:t xml:space="preserve">Intervención</w:t>
            </w:r>
          </w:p>
        </w:tc>
        <w:tc>
          <w:tcPr/>
          <w:p>
            <w:pPr>
              <w:pStyle w:val="Compact"/>
              <w:jc w:val="right"/>
            </w:pPr>
            <w:r>
              <w:t xml:space="preserve">Costo a 90 dí</w:t>
            </w:r>
          </w:p>
        </w:tc>
        <w:tc>
          <w:tcPr/>
          <w:p>
            <w:pPr>
              <w:pStyle w:val="Compact"/>
              <w:jc w:val="left"/>
            </w:pPr>
            <w:r>
              <w:t xml:space="preserve">as Capacidad potencial</w:t>
            </w:r>
          </w:p>
        </w:tc>
        <w:tc>
          <w:tcPr/>
          <w:p>
            <w:pPr>
              <w:pStyle w:val="Compact"/>
              <w:jc w:val="center"/>
            </w:pPr>
            <w:r>
              <w:t xml:space="preserve">Incertidumbre principal</w:t>
            </w:r>
          </w:p>
        </w:tc>
        <w:tc>
          <w:tcPr/>
          <w:p>
            <w:pPr>
              <w:pStyle w:val="Compact"/>
              <w:jc w:val="center"/>
            </w:pPr>
            <w:r>
              <w:t xml:space="preserve">Restricción operativa</w:t>
            </w:r>
          </w:p>
        </w:tc>
      </w:tr>
      <w:tr>
        <w:tc>
          <w:tcPr/>
          <w:p>
            <w:pPr>
              <w:pStyle w:val="Compact"/>
              <w:jc w:val="left"/>
            </w:pPr>
            <w:r>
              <w:t xml:space="preserve">Clínicas en escuelas</w:t>
            </w:r>
          </w:p>
        </w:tc>
        <w:tc>
          <w:tcPr/>
          <w:p>
            <w:pPr>
              <w:pStyle w:val="Compact"/>
              <w:jc w:val="right"/>
            </w:pPr>
            <w:r>
              <w:t xml:space="preserve">$620,000</w:t>
            </w:r>
          </w:p>
        </w:tc>
        <w:tc>
          <w:tcPr/>
          <w:p>
            <w:pPr>
              <w:pStyle w:val="Compact"/>
              <w:jc w:val="left"/>
            </w:pPr>
            <w:r>
              <w:t xml:space="preserve">18,000 vacunaciones o revisiones de registr</w:t>
            </w:r>
          </w:p>
        </w:tc>
        <w:tc>
          <w:tcPr/>
          <w:p>
            <w:pPr>
              <w:pStyle w:val="Compact"/>
              <w:jc w:val="center"/>
            </w:pPr>
            <w:r>
              <w:t xml:space="preserve">os ¿Cuántos estudiantes indocumentados ya son inmunes?</w:t>
            </w:r>
          </w:p>
        </w:tc>
        <w:tc>
          <w:tcPr/>
          <w:p>
            <w:pPr>
              <w:pStyle w:val="Compact"/>
              <w:jc w:val="center"/>
            </w:pPr>
            <w:r>
              <w:t xml:space="preserve">Requiere consentimiento escolar, personal y cadena de frío</w:t>
            </w:r>
          </w:p>
        </w:tc>
      </w:tr>
      <w:tr>
        <w:tc>
          <w:tcPr/>
          <w:p>
            <w:pPr>
              <w:pStyle w:val="Compact"/>
              <w:jc w:val="left"/>
            </w:pPr>
            <w:r>
              <w:t xml:space="preserve">Clínicas móviles/comunitarias</w:t>
            </w:r>
          </w:p>
        </w:tc>
        <w:tc>
          <w:tcPr/>
          <w:p>
            <w:pPr>
              <w:pStyle w:val="Compact"/>
              <w:jc w:val="right"/>
            </w:pPr>
            <w:r>
              <w:t xml:space="preserve">$410,000</w:t>
            </w:r>
          </w:p>
        </w:tc>
        <w:tc>
          <w:tcPr/>
          <w:p>
            <w:pPr>
              <w:pStyle w:val="Compact"/>
              <w:jc w:val="left"/>
            </w:pPr>
            <w:r>
              <w:t xml:space="preserve">7,500 vacunaciones; 36 eventos nocturn</w:t>
            </w:r>
          </w:p>
        </w:tc>
        <w:tc>
          <w:tcPr/>
          <w:p>
            <w:pPr>
              <w:pStyle w:val="Compact"/>
              <w:jc w:val="center"/>
            </w:pPr>
            <w:r>
              <w:t xml:space="preserve">os ¿Asistirán los grupos de baja cobertura a eventos patr</w:t>
            </w:r>
          </w:p>
        </w:tc>
        <w:tc>
          <w:tcPr/>
          <w:p>
            <w:pPr>
              <w:pStyle w:val="Compact"/>
              <w:jc w:val="center"/>
            </w:pPr>
            <w:r>
              <w:t xml:space="preserve">ocinados por el condado? Los sitios y socios de confianza varían según el vecindario</w:t>
            </w:r>
          </w:p>
        </w:tc>
      </w:tr>
      <w:tr>
        <w:tc>
          <w:tcPr/>
          <w:p>
            <w:pPr>
              <w:pStyle w:val="Compact"/>
              <w:jc w:val="left"/>
            </w:pPr>
            <w:r>
              <w:t xml:space="preserve">Equipo de reconciliación de reg</w:t>
            </w:r>
          </w:p>
        </w:tc>
        <w:tc>
          <w:tcPr/>
          <w:p>
            <w:pPr>
              <w:pStyle w:val="Compact"/>
              <w:jc w:val="right"/>
            </w:pPr>
            <w:r>
              <w:t xml:space="preserve">istros $2</w:t>
            </w:r>
          </w:p>
        </w:tc>
        <w:tc>
          <w:tcPr/>
          <w:p>
            <w:pPr>
              <w:pStyle w:val="Compact"/>
              <w:jc w:val="left"/>
            </w:pPr>
            <w:r>
              <w:t xml:space="preserve">80,000 25,000 registros de estudiantes</w:t>
            </w:r>
          </w:p>
        </w:tc>
        <w:tc>
          <w:tcPr/>
          <w:p>
            <w:pPr>
              <w:pStyle w:val="Compact"/>
              <w:jc w:val="center"/>
            </w:pPr>
            <w:r>
              <w:t xml:space="preserve">revisados ¿Los mejores registros cambiarán materialmen</w:t>
            </w:r>
          </w:p>
        </w:tc>
        <w:tc>
          <w:tcPr/>
          <w:p>
            <w:pPr>
              <w:pStyle w:val="Compact"/>
              <w:jc w:val="center"/>
            </w:pPr>
            <w:r>
              <w:t xml:space="preserve">te las estimaciones de riesgo? Intercambio de datos y verificación manual</w:t>
            </w:r>
          </w:p>
        </w:tc>
      </w:tr>
      <w:tr>
        <w:tc>
          <w:tcPr/>
          <w:p>
            <w:pPr>
              <w:pStyle w:val="Compact"/>
              <w:jc w:val="left"/>
            </w:pPr>
            <w:r>
              <w:t xml:space="preserve">Apoyo de aislamiento clínico</w:t>
            </w:r>
          </w:p>
        </w:tc>
        <w:tc>
          <w:tcPr/>
          <w:p>
            <w:pPr>
              <w:pStyle w:val="Compact"/>
              <w:jc w:val="right"/>
            </w:pPr>
            <w:r>
              <w:t xml:space="preserve">$360,000</w:t>
            </w:r>
          </w:p>
        </w:tc>
        <w:tc>
          <w:tcPr/>
          <w:p>
            <w:pPr>
              <w:pStyle w:val="Compact"/>
              <w:jc w:val="left"/>
            </w:pPr>
            <w:r>
              <w:t xml:space="preserve">12 instalaciones equipadas y capacitadas</w:t>
            </w:r>
          </w:p>
        </w:tc>
        <w:tc>
          <w:tcPr/>
          <w:p>
            <w:pPr>
              <w:pStyle w:val="Compact"/>
              <w:jc w:val="center"/>
            </w:pPr>
            <w:r>
              <w:t xml:space="preserve">¿Cuántos casos sospechosos buscarán atención?</w:t>
            </w:r>
          </w:p>
        </w:tc>
        <w:tc>
          <w:tcPr/>
          <w:p>
            <w:pPr>
              <w:pStyle w:val="Compact"/>
              <w:jc w:val="center"/>
            </w:pPr>
            <w:r>
              <w:t xml:space="preserve">Los flujos de trabajo hospitalarios y de consultorio difieren</w:t>
            </w:r>
          </w:p>
        </w:tc>
      </w:tr>
      <w:tr>
        <w:tc>
          <w:tcPr/>
          <w:p>
            <w:pPr>
              <w:pStyle w:val="Compact"/>
              <w:jc w:val="left"/>
            </w:pPr>
            <w:r>
              <w:t xml:space="preserve">Comunicación y mensajeros $2</w:t>
            </w:r>
          </w:p>
        </w:tc>
        <w:tc>
          <w:tcPr/>
          <w:p>
            <w:pPr>
              <w:pStyle w:val="Compact"/>
              <w:jc w:val="right"/>
            </w:pPr>
            <w:r>
              <w:t xml:space="preserve">40,000 Cam</w:t>
            </w:r>
          </w:p>
        </w:tc>
        <w:tc>
          <w:tcPr/>
          <w:p>
            <w:pPr>
              <w:pStyle w:val="Compact"/>
              <w:jc w:val="left"/>
            </w:pPr>
            <w:r>
              <w:t xml:space="preserve">paña multilingüe; 40 subvenciones a socios</w:t>
            </w:r>
          </w:p>
        </w:tc>
        <w:tc>
          <w:tcPr/>
          <w:p>
            <w:pPr>
              <w:pStyle w:val="Compact"/>
              <w:jc w:val="center"/>
            </w:pPr>
            <w:r>
              <w:t xml:space="preserve">¿Podrían los mensajes aumentar la resistencia o el estigm</w:t>
            </w:r>
          </w:p>
        </w:tc>
        <w:tc>
          <w:tcPr/>
          <w:p>
            <w:pPr>
              <w:pStyle w:val="Compact"/>
              <w:jc w:val="center"/>
            </w:pPr>
            <w:r>
              <w:t xml:space="preserve">a? El impacto es difícil de atribuir</w:t>
            </w:r>
          </w:p>
        </w:tc>
      </w:tr>
      <w:tr>
        <w:tc>
          <w:tcPr/>
          <w:p>
            <w:pPr>
              <w:pStyle w:val="Compact"/>
              <w:jc w:val="left"/>
            </w:pPr>
            <w:r>
              <w:t xml:space="preserve">Reserva ampliada de rastreo</w:t>
            </w:r>
          </w:p>
        </w:tc>
        <w:tc>
          <w:tcPr/>
          <w:p>
            <w:pPr>
              <w:pStyle w:val="Compact"/>
              <w:jc w:val="right"/>
            </w:pPr>
            <w:r>
              <w:t xml:space="preserve">$510,000</w:t>
            </w:r>
          </w:p>
        </w:tc>
        <w:tc>
          <w:tcPr/>
          <w:p>
            <w:pPr>
              <w:pStyle w:val="Compact"/>
              <w:jc w:val="left"/>
            </w:pPr>
            <w:r>
              <w:t xml:space="preserve">Hasta 1,800 contactos monitoreados</w:t>
            </w:r>
          </w:p>
        </w:tc>
        <w:tc>
          <w:tcPr/>
          <w:p>
            <w:pPr>
              <w:pStyle w:val="Compact"/>
              <w:jc w:val="center"/>
            </w:pPr>
            <w:r>
              <w:t xml:space="preserve">Número y complejidad de casos futuros</w:t>
            </w:r>
          </w:p>
        </w:tc>
        <w:tc>
          <w:tcPr/>
          <w:p>
            <w:pPr>
              <w:pStyle w:val="Compact"/>
              <w:jc w:val="center"/>
            </w:pPr>
            <w:r>
              <w:t xml:space="preserve">Intensivo en mano de obra; la demanda puede desaparecer o aumentar</w:t>
            </w:r>
          </w:p>
        </w:tc>
      </w:tr>
    </w:tbl>
    <w:bookmarkEnd w:id="18"/>
    <w:bookmarkStart w:id="19" w:name="X9c5a3e29cd40ab47cd7af267c2a5699377709f7"/>
    <w:p>
      <w:pPr>
        <w:pStyle w:val="Heading1"/>
      </w:pPr>
      <w:r>
        <w:t xml:space="preserve">Direcciones posibles—no mutuamente excluyentes</w:t>
      </w:r>
    </w:p>
    <w:p>
      <w:pPr>
        <w:pStyle w:val="FirstParagraph"/>
      </w:pPr>
      <w:r>
        <w:t xml:space="preserve">Contener la exposición actual. Concentrar los recursos en el rastreo, la profilaxis post-exposición, las verificaciones de registros escolares y el aislamiento clínico; evitar una campaña más amplia a menos que aparezcan casos secundarios.</w:t>
      </w:r>
    </w:p>
    <w:p>
      <w:pPr>
        <w:pStyle w:val="BodyText"/>
      </w:pPr>
      <w:r>
        <w:t xml:space="preserve">Cerrar las brechas de acceso documentadas. Ampliar la vacunación conveniente y la recuperación de registros en escuelas de baja cobertura, independientemente de las creencias declaradas de las familias.</w:t>
      </w:r>
    </w:p>
    <w:p>
      <w:pPr>
        <w:pStyle w:val="BodyText"/>
      </w:pPr>
      <w:r>
        <w:t xml:space="preserve">Usar una aplicación escolar más estricta. Ajustar los plazos y las prácticas de exclusión para aumentar la inmunidad documentada, aceptando la disrupción política y educativa.</w:t>
      </w:r>
    </w:p>
    <w:p>
      <w:pPr>
        <w:pStyle w:val="BodyText"/>
      </w:pPr>
      <w:r>
        <w:t xml:space="preserve">Invertir en confianza y relaciones. Financiar organizaciones locales y clínicos para comprometerse con las familias reacias con el tiempo, aunque los resultados medibles puedan ser lentos e inciertos.</w:t>
      </w:r>
    </w:p>
    <w:p>
      <w:pPr>
        <w:pStyle w:val="BodyText"/>
      </w:pPr>
      <w:r>
        <w:t xml:space="preserve">Adoptar una cartera activada por riesgo. Predefinir umbrales—nuevos casos, entornos de exposición, cobertura escolar, capacidad hospitalaria—que expandan o contraigan automáticamente las intervenciones.</w:t>
      </w:r>
    </w:p>
    <w:bookmarkEnd w:id="19"/>
    <w:bookmarkStart w:id="20" w:name="qué-significaría-el-éxito"/>
    <w:p>
      <w:pPr>
        <w:pStyle w:val="Heading1"/>
      </w:pPr>
      <w:r>
        <w:t xml:space="preserve">¿Qué significaría el éxito?</w:t>
      </w:r>
    </w:p>
    <w:p>
      <w:pPr>
        <w:pStyle w:val="FirstParagraph"/>
      </w:pPr>
      <w:r>
        <w:t xml:space="preserve">Las partes interesadas no estaban de acuerdo sobre el objetivo. Los epidemiólogos enfatizaban prevenir la transmisión secundaria. Las escuelas querían estabilidad de asistencia y reglas claras. Los hospitales priorizaban un triaje seguro y evitaban las exposiciones. Los padres se centraban en la seguridad infantil, la autonomía, o ambas. Los grupos comunitarios enfatizaban la confianza y el acceso equitativo. Los funcionarios financieros querían saber el costo por vacunación, por registro verificado, por caso detectado, o por infección prevenida—aunque esta última medida nunca podría observarse directamente.</w:t>
      </w:r>
    </w:p>
    <w:p>
      <w:pPr>
        <w:pStyle w:val="BodyText"/>
      </w:pPr>
      <w:r>
        <w:t xml:space="preserve">Patel también enfrentaba un problema de tiempo. Una respuesta contundente podría parecer un desperdicio si no ocurriera un segundo caso. Una respuesta contenida podría parecer prudente—hasta que el reconocimiento tardío permitiera la transmisión a través de varias escuelas. Mejores datos podrían reducir la incertidumbre, pero esperar mejores datos era en sí mismo una decisión.</w:t>
      </w:r>
    </w:p>
    <w:bookmarkEnd w:id="20"/>
    <w:bookmarkStart w:id="21" w:name="Xc86d8994abbce3f242ec159eacee51cd6c836c6"/>
    <w:p>
      <w:pPr>
        <w:pStyle w:val="Heading1"/>
      </w:pPr>
      <w:r>
        <w:t xml:space="preserve">Exhibición 1. Indicadores de vacunación de Harbor County</w:t>
      </w:r>
    </w:p>
    <w:p>
      <w:pPr>
        <w:pStyle w:val="FirstParagraph"/>
      </w:pPr>
      <w:r>
        <w:t xml:space="preserve">*Las cifras de 2026 reflejan los registros disponibles al 15 de julio. Todas las cifras de Harbor County son ficticias.</w:t>
      </w:r>
    </w:p>
    <w:tbl>
      <w:tblPr>
        <w:tblStyle w:val="Table"/>
        <w:tblW w:type="pct" w:w="4901"/>
        <w:tblLayout w:type="fixed"/>
        <w:tblLook w:firstRow="1" w:lastRow="0" w:firstColumn="0" w:lastColumn="0" w:noHBand="0" w:noVBand="0" w:val="0020"/>
      </w:tblPr>
      <w:tblGrid>
        <w:gridCol w:w="3293"/>
        <w:gridCol w:w="862"/>
        <w:gridCol w:w="862"/>
        <w:gridCol w:w="862"/>
        <w:gridCol w:w="862"/>
        <w:gridCol w:w="1019"/>
      </w:tblGrid>
      <w:tr>
        <w:trPr>
          <w:tblHeader w:val="on"/>
        </w:trPr>
        <w:tc>
          <w:tcPr/>
          <w:p>
            <w:pPr>
              <w:pStyle w:val="Compact"/>
              <w:jc w:val="left"/>
            </w:pPr>
            <w:r>
              <w:t xml:space="preserve">Indicador</w:t>
            </w:r>
          </w:p>
        </w:tc>
        <w:tc>
          <w:tcPr/>
          <w:p>
            <w:pPr>
              <w:pStyle w:val="Compact"/>
              <w:jc w:val="left"/>
            </w:pPr>
            <w:r>
              <w:t xml:space="preserve">2021–22</w:t>
            </w:r>
          </w:p>
        </w:tc>
        <w:tc>
          <w:tcPr/>
          <w:p>
            <w:pPr>
              <w:pStyle w:val="Compact"/>
              <w:jc w:val="left"/>
            </w:pPr>
            <w:r>
              <w:t xml:space="preserve">2022–23</w:t>
            </w:r>
          </w:p>
        </w:tc>
        <w:tc>
          <w:tcPr/>
          <w:p>
            <w:pPr>
              <w:pStyle w:val="Compact"/>
              <w:jc w:val="left"/>
            </w:pPr>
            <w:r>
              <w:t xml:space="preserve">2023–24</w:t>
            </w:r>
          </w:p>
        </w:tc>
        <w:tc>
          <w:tcPr/>
          <w:p>
            <w:pPr>
              <w:pStyle w:val="Compact"/>
              <w:jc w:val="left"/>
            </w:pPr>
            <w:r>
              <w:t xml:space="preserve">2024–25</w:t>
            </w:r>
          </w:p>
        </w:tc>
        <w:tc>
          <w:tcPr/>
          <w:p>
            <w:pPr>
              <w:pStyle w:val="Compact"/>
              <w:jc w:val="left"/>
            </w:pPr>
            <w:r>
              <w:t xml:space="preserve">2025–26*</w:t>
            </w:r>
          </w:p>
        </w:tc>
      </w:tr>
      <w:tr>
        <w:tc>
          <w:tcPr/>
          <w:p>
            <w:pPr>
              <w:pStyle w:val="Compact"/>
              <w:jc w:val="left"/>
            </w:pPr>
            <w:r>
              <w:t xml:space="preserve">Cobertura de MMR en kínder</w:t>
            </w:r>
          </w:p>
        </w:tc>
        <w:tc>
          <w:tcPr/>
          <w:p>
            <w:pPr>
              <w:pStyle w:val="Compact"/>
              <w:jc w:val="left"/>
            </w:pPr>
            <w:r>
              <w:t xml:space="preserve">94.8%</w:t>
            </w:r>
          </w:p>
        </w:tc>
        <w:tc>
          <w:tcPr/>
          <w:p>
            <w:pPr>
              <w:pStyle w:val="Compact"/>
              <w:jc w:val="left"/>
            </w:pPr>
            <w:r>
              <w:t xml:space="preserve">94.1%</w:t>
            </w:r>
          </w:p>
        </w:tc>
        <w:tc>
          <w:tcPr/>
          <w:p>
            <w:pPr>
              <w:pStyle w:val="Compact"/>
              <w:jc w:val="left"/>
            </w:pPr>
            <w:r>
              <w:t xml:space="preserve">93.0%</w:t>
            </w:r>
          </w:p>
        </w:tc>
        <w:tc>
          <w:tcPr/>
          <w:p>
            <w:pPr>
              <w:pStyle w:val="Compact"/>
              <w:jc w:val="left"/>
            </w:pPr>
            <w:r>
              <w:t xml:space="preserve">92.4%</w:t>
            </w:r>
          </w:p>
        </w:tc>
        <w:tc>
          <w:tcPr/>
          <w:p>
            <w:pPr>
              <w:pStyle w:val="Compact"/>
              <w:jc w:val="left"/>
            </w:pPr>
            <w:r>
              <w:t xml:space="preserve">91.8%</w:t>
            </w:r>
          </w:p>
        </w:tc>
      </w:tr>
      <w:tr>
        <w:tc>
          <w:tcPr/>
          <w:p>
            <w:pPr>
              <w:pStyle w:val="Compact"/>
              <w:jc w:val="left"/>
            </w:pPr>
            <w:r>
              <w:t xml:space="preserve">Estudiantes con exenciones</w:t>
            </w:r>
          </w:p>
        </w:tc>
        <w:tc>
          <w:tcPr/>
          <w:p>
            <w:pPr>
              <w:pStyle w:val="Compact"/>
              <w:jc w:val="left"/>
            </w:pPr>
            <w:r>
              <w:t xml:space="preserve">2.4%</w:t>
            </w:r>
          </w:p>
        </w:tc>
        <w:tc>
          <w:tcPr/>
          <w:p>
            <w:pPr>
              <w:pStyle w:val="Compact"/>
              <w:jc w:val="left"/>
            </w:pPr>
            <w:r>
              <w:t xml:space="preserve">2.8%</w:t>
            </w:r>
          </w:p>
        </w:tc>
        <w:tc>
          <w:tcPr/>
          <w:p>
            <w:pPr>
              <w:pStyle w:val="Compact"/>
              <w:jc w:val="left"/>
            </w:pPr>
            <w:r>
              <w:t xml:space="preserve">3.3%</w:t>
            </w:r>
          </w:p>
        </w:tc>
        <w:tc>
          <w:tcPr/>
          <w:p>
            <w:pPr>
              <w:pStyle w:val="Compact"/>
              <w:jc w:val="left"/>
            </w:pPr>
            <w:r>
              <w:t xml:space="preserve">3.9%</w:t>
            </w:r>
          </w:p>
        </w:tc>
        <w:tc>
          <w:tcPr/>
          <w:p>
            <w:pPr>
              <w:pStyle w:val="Compact"/>
              <w:jc w:val="left"/>
            </w:pPr>
            <w:r>
              <w:t xml:space="preserve">4.4%</w:t>
            </w:r>
          </w:p>
        </w:tc>
      </w:tr>
      <w:tr>
        <w:tc>
          <w:tcPr/>
          <w:p>
            <w:pPr>
              <w:pStyle w:val="Compact"/>
              <w:jc w:val="left"/>
            </w:pPr>
            <w:r>
              <w:t xml:space="preserve">Estudiantes sin documentación completa 5</w:t>
            </w:r>
          </w:p>
        </w:tc>
        <w:tc>
          <w:tcPr/>
          <w:p>
            <w:pPr>
              <w:pStyle w:val="Compact"/>
              <w:jc w:val="left"/>
            </w:pPr>
            <w:r>
              <w:t xml:space="preserve">.2% 5</w:t>
            </w:r>
          </w:p>
        </w:tc>
        <w:tc>
          <w:tcPr/>
          <w:p>
            <w:pPr>
              <w:pStyle w:val="Compact"/>
              <w:jc w:val="left"/>
            </w:pPr>
            <w:r>
              <w:t xml:space="preserve">.9% 7</w:t>
            </w:r>
          </w:p>
        </w:tc>
        <w:tc>
          <w:tcPr/>
          <w:p>
            <w:pPr>
              <w:pStyle w:val="Compact"/>
              <w:jc w:val="left"/>
            </w:pPr>
            <w:r>
              <w:t xml:space="preserve">.0% 7</w:t>
            </w:r>
          </w:p>
        </w:tc>
        <w:tc>
          <w:tcPr/>
          <w:p>
            <w:pPr>
              <w:pStyle w:val="Compact"/>
              <w:jc w:val="left"/>
            </w:pPr>
            <w:r>
              <w:t xml:space="preserve">.6% 8</w:t>
            </w:r>
          </w:p>
        </w:tc>
        <w:tc>
          <w:tcPr/>
          <w:p>
            <w:pPr>
              <w:pStyle w:val="Compact"/>
              <w:jc w:val="left"/>
            </w:pPr>
            <w:r>
              <w:t xml:space="preserve">.2%</w:t>
            </w:r>
          </w:p>
        </w:tc>
      </w:tr>
      <w:tr>
        <w:tc>
          <w:tcPr/>
          <w:p>
            <w:pPr>
              <w:pStyle w:val="Compact"/>
              <w:jc w:val="left"/>
            </w:pPr>
            <w:r>
              <w:t xml:space="preserve">Escuelas primarias por debajo del 90% de c</w:t>
            </w:r>
          </w:p>
        </w:tc>
        <w:tc>
          <w:tcPr/>
          <w:p>
            <w:pPr>
              <w:pStyle w:val="Compact"/>
              <w:jc w:val="left"/>
            </w:pPr>
            <w:r>
              <w:t xml:space="preserve">obertura</w:t>
            </w:r>
          </w:p>
        </w:tc>
        <w:tc>
          <w:tcPr/>
          <w:p>
            <w:pPr>
              <w:pStyle w:val="Compact"/>
              <w:jc w:val="left"/>
            </w:pPr>
            <w:r>
              <w:t xml:space="preserve">12</w:t>
            </w:r>
          </w:p>
        </w:tc>
        <w:tc>
          <w:tcPr/>
          <w:p>
            <w:pPr>
              <w:pStyle w:val="Compact"/>
              <w:jc w:val="left"/>
            </w:pPr>
            <w:r>
              <w:t xml:space="preserve">17</w:t>
            </w:r>
          </w:p>
        </w:tc>
        <w:tc>
          <w:tcPr/>
          <w:p>
            <w:pPr>
              <w:pStyle w:val="Compact"/>
              <w:jc w:val="left"/>
            </w:pPr>
            <w:r>
              <w:t xml:space="preserve">23</w:t>
            </w:r>
          </w:p>
        </w:tc>
        <w:tc>
          <w:tcPr/>
          <w:p>
            <w:pPr>
              <w:pStyle w:val="Compact"/>
              <w:jc w:val="left"/>
            </w:pPr>
            <w:r>
              <w:t xml:space="preserve">27 31</w:t>
            </w:r>
          </w:p>
        </w:tc>
      </w:tr>
      <w:tr>
        <w:tc>
          <w:tcPr/>
          <w:p>
            <w:pPr>
              <w:pStyle w:val="Compact"/>
              <w:jc w:val="left"/>
            </w:pPr>
            <w:r>
              <w:t xml:space="preserve">Escuelas primarias por debajo del 85% de c</w:t>
            </w:r>
          </w:p>
        </w:tc>
        <w:tc>
          <w:tcPr/>
          <w:p>
            <w:pPr>
              <w:pStyle w:val="Compact"/>
              <w:jc w:val="left"/>
            </w:pPr>
            <w:r>
              <w:t xml:space="preserve">obertura</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c>
          <w:tcPr/>
          <w:p>
            <w:pPr>
              <w:pStyle w:val="Compact"/>
              <w:jc w:val="left"/>
            </w:pPr>
            <w:r>
              <w:t xml:space="preserve">8 9</w:t>
            </w:r>
          </w:p>
        </w:tc>
      </w:tr>
      <w:tr>
        <w:tc>
          <w:tcPr/>
          <w:p>
            <w:pPr>
              <w:pStyle w:val="Compact"/>
              <w:jc w:val="left"/>
            </w:pPr>
            <w:r>
              <w:t xml:space="preserve">Dosis de MMR administradas por clínicas de</w:t>
            </w:r>
          </w:p>
        </w:tc>
        <w:tc>
          <w:tcPr/>
          <w:p>
            <w:pPr>
              <w:pStyle w:val="Compact"/>
              <w:jc w:val="left"/>
            </w:pPr>
            <w:r>
              <w:t xml:space="preserve">l condado</w:t>
            </w:r>
          </w:p>
        </w:tc>
        <w:tc>
          <w:tcPr/>
          <w:p>
            <w:pPr>
              <w:pStyle w:val="Compact"/>
              <w:jc w:val="left"/>
            </w:pPr>
            <w:r>
              <w:t xml:space="preserve">3,420</w:t>
            </w:r>
          </w:p>
        </w:tc>
        <w:tc>
          <w:tcPr/>
          <w:p>
            <w:pPr>
              <w:pStyle w:val="Compact"/>
              <w:jc w:val="left"/>
            </w:pPr>
            <w:r>
              <w:t xml:space="preserve">3,180</w:t>
            </w:r>
          </w:p>
        </w:tc>
        <w:tc>
          <w:tcPr/>
          <w:p>
            <w:pPr>
              <w:pStyle w:val="Compact"/>
              <w:jc w:val="left"/>
            </w:pPr>
            <w:r>
              <w:t xml:space="preserve">2,960</w:t>
            </w:r>
          </w:p>
        </w:tc>
        <w:tc>
          <w:tcPr/>
          <w:p>
            <w:pPr>
              <w:pStyle w:val="Compact"/>
              <w:jc w:val="left"/>
            </w:pPr>
            <w:r>
              <w:t xml:space="preserve">3,610 2,740</w:t>
            </w:r>
          </w:p>
        </w:tc>
      </w:tr>
    </w:tbl>
    <w:bookmarkEnd w:id="21"/>
    <w:bookmarkStart w:id="22" w:name="X66bd2f2570d3c5828c705a5433a13cf6e3b069a"/>
    <w:p>
      <w:pPr>
        <w:pStyle w:val="Heading1"/>
      </w:pPr>
      <w:r>
        <w:t xml:space="preserve">Exhibición 2. Variación oculta por el promedio del condado</w:t>
      </w:r>
    </w:p>
    <w:tbl>
      <w:tblPr>
        <w:tblStyle w:val="Table"/>
        <w:tblW w:type="pct" w:w="4925"/>
        <w:tblLayout w:type="fixed"/>
        <w:tblLook w:firstRow="1" w:lastRow="0" w:firstColumn="0" w:lastColumn="0" w:noHBand="0" w:noVBand="0" w:val="0020"/>
      </w:tblPr>
      <w:tblGrid>
        <w:gridCol w:w="1773"/>
        <w:gridCol w:w="650"/>
        <w:gridCol w:w="1536"/>
        <w:gridCol w:w="1004"/>
        <w:gridCol w:w="1063"/>
        <w:gridCol w:w="1773"/>
      </w:tblGrid>
      <w:tr>
        <w:trPr>
          <w:tblHeader w:val="on"/>
        </w:trPr>
        <w:tc>
          <w:tcPr/>
          <w:p>
            <w:pPr>
              <w:pStyle w:val="Compact"/>
              <w:jc w:val="left"/>
            </w:pPr>
            <w:r>
              <w:t xml:space="preserve">Grupo de escuelas</w:t>
            </w:r>
          </w:p>
        </w:tc>
        <w:tc>
          <w:tcPr/>
          <w:p>
            <w:pPr>
              <w:pStyle w:val="Compact"/>
              <w:jc w:val="right"/>
            </w:pPr>
            <w:r>
              <w:t xml:space="preserve">Estudian</w:t>
            </w:r>
          </w:p>
        </w:tc>
        <w:tc>
          <w:tcPr/>
          <w:p>
            <w:pPr>
              <w:pStyle w:val="Compact"/>
            </w:pPr>
            <w:r>
              <w:t xml:space="preserve">tes Cobertura documentad</w:t>
            </w:r>
          </w:p>
        </w:tc>
        <w:tc>
          <w:tcPr/>
          <w:p>
            <w:pPr>
              <w:pStyle w:val="Compact"/>
            </w:pPr>
            <w:r>
              <w:t xml:space="preserve">a de MMR Tasa d</w:t>
            </w:r>
          </w:p>
        </w:tc>
        <w:tc>
          <w:tcPr/>
          <w:p>
            <w:pPr>
              <w:pStyle w:val="Compact"/>
            </w:pPr>
            <w:r>
              <w:t xml:space="preserve">e exención Regis</w:t>
            </w:r>
          </w:p>
        </w:tc>
        <w:tc>
          <w:tcPr/>
          <w:p>
            <w:pPr>
              <w:pStyle w:val="Compact"/>
            </w:pPr>
            <w:r>
              <w:t xml:space="preserve">tros faltantes Indicador de acceso</w:t>
            </w:r>
          </w:p>
        </w:tc>
      </w:tr>
      <w:tr>
        <w:tc>
          <w:tcPr/>
          <w:p>
            <w:pPr>
              <w:pStyle w:val="Compact"/>
              <w:jc w:val="left"/>
            </w:pPr>
            <w:r>
              <w:t xml:space="preserve">Costa Norte</w:t>
            </w:r>
          </w:p>
        </w:tc>
        <w:tc>
          <w:tcPr/>
          <w:p>
            <w:pPr>
              <w:pStyle w:val="Compact"/>
              <w:jc w:val="right"/>
            </w:pPr>
            <w:r>
              <w:t xml:space="preserve">8,420</w:t>
            </w:r>
          </w:p>
        </w:tc>
        <w:tc>
          <w:tcPr/>
          <w:p>
            <w:pPr>
              <w:pStyle w:val="Compact"/>
            </w:pPr>
            <w:r>
              <w:t xml:space="preserve">96.4%</w:t>
            </w:r>
          </w:p>
        </w:tc>
        <w:tc>
          <w:tcPr/>
          <w:p>
            <w:pPr>
              <w:pStyle w:val="Compact"/>
            </w:pPr>
            <w:r>
              <w:t xml:space="preserve">1.2%</w:t>
            </w:r>
          </w:p>
        </w:tc>
        <w:tc>
          <w:tcPr/>
          <w:p>
            <w:pPr>
              <w:pStyle w:val="Compact"/>
            </w:pPr>
            <w:r>
              <w:t xml:space="preserve">2.4%</w:t>
            </w:r>
          </w:p>
        </w:tc>
        <w:tc>
          <w:tcPr/>
          <w:p>
            <w:pPr>
              <w:pStyle w:val="Compact"/>
            </w:pPr>
            <w:r>
              <w:t xml:space="preserve">Alta densidad de proveedores</w:t>
            </w:r>
          </w:p>
        </w:tc>
      </w:tr>
      <w:tr>
        <w:tc>
          <w:tcPr/>
          <w:p>
            <w:pPr>
              <w:pStyle w:val="Compact"/>
              <w:jc w:val="left"/>
            </w:pPr>
            <w:r>
              <w:t xml:space="preserve">Ciudad Central</w:t>
            </w:r>
          </w:p>
        </w:tc>
        <w:tc>
          <w:tcPr/>
          <w:p>
            <w:pPr>
              <w:pStyle w:val="Compact"/>
              <w:jc w:val="right"/>
            </w:pPr>
            <w:r>
              <w:t xml:space="preserve">11,760</w:t>
            </w:r>
          </w:p>
        </w:tc>
        <w:tc>
          <w:tcPr/>
          <w:p>
            <w:pPr>
              <w:pStyle w:val="Compact"/>
            </w:pPr>
            <w:r>
              <w:t xml:space="preserve">90.7%</w:t>
            </w:r>
          </w:p>
        </w:tc>
        <w:tc>
          <w:tcPr/>
          <w:p>
            <w:pPr>
              <w:pStyle w:val="Compact"/>
            </w:pPr>
            <w:r>
              <w:t xml:space="preserve">2.1%</w:t>
            </w:r>
          </w:p>
        </w:tc>
        <w:tc>
          <w:tcPr/>
          <w:p>
            <w:pPr>
              <w:pStyle w:val="Compact"/>
            </w:pPr>
            <w:r>
              <w:t xml:space="preserve">7.2%</w:t>
            </w:r>
          </w:p>
        </w:tc>
        <w:tc>
          <w:tcPr/>
          <w:p>
            <w:pPr>
              <w:pStyle w:val="Compact"/>
            </w:pPr>
            <w:r>
              <w:t xml:space="preserve">Alta movilidad; multilingüe</w:t>
            </w:r>
          </w:p>
        </w:tc>
      </w:tr>
      <w:tr>
        <w:tc>
          <w:tcPr/>
          <w:p>
            <w:pPr>
              <w:pStyle w:val="Compact"/>
              <w:jc w:val="left"/>
            </w:pPr>
            <w:r>
              <w:t xml:space="preserve">Rural del Interior</w:t>
            </w:r>
          </w:p>
        </w:tc>
        <w:tc>
          <w:tcPr/>
          <w:p>
            <w:pPr>
              <w:pStyle w:val="Compact"/>
              <w:jc w:val="right"/>
            </w:pPr>
            <w:r>
              <w:t xml:space="preserve">6,180</w:t>
            </w:r>
          </w:p>
        </w:tc>
        <w:tc>
          <w:tcPr/>
          <w:p>
            <w:pPr>
              <w:pStyle w:val="Compact"/>
            </w:pPr>
            <w:r>
              <w:t xml:space="preserve">88.9%</w:t>
            </w:r>
          </w:p>
        </w:tc>
        <w:tc>
          <w:tcPr/>
          <w:p>
            <w:pPr>
              <w:pStyle w:val="Compact"/>
            </w:pPr>
            <w:r>
              <w:t xml:space="preserve">3.4%</w:t>
            </w:r>
          </w:p>
        </w:tc>
        <w:tc>
          <w:tcPr/>
          <w:p>
            <w:pPr>
              <w:pStyle w:val="Compact"/>
            </w:pPr>
            <w:r>
              <w:t xml:space="preserve">7.7%</w:t>
            </w:r>
          </w:p>
        </w:tc>
        <w:tc>
          <w:tcPr/>
          <w:p>
            <w:pPr>
              <w:pStyle w:val="Compact"/>
            </w:pPr>
            <w:r>
              <w:t xml:space="preserve">Pocas clínicas nocturnas/de fin de semana</w:t>
            </w:r>
          </w:p>
        </w:tc>
      </w:tr>
      <w:tr>
        <w:tc>
          <w:tcPr/>
          <w:p>
            <w:pPr>
              <w:pStyle w:val="Compact"/>
              <w:jc w:val="left"/>
            </w:pPr>
            <w:r>
              <w:t xml:space="preserve">Suburbio Oeste</w:t>
            </w:r>
          </w:p>
        </w:tc>
        <w:tc>
          <w:tcPr/>
          <w:p>
            <w:pPr>
              <w:pStyle w:val="Compact"/>
              <w:jc w:val="right"/>
            </w:pPr>
            <w:r>
              <w:t xml:space="preserve">9,540</w:t>
            </w:r>
          </w:p>
        </w:tc>
        <w:tc>
          <w:tcPr/>
          <w:p>
            <w:pPr>
              <w:pStyle w:val="Compact"/>
            </w:pPr>
            <w:r>
              <w:t xml:space="preserve">93.6%</w:t>
            </w:r>
          </w:p>
        </w:tc>
        <w:tc>
          <w:tcPr/>
          <w:p>
            <w:pPr>
              <w:pStyle w:val="Compact"/>
            </w:pPr>
            <w:r>
              <w:t xml:space="preserve">4.8%</w:t>
            </w:r>
          </w:p>
        </w:tc>
        <w:tc>
          <w:tcPr/>
          <w:p>
            <w:pPr>
              <w:pStyle w:val="Compact"/>
            </w:pPr>
            <w:r>
              <w:t xml:space="preserve">1.6%</w:t>
            </w:r>
          </w:p>
        </w:tc>
        <w:tc>
          <w:tcPr/>
          <w:p>
            <w:pPr>
              <w:pStyle w:val="Compact"/>
            </w:pPr>
            <w:r>
              <w:t xml:space="preserve">Alta densidad de proveedores</w:t>
            </w:r>
          </w:p>
        </w:tc>
      </w:tr>
      <w:tr>
        <w:tc>
          <w:tcPr/>
          <w:p>
            <w:pPr>
              <w:pStyle w:val="Compact"/>
              <w:jc w:val="left"/>
            </w:pPr>
            <w:r>
              <w:t xml:space="preserve">Escuelas independientes/privad</w:t>
            </w:r>
          </w:p>
        </w:tc>
        <w:tc>
          <w:tcPr/>
          <w:p>
            <w:pPr>
              <w:pStyle w:val="Compact"/>
              <w:jc w:val="right"/>
            </w:pPr>
            <w:r>
              <w:t xml:space="preserve">as 4,330</w:t>
            </w:r>
          </w:p>
        </w:tc>
        <w:tc>
          <w:tcPr/>
          <w:p>
            <w:pPr>
              <w:pStyle w:val="Compact"/>
            </w:pPr>
            <w:r>
              <w:t xml:space="preserve">84.7%</w:t>
            </w:r>
          </w:p>
        </w:tc>
        <w:tc>
          <w:tcPr/>
          <w:p>
            <w:pPr>
              <w:pStyle w:val="Compact"/>
            </w:pPr>
            <w:r>
              <w:t xml:space="preserve">11.2%</w:t>
            </w:r>
          </w:p>
        </w:tc>
        <w:tc>
          <w:tcPr/>
          <w:p>
            <w:pPr>
              <w:pStyle w:val="Compact"/>
            </w:pPr>
            <w:r>
              <w:t xml:space="preserve">4.1%</w:t>
            </w:r>
          </w:p>
        </w:tc>
        <w:tc>
          <w:tcPr/>
          <w:p>
            <w:pPr>
              <w:pStyle w:val="Compact"/>
            </w:pPr>
            <w:r>
              <w:t xml:space="preserve">Las políticas y la confianza varían</w:t>
            </w:r>
          </w:p>
        </w:tc>
      </w:tr>
      <w:tr>
        <w:tc>
          <w:tcPr/>
          <w:p>
            <w:pPr>
              <w:pStyle w:val="Compact"/>
              <w:jc w:val="left"/>
            </w:pPr>
            <w:r>
              <w:t xml:space="preserve">Todo el condado</w:t>
            </w:r>
          </w:p>
        </w:tc>
        <w:tc>
          <w:tcPr/>
          <w:p>
            <w:pPr>
              <w:pStyle w:val="Compact"/>
              <w:jc w:val="right"/>
            </w:pPr>
            <w:r>
              <w:t xml:space="preserve">40,230</w:t>
            </w:r>
          </w:p>
        </w:tc>
        <w:tc>
          <w:tcPr/>
          <w:p>
            <w:pPr>
              <w:pStyle w:val="Compact"/>
            </w:pPr>
            <w:r>
              <w:t xml:space="preserve">91.8%</w:t>
            </w:r>
          </w:p>
        </w:tc>
        <w:tc>
          <w:tcPr/>
          <w:p>
            <w:pPr>
              <w:pStyle w:val="Compact"/>
            </w:pPr>
            <w:r>
              <w:t xml:space="preserve">4.4%</w:t>
            </w:r>
          </w:p>
        </w:tc>
        <w:tc>
          <w:tcPr/>
          <w:p>
            <w:pPr>
              <w:pStyle w:val="Compact"/>
            </w:pPr>
            <w:r>
              <w:t xml:space="preserve">3.8%</w:t>
            </w:r>
          </w:p>
        </w:tc>
        <w:tc>
          <w:tcPr/>
          <w:p>
            <w:pPr>
              <w:pStyle w:val="Compact"/>
            </w:pPr>
            <w:r>
              <w:t xml:space="preserve">El promedio enmascara la agrupación</w:t>
            </w:r>
          </w:p>
        </w:tc>
      </w:tr>
    </w:tbl>
    <w:bookmarkEnd w:id="22"/>
    <w:bookmarkStart w:id="23" w:name="preguntas-de-discusión"/>
    <w:p>
      <w:pPr>
        <w:pStyle w:val="Heading1"/>
      </w:pPr>
      <w:r>
        <w:t xml:space="preserve">Preguntas de discusión</w:t>
      </w:r>
    </w:p>
    <w:p>
      <w:pPr>
        <w:numPr>
          <w:ilvl w:val="0"/>
          <w:numId w:val="1001"/>
        </w:numPr>
      </w:pPr>
      <w:r>
        <w:t xml:space="preserve">¿Qué problema se le pide a Patel que resuelva: contener una exposición, prevenir un brote, aumentar la cobertura de vacunación, reconstruir la confianza, o proteger a los residentes vulnerables?</w:t>
      </w:r>
    </w:p>
    <w:p>
      <w:pPr>
        <w:numPr>
          <w:ilvl w:val="0"/>
          <w:numId w:val="1001"/>
        </w:numPr>
      </w:pPr>
      <w:r>
        <w:t xml:space="preserve">¿Qué decisiones deben tomarse antes de la reunión de las 3:30 p.m., y cuáles pueden ser contingentes a nueva información?</w:t>
      </w:r>
    </w:p>
    <w:p>
      <w:pPr>
        <w:numPr>
          <w:ilvl w:val="0"/>
          <w:numId w:val="1001"/>
        </w:numPr>
      </w:pPr>
      <w:r>
        <w:t xml:space="preserve">¿Cómo debería el condado distinguir la falta de vacunación de la falta de documentación? ¿Cuál es el valor de mejorar los datos?</w:t>
      </w:r>
    </w:p>
    <w:p>
      <w:pPr>
        <w:numPr>
          <w:ilvl w:val="0"/>
          <w:numId w:val="1001"/>
        </w:numPr>
      </w:pPr>
      <w:r>
        <w:t xml:space="preserve">¿Qué medidas de desempeño deberían regir la respuesta: casos, transmisión secundaria, cobertura, registros verificados, días escolares perdidos, confianza, equidad, costo, o alguna combinación?</w:t>
      </w:r>
    </w:p>
    <w:p>
      <w:pPr>
        <w:numPr>
          <w:ilvl w:val="0"/>
          <w:numId w:val="1001"/>
        </w:numPr>
      </w:pPr>
      <w:r>
        <w:t xml:space="preserve">¿Cómo deberían asignarse los recursos cuando la baja cobertura resulta de diferentes causas en diferentes comunidades?</w:t>
      </w:r>
    </w:p>
    <w:p>
      <w:pPr>
        <w:numPr>
          <w:ilvl w:val="0"/>
          <w:numId w:val="1001"/>
        </w:numPr>
      </w:pPr>
      <w:r>
        <w:t xml:space="preserve">¿Qué estrategia de comunicación proporcionaría información útil sin aumentar el estigma, la polarización o la complacencia?</w:t>
      </w:r>
    </w:p>
    <w:p>
      <w:pPr>
        <w:numPr>
          <w:ilvl w:val="0"/>
          <w:numId w:val="1001"/>
        </w:numPr>
      </w:pPr>
      <w:r>
        <w:t xml:space="preserve">Prepare una recomendación de 90 días para Patel, incluyendo un presupuesto, desencadenantes de decisión, e indicadores que causarían que la estrategia se expandiera, se contrajera o cambiara.</w:t>
      </w:r>
    </w:p>
    <w:bookmarkEnd w:id="23"/>
    <w:bookmarkStart w:id="29" w:name="preguntas-de-encuadre-de-la-decisión"/>
    <w:p>
      <w:pPr>
        <w:pStyle w:val="Heading1"/>
      </w:pPr>
      <w:r>
        <w:t xml:space="preserve">Preguntas de encuadre de la decisión</w:t>
      </w:r>
    </w:p>
    <w:p>
      <w:pPr>
        <w:numPr>
          <w:ilvl w:val="0"/>
          <w:numId w:val="1002"/>
        </w:numPr>
      </w:pPr>
      <w:r>
        <w:t xml:space="preserve">Identifique y describa las responsabilidades del responsable de la decisión. Esto debería establecer el alcance del problema.</w:t>
      </w:r>
    </w:p>
    <w:p>
      <w:pPr>
        <w:numPr>
          <w:ilvl w:val="0"/>
          <w:numId w:val="1002"/>
        </w:numPr>
      </w:pPr>
      <w:r>
        <w:t xml:space="preserve">Use la</w:t>
      </w:r>
      <w:r>
        <w:t xml:space="preserve"> </w:t>
      </w:r>
      <w:hyperlink r:id="rId24">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a maximizar (verde), a minimizar (rojo), un objetivo que es un piso (verde claro) o un techo (rojo claro), o finalmente un objetivo (morado).</w:t>
      </w:r>
    </w:p>
    <w:p>
      <w:pPr>
        <w:numPr>
          <w:ilvl w:val="0"/>
          <w:numId w:val="1002"/>
        </w:numPr>
      </w:pPr>
      <w:r>
        <w:t xml:space="preserve">Use la</w:t>
      </w:r>
      <w:r>
        <w:t xml:space="preserve"> </w:t>
      </w:r>
      <w:hyperlink r:id="rId25">
        <w:r>
          <w:rPr>
            <w:rStyle w:val="Hyperlink"/>
          </w:rPr>
          <w:t xml:space="preserve">herramienta de priorización de decisiones</w:t>
        </w:r>
      </w:hyperlink>
      <w:r>
        <w:t xml:space="preserve"> </w:t>
      </w:r>
      <w:r>
        <w:t xml:space="preserve">para primero listar los diferentes tipos de decisiones (use los</w:t>
      </w:r>
      <w:r>
        <w:t xml:space="preserve"> </w:t>
      </w:r>
      <w:hyperlink r:id="rId26">
        <w:r>
          <w:rPr>
            <w:rStyle w:val="Hyperlink"/>
          </w:rPr>
          <w:t xml:space="preserve">tipos de decisiones</w:t>
        </w:r>
      </w:hyperlink>
      <w:r>
        <w:t xml:space="preserve"> </w:t>
      </w:r>
      <w:r>
        <w:t xml:space="preserve">como guía). Estos luego poblarán las filas de la matriz a la derecha, donde las columnas son las métricas de desempeño ordenadas de izquierda a derecha por la prioridad en la pirámide anterior. Haga clic en cada celda para indicar si el impacto de la decisión en cada métrica es alto (rojo), medio (naranja), bajo (amarillo) o nulo (blanco).</w:t>
      </w:r>
    </w:p>
    <w:p>
      <w:pPr>
        <w:numPr>
          <w:ilvl w:val="0"/>
          <w:numId w:val="1002"/>
        </w:numPr>
      </w:pPr>
      <w:r>
        <w:t xml:space="preserve">Puede tomar el manejador (tres barras) más a la izquierda en cada fila para moverlo hacia arriba o hacia abajo. Ordene las filas de manera que las decisiones con el mayor impacto en las métricas más importantes estén hacia arriba. Las celdas en la esquina superior izquierda deberían tener la mayor concentración de celdas rojas y naranjas. En este punto, identifique las decisiones que deberían recibir la mayor atención en su estudio. Si no tiene decisiones con un impacto medio o alto en las métricas más importantes, revise su lista de decisiones.</w:t>
      </w:r>
    </w:p>
    <w:p>
      <w:pPr>
        <w:numPr>
          <w:ilvl w:val="0"/>
          <w:numId w:val="1002"/>
        </w:numPr>
      </w:pPr>
      <w:r>
        <w:t xml:space="preserve">Repita el proceso para listar y priorizar las incertidumbres usando la</w:t>
      </w:r>
      <w:r>
        <w:t xml:space="preserve"> </w:t>
      </w:r>
      <w:hyperlink r:id="rId27">
        <w:r>
          <w:rPr>
            <w:rStyle w:val="Hyperlink"/>
          </w:rPr>
          <w:t xml:space="preserve">herramienta de priorización de incertidumbres</w:t>
        </w:r>
      </w:hyperlink>
      <w:r>
        <w:t xml:space="preserve">. Use las</w:t>
      </w:r>
      <w:r>
        <w:t xml:space="preserve"> </w:t>
      </w:r>
      <w:hyperlink r:id="rId28">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pueden evaluarse en promedio, o como eventos de riesgo:</w:t>
      </w:r>
    </w:p>
    <w:p>
      <w:pPr>
        <w:numPr>
          <w:ilvl w:val="1"/>
          <w:numId w:val="1003"/>
        </w:numPr>
      </w:pPr>
      <w:r>
        <w:t xml:space="preserve">¿Qué fuentes de incertidumbre se capturarían usando el desempeño promedio a lo largo del tiempo?</w:t>
      </w:r>
    </w:p>
    <w:p>
      <w:pPr>
        <w:numPr>
          <w:ilvl w:val="1"/>
          <w:numId w:val="1003"/>
        </w:numPr>
      </w:pPr>
      <w:r>
        <w:t xml:space="preserve">¿Qué fuentes de incertidumbre representan formas de riesgo que no se capturan adecuadamente usando promedios?</w:t>
      </w:r>
    </w:p>
    <w:p>
      <w:pPr>
        <w:numPr>
          <w:ilvl w:val="0"/>
          <w:numId w:val="1002"/>
        </w:numPr>
      </w:pPr>
      <w:r>
        <w:t xml:space="preserve">Elija la decisión individual que parezca tener el mayor impacto en la métrica más importante.</w:t>
      </w:r>
    </w:p>
    <w:p>
      <w:pPr>
        <w:numPr>
          <w:ilvl w:val="1"/>
          <w:numId w:val="1004"/>
        </w:numPr>
      </w:pPr>
      <w:r>
        <w:t xml:space="preserve">¿Qué enfoque cree que usaría para tomar esta decisión?</w:t>
      </w:r>
    </w:p>
    <w:p>
      <w:pPr>
        <w:numPr>
          <w:ilvl w:val="1"/>
          <w:numId w:val="1004"/>
        </w:numPr>
      </w:pPr>
      <w:r>
        <w:t xml:space="preserve">¿Qué datos parecen ser necesarios para tomar esta decisión, incluyendo el cálculo de cualquier métrica de desempeño donde la decisión tendría un impacto alto o medio?</w:t>
      </w:r>
    </w:p>
    <w:p>
      <w:pPr>
        <w:numPr>
          <w:ilvl w:val="0"/>
          <w:numId w:val="1002"/>
        </w:numPr>
      </w:pPr>
      <w:r>
        <w:t xml:space="preserve">Usando la misma decisión que identificó en (7), identifique a las personas, departamentos, grupos u organizaciones con los que necesitaría trabajar para implementar la decisión.</w:t>
      </w:r>
    </w:p>
    <w:bookmarkEnd w:id="29"/>
    <w:bookmarkStart w:id="30" w:name="fuentes-y-notas"/>
    <w:p>
      <w:pPr>
        <w:pStyle w:val="Heading1"/>
      </w:pPr>
      <w:r>
        <w:t xml:space="preserve">Fuentes y notas</w:t>
      </w:r>
    </w:p>
    <w:p>
      <w:pPr>
        <w:pStyle w:val="FirstParagraph"/>
      </w:pPr>
      <w:r>
        <w:t xml:space="preserve">1. CDC,</w:t>
      </w:r>
      <w:r>
        <w:t xml:space="preserve"> </w:t>
      </w:r>
      <w:r>
        <w:t xml:space="preserve">“Measles Cases and Outbreaks,”</w:t>
      </w:r>
      <w:r>
        <w:t xml:space="preserve"> </w:t>
      </w:r>
      <w:r>
        <w:t xml:space="preserve">actualizado el 24 de julio de 2026. Al 23 de julio de 2026, Estados Unidos había reportado 2,318 casos confirmados; el 93% estaba asociado a brotes. La página también reporta 2,289 casos en 2025 y 285 en 2024, y señala que la inmunidad comunitaria generalmente requiere una cobertura superior al 95%.</w:t>
      </w:r>
    </w:p>
    <w:p>
      <w:pPr>
        <w:pStyle w:val="BodyText"/>
      </w:pPr>
      <w:r>
        <w:t xml:space="preserve">2. CDC,</w:t>
      </w:r>
      <w:r>
        <w:t xml:space="preserve"> </w:t>
      </w:r>
      <w:r>
        <w:t xml:space="preserve">“Measles Symptoms and Complications,”</w:t>
      </w:r>
      <w:r>
        <w:t xml:space="preserve"> </w:t>
      </w:r>
      <w:r>
        <w:t xml:space="preserve">29 de abril de 2026. Los síntomas generalmente comienzan entre 7 y 14 días después de la infección; aproximadamente uno de cada cinco pacientes estadounidenses no vacunados es hospitalizado, hasta uno de cada veinte niños desarrolla neumonía, y aproximadamente uno de cada mil desarrolla encefalitis.</w:t>
      </w:r>
    </w:p>
    <w:p>
      <w:pPr>
        <w:pStyle w:val="BodyText"/>
      </w:pPr>
      <w:r>
        <w:t xml:space="preserve">3. CDC,</w:t>
      </w:r>
      <w:r>
        <w:t xml:space="preserve"> </w:t>
      </w:r>
      <w:r>
        <w:t xml:space="preserve">“Measles Vaccination,”</w:t>
      </w:r>
      <w:r>
        <w:t xml:space="preserve"> </w:t>
      </w:r>
      <w:r>
        <w:t xml:space="preserve">29 de abril de 2026. El CDC recomienda dos dosis de MMR para los niños, normalmente entre los 12 y 15 meses y entre los 4 y 6 años; la MMR dentro de las 72 horas posteriores a la exposición y la inmunoglobulina dentro de seis días pueden proporcionar protección post-exposición en circunstancias apropiadas.</w:t>
      </w:r>
    </w:p>
    <w:p>
      <w:pPr>
        <w:pStyle w:val="BodyText"/>
      </w:pPr>
      <w:r>
        <w:t xml:space="preserve">4. CDC SchoolVaxView,</w:t>
      </w:r>
      <w:r>
        <w:t xml:space="preserve"> </w:t>
      </w:r>
      <w:r>
        <w:t xml:space="preserve">“Vaccination Coverage and Exemptions among Kindergartners,”</w:t>
      </w:r>
      <w:r>
        <w:t xml:space="preserve"> </w:t>
      </w:r>
      <w:r>
        <w:t xml:space="preserve">31 de julio de 2025. La cobertura nacional de MMR fue del 92.5% en 2024–2025; aproximadamente 286,000 estudiantes de kínder carecían de documentación de una serie completa de MMR; las exenciones de una o más vacunas alcanzaron el 3.6%, con diecisiete estados por encima del 5%.</w:t>
      </w:r>
    </w:p>
    <w:bookmarkEnd w:id="30"/>
    <w:bookmarkStart w:id="33" w:name="notas-de-chatgpt"/>
    <w:p>
      <w:pPr>
        <w:pStyle w:val="Heading1"/>
      </w:pPr>
      <w:r>
        <w:t xml:space="preserve">Notas de ChatGPT:</w:t>
      </w:r>
    </w:p>
    <w:bookmarkStart w:id="31" w:name="indicación"/>
    <w:p>
      <w:pPr>
        <w:pStyle w:val="Heading2"/>
      </w:pPr>
      <w:r>
        <w:t xml:space="preserve">Indicación</w:t>
      </w:r>
    </w:p>
    <w:p>
      <w:pPr>
        <w:pStyle w:val="FirstParagraph"/>
      </w:pPr>
      <w:r>
        <w:t xml:space="preserve">Usando el estilo de un caso de estudio empresarial, cree un caso de estudio de un problema de salud pública, respaldado por estadísticas. Debe tener de 3 a 5 páginas en un documento de Word, bien organizado, pero sin una idea clara de cómo resolver el problema.</w:t>
      </w:r>
    </w:p>
    <w:bookmarkEnd w:id="31"/>
    <w:bookmarkStart w:id="32" w:name="resumen"/>
    <w:p>
      <w:pPr>
        <w:pStyle w:val="Heading2"/>
      </w:pPr>
      <w:r>
        <w:t xml:space="preserve">Resumen</w:t>
      </w:r>
    </w:p>
    <w:p>
      <w:pPr>
        <w:pStyle w:val="FirstParagraph"/>
      </w:pPr>
      <w:r>
        <w:t xml:space="preserve">Este caso examina a un condado que enfrenta una exposición confirmada al sarampión en medio de una disminución de la cobertura de vacunación infantil. Sigue el mismo formato que el caso anterior, incluyendo puntos de vista de partes interesadas en conflicto, datos incompletos, restricciones presupuestarias, opciones de intervención, exhibiciones cuantitativas, estadísticas actuales del CDC, y preguntas de discusión—sin identificar una solución preferida.</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2026-09-11T15:16:35Z</dcterms:created>
  <dcterms:modified xsi:type="dcterms:W3CDTF">2026-09-11T15:16:35Z</dcterms:modified>
</cp:coreProperties>
</file>

<file path=docProps/custom.xml><?xml version="1.0" encoding="utf-8"?>
<Properties xmlns="http://schemas.openxmlformats.org/officeDocument/2006/custom-properties" xmlns:vt="http://schemas.openxmlformats.org/officeDocument/2006/docPropsVTypes"/>
</file>