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Hotel Harborview</w:t>
      </w:r>
    </w:p>
    <w:p>
      <w:pPr>
        <w:pStyle w:val="BodyText"/>
      </w:pPr>
      <w:r>
        <w:t xml:space="preserve">La Decisión de Precios de Ocho Semanas</w:t>
      </w:r>
    </w:p>
    <w:p>
      <w:pPr>
        <w:pStyle w:val="BodyText"/>
      </w:pPr>
      <w:r>
        <w:t xml:space="preserve">Este caso es ficticio y está destinado a la discusión educativa. Los nombres, eventos, fondos y cifras internas son inventados, aunque el entorno de la industria se basa en datos públicos.</w:t>
      </w:r>
    </w:p>
    <w:p>
      <w:pPr>
        <w:pStyle w:val="BodyText"/>
      </w:pPr>
      <w:r>
        <w:t xml:space="preserve">A las 8:10 a.m. del lunes 8 de septiembre, Elena Marquez, gerente general del Hotel Harborview, observaba dos pantallas que parecían contar historias opuestas. La primera mostraba que el 71% de las habitaciones del hotel ya estaban reservadas para la conferencia tecnológica de la ciudad, que tendría lugar en siete semanas. La segunda mostraba que las reservas para los fines de semana circundantes estaban muy por debajo de lo pronosticado. Un sistema de gestión de ingresos recomendaba aumentar de inmediato las tarifas de las noches de la conferencia, cerrar varias ofertas con descuento y aumentar las pujas en anuncios en línea dirigidos a viajeros corporativos que reservaban tarde. El director de ventas quería lo contrario: mantener visibles las tarifas más bajas el tiempo suficiente para ganar más grupos de la conferencia y usar paquetes para llenar las noches débiles adyacentes.</w:t>
      </w:r>
    </w:p>
    <w:p>
      <w:pPr>
        <w:pStyle w:val="BodyText"/>
      </w:pPr>
      <w:r>
        <w:t xml:space="preserve">El desacuerdo importaba porque el Harborview, con 264 habitaciones, tenía una única oportunidad de vender cada habitación en cada noche. Una habitación vacía el 24 de octubre nunca podría almacenarse y venderse más tarde. Sin embargo, una habitación vendida demasiado pronto por $189 podría impedir que el hotel aceptara a un viajero de negocios dispuesto a pagar $349. Marquez tenía hasta el mediodía para aprobar el plan de precios, publicidad y paquetes del hotel para las próximas ocho semanas.</w:t>
      </w:r>
    </w:p>
    <w:bookmarkStart w:id="9" w:name="el-harborview-y-su-mercado"/>
    <w:p>
      <w:pPr>
        <w:pStyle w:val="Heading1"/>
      </w:pPr>
      <w:r>
        <w:t xml:space="preserve">El Harborview y Su Mercado</w:t>
      </w:r>
    </w:p>
    <w:p>
      <w:pPr>
        <w:pStyle w:val="FirstParagraph"/>
      </w:pPr>
      <w:r>
        <w:t xml:space="preserve">El Harborview era un hotel independiente de categoría superior-alta ubicado en la ciudad ficticia de Port Mason, un centro de negocios regional con un centro de convenciones, un complejo médico universitario, un distrito de entretenimiento frente al mar y un sector tecnológico en expansión. El hotel contaba con 240 habitaciones estándar y 24 suites. Sus instalaciones incluían un restaurante, un pequeño salón club, un gimnasio, salas de reuniones y un servicio de transporte al aeropuerto y a las oficinas del centro.</w:t>
      </w:r>
    </w:p>
    <w:p>
      <w:pPr>
        <w:pStyle w:val="BodyText"/>
      </w:pPr>
      <w:r>
        <w:t xml:space="preserve">El mercado hotelero de Port Mason se había vuelto más difícil de interpretar. A nivel nacional, la ocupación hotelera en EE. UU. disminuyó a aproximadamente 62.3% en 2025, mientras que la tarifa diaria promedio aumentó modestamente a alrededor de $160.54 y el ingreso por habitación disponible se redujo a aproximadamente $100.02. Los promedios ocultaban diferencias marcadas según el mercado, el segmento de clientes, la temporada y el calendario de eventos. En julio de 2025, por ejemplo, la ocupación nacional alcanzó el 68.2%, pero los mercados individuales más importantes oscilaron entre mediados de los 50 y más del 85%. Por ello, los propietarios del Harborview advertían a los gerentes que no confiaran en los promedios nacionales al fijar las tarifas locales.</w:t>
      </w:r>
    </w:p>
    <w:p>
      <w:pPr>
        <w:pStyle w:val="BodyText"/>
      </w:pPr>
      <w:r>
        <w:t xml:space="preserve">El mercado de Port Mason incluía cuatro grandes hoteles de marca cerca del centro de convenciones, varias propiedades de servicio limitado y una oferta creciente de alquileres a corto plazo. Los sitios web de comparación de precios hacían que las tarifas de la competencia fueran inmediatamente visibles. Las agencias de viajes en línea podían generar reservas rápidamente, pero sus comisiones reducían el ingreso neto del hotel. Las reservas directas producían mejores resultados económicos y más información sobre los clientes, pero requerían que el hotel invirtiera en anuncios de búsqueda, redes sociales, campañas de correo electrónico y mejoras del sitio web.</w:t>
      </w:r>
    </w:p>
    <w:bookmarkEnd w:id="9"/>
    <w:bookmarkStart w:id="11" w:name="un-calendario-con-demanda-desigual"/>
    <w:p>
      <w:pPr>
        <w:pStyle w:val="Heading1"/>
      </w:pPr>
      <w:r>
        <w:t xml:space="preserve">Un Calendario con Demanda Desigual</w:t>
      </w:r>
    </w:p>
    <w:p>
      <w:pPr>
        <w:pStyle w:val="FirstParagraph"/>
      </w:pPr>
      <w:r>
        <w:t xml:space="preserve">El período de planificación de ocho semanas incluía el fin de semana de</w:t>
      </w:r>
      <w:r>
        <w:t xml:space="preserve"> </w:t>
      </w:r>
      <w:r>
        <w:t xml:space="preserve">“homecoming”</w:t>
      </w:r>
      <w:r>
        <w:t xml:space="preserve"> </w:t>
      </w:r>
      <w:r>
        <w:t xml:space="preserve">universitario, la conferencia tecnológica de tres noches, un maratón frente al mar, dos sábados intensos en bodas y varios períodos tranquilos de domingo a jueves. Se esperaba que la conferencia tecnológica atrajera a 18,000 participantes a Port Mason, pero sus organizadores aún no habían publicado un recuento final de inscripciones. Varios clientes corporativos habían reservado bloques que podían reducirse sin penalización hasta 21 días antes de la llegada. Se rumoraba que un hotel competidor estaba renovando 90 habitaciones, aunque su sitio web seguía mostrando disponibilidad normal.</w:t>
      </w:r>
    </w:p>
    <w:p>
      <w:pPr>
        <w:pStyle w:val="BodyText"/>
      </w:pPr>
      <w:r>
        <w:t xml:space="preserve">El Harborview aceptaba reservas hasta con un año de anticipación. Los huéspedes de placer a menudo reservaban con anticipación cuando se les ofrecían tarifas reembolsables, mientras que los viajeros corporativos frecuentemente reservaban dentro de las dos semanas previas a la llegada. Algunos asistentes a la conferencia reservaban habitaciones en varios hoteles y cancelaban todas menos una poco antes del evento. Los datos de canal de la industria sugerían que las tasas de cancelación podían diferir sustancialmente según la fuente; un análisis reciente de la industria reportó tasas de cancelación de aproximadamente 21.8% para reservas realizadas a través de agencias de viajes en línea, frente a 10.6% para reservas directas en 2025. La experiencia propia del Harborview variaba ampliamente según el evento y las restricciones de tarifas.</w:t>
      </w:r>
    </w:p>
    <w:bookmarkStart w:id="10" w:name="X0ab3b3de1e7797a4e27437f7e8647df64fe7062"/>
    <w:p>
      <w:pPr>
        <w:pStyle w:val="Heading2"/>
      </w:pPr>
      <w:r>
        <w:t xml:space="preserve">Exhibición 1. Resultados Operativos del Harborview</w:t>
      </w:r>
    </w:p>
    <w:tbl>
      <w:tblPr>
        <w:tblStyle w:val="Table"/>
        <w:tblW w:type="pct" w:w="4932"/>
        <w:tblLayout w:type="fixed"/>
        <w:tblLook w:firstRow="1" w:lastRow="0" w:firstColumn="0" w:lastColumn="0" w:noHBand="0" w:noVBand="0" w:val="0020"/>
      </w:tblPr>
      <w:tblGrid>
        <w:gridCol w:w="2033"/>
        <w:gridCol w:w="856"/>
        <w:gridCol w:w="1337"/>
        <w:gridCol w:w="1016"/>
        <w:gridCol w:w="1444"/>
        <w:gridCol w:w="1123"/>
      </w:tblGrid>
      <w:tr>
        <w:trPr>
          <w:tblHeader w:val="on"/>
        </w:trPr>
        <w:tc>
          <w:tcPr/>
          <w:p>
            <w:pPr>
              <w:pStyle w:val="Compact"/>
              <w:jc w:val="left"/>
            </w:pPr>
            <w:r>
              <w:rPr>
                <w:b/>
                <w:bCs/>
              </w:rPr>
              <w:t xml:space="preserve">Año fiscal</w:t>
            </w:r>
          </w:p>
        </w:tc>
        <w:tc>
          <w:tcPr/>
          <w:p>
            <w:pPr>
              <w:pStyle w:val="Compact"/>
              <w:jc w:val="center"/>
            </w:pPr>
            <w:r>
              <w:rPr>
                <w:b/>
                <w:bCs/>
              </w:rPr>
              <w:t xml:space="preserve">Ocupación</w:t>
            </w:r>
          </w:p>
        </w:tc>
        <w:tc>
          <w:tcPr/>
          <w:p>
            <w:pPr>
              <w:pStyle w:val="Compact"/>
              <w:jc w:val="right"/>
            </w:pPr>
            <w:r>
              <w:t xml:space="preserve">**Tarifa diaria promedio</w:t>
            </w:r>
          </w:p>
        </w:tc>
        <w:tc>
          <w:tcPr/>
          <w:p>
            <w:pPr>
              <w:pStyle w:val="Compact"/>
            </w:pPr>
            <w:r>
              <w:t xml:space="preserve">** **Ingreso por</w:t>
            </w:r>
          </w:p>
        </w:tc>
        <w:tc>
          <w:tcPr/>
          <w:p>
            <w:pPr>
              <w:pStyle w:val="Compact"/>
            </w:pPr>
            <w:r>
              <w:t xml:space="preserve">habitaciones** **Particip</w:t>
            </w:r>
          </w:p>
        </w:tc>
        <w:tc>
          <w:tcPr/>
          <w:p>
            <w:pPr>
              <w:pStyle w:val="Compact"/>
            </w:pPr>
            <w:r>
              <w:t xml:space="preserve">ación de reserva directa**</w:t>
            </w:r>
            <w:r>
              <w:t xml:space="preserve"> </w:t>
            </w:r>
            <w:r>
              <w:rPr>
                <w:b/>
                <w:bCs/>
              </w:rPr>
              <w:t xml:space="preserve">Habitaciones rechazadas</w:t>
            </w:r>
          </w:p>
        </w:tc>
      </w:tr>
      <w:tr>
        <w:tc>
          <w:tcPr/>
          <w:p>
            <w:pPr>
              <w:pStyle w:val="Compact"/>
              <w:jc w:val="left"/>
            </w:pPr>
            <w:r>
              <w:t xml:space="preserve">2023</w:t>
            </w:r>
          </w:p>
        </w:tc>
        <w:tc>
          <w:tcPr/>
          <w:p>
            <w:pPr>
              <w:pStyle w:val="Compact"/>
              <w:jc w:val="center"/>
            </w:pPr>
            <w:r>
              <w:t xml:space="preserve">68.4%</w:t>
            </w:r>
          </w:p>
        </w:tc>
        <w:tc>
          <w:tcPr/>
          <w:p>
            <w:pPr>
              <w:pStyle w:val="Compact"/>
              <w:jc w:val="right"/>
            </w:pPr>
            <w:r>
              <w:t xml:space="preserve">$181</w:t>
            </w:r>
          </w:p>
        </w:tc>
        <w:tc>
          <w:tcPr/>
          <w:p>
            <w:pPr>
              <w:pStyle w:val="Compact"/>
            </w:pPr>
            <w:r>
              <w:t xml:space="preserve">$11.92 millones</w:t>
            </w:r>
          </w:p>
        </w:tc>
        <w:tc>
          <w:tcPr/>
          <w:p>
            <w:pPr>
              <w:pStyle w:val="Compact"/>
            </w:pPr>
            <w:r>
              <w:t xml:space="preserve">43%</w:t>
            </w:r>
          </w:p>
        </w:tc>
        <w:tc>
          <w:tcPr/>
          <w:p>
            <w:pPr>
              <w:pStyle w:val="Compact"/>
            </w:pPr>
            <w:r>
              <w:t xml:space="preserve">3,740</w:t>
            </w:r>
          </w:p>
        </w:tc>
      </w:tr>
      <w:tr>
        <w:tc>
          <w:tcPr/>
          <w:p>
            <w:pPr>
              <w:pStyle w:val="Compact"/>
              <w:jc w:val="left"/>
            </w:pPr>
            <w:r>
              <w:t xml:space="preserve">2024</w:t>
            </w:r>
          </w:p>
        </w:tc>
        <w:tc>
          <w:tcPr/>
          <w:p>
            <w:pPr>
              <w:pStyle w:val="Compact"/>
              <w:jc w:val="center"/>
            </w:pPr>
            <w:r>
              <w:t xml:space="preserve">70.1%</w:t>
            </w:r>
          </w:p>
        </w:tc>
        <w:tc>
          <w:tcPr/>
          <w:p>
            <w:pPr>
              <w:pStyle w:val="Compact"/>
              <w:jc w:val="right"/>
            </w:pPr>
            <w:r>
              <w:t xml:space="preserve">$188</w:t>
            </w:r>
          </w:p>
        </w:tc>
        <w:tc>
          <w:tcPr/>
          <w:p>
            <w:pPr>
              <w:pStyle w:val="Compact"/>
            </w:pPr>
            <w:r>
              <w:t xml:space="preserve">$12.72 millones</w:t>
            </w:r>
          </w:p>
        </w:tc>
        <w:tc>
          <w:tcPr/>
          <w:p>
            <w:pPr>
              <w:pStyle w:val="Compact"/>
            </w:pPr>
            <w:r>
              <w:t xml:space="preserve">46%</w:t>
            </w:r>
          </w:p>
        </w:tc>
        <w:tc>
          <w:tcPr/>
          <w:p>
            <w:pPr>
              <w:pStyle w:val="Compact"/>
            </w:pPr>
            <w:r>
              <w:t xml:space="preserve">4,180</w:t>
            </w:r>
          </w:p>
        </w:tc>
      </w:tr>
      <w:tr>
        <w:tc>
          <w:tcPr/>
          <w:p>
            <w:pPr>
              <w:pStyle w:val="Compact"/>
              <w:jc w:val="left"/>
            </w:pPr>
            <w:r>
              <w:t xml:space="preserve">2025</w:t>
            </w:r>
          </w:p>
        </w:tc>
        <w:tc>
          <w:tcPr/>
          <w:p>
            <w:pPr>
              <w:pStyle w:val="Compact"/>
              <w:jc w:val="center"/>
            </w:pPr>
            <w:r>
              <w:t xml:space="preserve">67.6%</w:t>
            </w:r>
          </w:p>
        </w:tc>
        <w:tc>
          <w:tcPr/>
          <w:p>
            <w:pPr>
              <w:pStyle w:val="Compact"/>
              <w:jc w:val="right"/>
            </w:pPr>
            <w:r>
              <w:t xml:space="preserve">$193</w:t>
            </w:r>
          </w:p>
        </w:tc>
        <w:tc>
          <w:tcPr/>
          <w:p>
            <w:pPr>
              <w:pStyle w:val="Compact"/>
            </w:pPr>
            <w:r>
              <w:t xml:space="preserve">$12.58 millones</w:t>
            </w:r>
          </w:p>
        </w:tc>
        <w:tc>
          <w:tcPr/>
          <w:p>
            <w:pPr>
              <w:pStyle w:val="Compact"/>
            </w:pPr>
            <w:r>
              <w:t xml:space="preserve">49%</w:t>
            </w:r>
          </w:p>
        </w:tc>
        <w:tc>
          <w:tcPr/>
          <w:p>
            <w:pPr>
              <w:pStyle w:val="Compact"/>
            </w:pPr>
            <w:r>
              <w:t xml:space="preserve">3,960</w:t>
            </w:r>
          </w:p>
        </w:tc>
      </w:tr>
      <w:tr>
        <w:tc>
          <w:tcPr/>
          <w:p>
            <w:pPr>
              <w:pStyle w:val="Compact"/>
              <w:jc w:val="left"/>
            </w:pPr>
            <w:r>
              <w:t xml:space="preserve">Pronóstico 2026 antes de la revisión a</w:t>
            </w:r>
          </w:p>
        </w:tc>
        <w:tc>
          <w:tcPr/>
          <w:p>
            <w:pPr>
              <w:pStyle w:val="Compact"/>
              <w:jc w:val="center"/>
            </w:pPr>
            <w:r>
              <w:t xml:space="preserve">ctual 69.0%</w:t>
            </w:r>
          </w:p>
        </w:tc>
        <w:tc>
          <w:tcPr/>
          <w:p>
            <w:pPr>
              <w:pStyle w:val="Compact"/>
              <w:jc w:val="right"/>
            </w:pPr>
            <w:r>
              <w:t xml:space="preserve">$198</w:t>
            </w:r>
          </w:p>
        </w:tc>
        <w:tc>
          <w:tcPr/>
          <w:p>
            <w:pPr>
              <w:pStyle w:val="Compact"/>
            </w:pPr>
            <w:r>
              <w:t xml:space="preserve">$13.18 mil</w:t>
            </w:r>
          </w:p>
        </w:tc>
        <w:tc>
          <w:tcPr/>
          <w:p>
            <w:pPr>
              <w:pStyle w:val="Compact"/>
            </w:pPr>
            <w:r>
              <w:t xml:space="preserve">lones 52%</w:t>
            </w:r>
          </w:p>
        </w:tc>
        <w:tc>
          <w:tcPr/>
          <w:p>
            <w:pPr>
              <w:pStyle w:val="Compact"/>
            </w:pPr>
            <w:r>
              <w:t xml:space="preserve">4,300</w:t>
            </w:r>
          </w:p>
        </w:tc>
      </w:tr>
    </w:tbl>
    <w:bookmarkEnd w:id="10"/>
    <w:bookmarkEnd w:id="11"/>
    <w:bookmarkStart w:id="13" w:name="la-curva-de-reservas"/>
    <w:p>
      <w:pPr>
        <w:pStyle w:val="Heading1"/>
      </w:pPr>
      <w:r>
        <w:t xml:space="preserve">La Curva de Reservas</w:t>
      </w:r>
    </w:p>
    <w:p>
      <w:pPr>
        <w:pStyle w:val="FirstParagraph"/>
      </w:pPr>
      <w:r>
        <w:t xml:space="preserve">El director de ingresos Marcus Lee organizaba la demanda por fecha de estadía. Cada mañana, revisaba cuántas habitaciones se habían vendido para cada noche futura, las tarifas asociadas a esas reservas, las cancelaciones, los precios de la competencia, los resultados publicitarios y el número de visitantes del sitio web que iniciaron pero no completaron una reserva. Para el período de la conferencia, las reservas iban por delante del patrón observado el año anterior. Para los días de semana ordinarios, iban por detrás.</w:t>
      </w:r>
    </w:p>
    <w:p>
      <w:pPr>
        <w:pStyle w:val="BodyText"/>
      </w:pPr>
      <w:r>
        <w:t xml:space="preserve">El sistema de Lee estimaba que las noches del martes y miércoles de la conferencia eventualmente se agotarían. Recomendaba proteger habitaciones para clientes que probablemente llegarían más tarde y pagarían precios más altos. El sistema tenía menos confianza respecto al lunes y al jueves, cuando muchos viajeros de la conferencia podrían llegar tarde o salir temprano. Una decisión de aumentar las tarifas en las cuatro noches podría aumentar los ingresos en las noches pico mientras dejaba las noches adyacentes subocupadas.</w:t>
      </w:r>
    </w:p>
    <w:bookmarkStart w:id="12" w:name="X594ac492776b6f95f5925e669038490fe14e6ab"/>
    <w:p>
      <w:pPr>
        <w:pStyle w:val="Heading2"/>
      </w:pPr>
      <w:r>
        <w:t xml:space="preserve">Exhibición 2. Reservas en Libro, 47 Días Antes de la Llegada</w:t>
      </w:r>
    </w:p>
    <w:tbl>
      <w:tblPr>
        <w:tblStyle w:val="Table"/>
        <w:tblW w:type="pct" w:w="4945"/>
        <w:tblLayout w:type="fixed"/>
        <w:tblLook w:firstRow="1" w:lastRow="0" w:firstColumn="0" w:lastColumn="0" w:noHBand="0" w:noVBand="0" w:val="0020"/>
      </w:tblPr>
      <w:tblGrid>
        <w:gridCol w:w="1750"/>
        <w:gridCol w:w="918"/>
        <w:gridCol w:w="1137"/>
        <w:gridCol w:w="1750"/>
        <w:gridCol w:w="1268"/>
        <w:gridCol w:w="1006"/>
      </w:tblGrid>
      <w:tr>
        <w:trPr>
          <w:tblHeader w:val="on"/>
        </w:trPr>
        <w:tc>
          <w:tcPr/>
          <w:p>
            <w:pPr>
              <w:pStyle w:val="Compact"/>
              <w:jc w:val="left"/>
            </w:pPr>
            <w:r>
              <w:rPr>
                <w:b/>
                <w:bCs/>
              </w:rPr>
              <w:t xml:space="preserve">Fecha de estadía / evento</w:t>
            </w:r>
          </w:p>
        </w:tc>
        <w:tc>
          <w:tcPr/>
          <w:p>
            <w:pPr>
              <w:pStyle w:val="Compact"/>
              <w:jc w:val="right"/>
            </w:pPr>
            <w:r>
              <w:t xml:space="preserve">**Habitacione</w:t>
            </w:r>
          </w:p>
        </w:tc>
        <w:tc>
          <w:tcPr/>
          <w:p>
            <w:pPr>
              <w:pStyle w:val="Compact"/>
            </w:pPr>
            <w:r>
              <w:t xml:space="preserve">s reservadas** **Tarifa</w:t>
            </w:r>
          </w:p>
        </w:tc>
        <w:tc>
          <w:tcPr/>
          <w:p>
            <w:pPr>
              <w:pStyle w:val="Compact"/>
            </w:pPr>
            <w:r>
              <w:t xml:space="preserve">pública actual** **Habitaciones vendid</w:t>
            </w:r>
          </w:p>
        </w:tc>
        <w:tc>
          <w:tcPr/>
          <w:p>
            <w:pPr>
              <w:pStyle w:val="Compact"/>
            </w:pPr>
            <w:r>
              <w:t xml:space="preserve">as en 2025 al mismo tiempo de</w:t>
            </w:r>
          </w:p>
        </w:tc>
        <w:tc>
          <w:tcPr/>
          <w:p>
            <w:pPr>
              <w:pStyle w:val="Compact"/>
              <w:jc w:val="right"/>
            </w:pPr>
            <w:r>
              <w:t xml:space="preserve">anticipación**</w:t>
            </w:r>
            <w:r>
              <w:t xml:space="preserve"> </w:t>
            </w:r>
            <w:r>
              <w:rPr>
                <w:b/>
                <w:bCs/>
              </w:rPr>
              <w:t xml:space="preserve">Cancelaciones esperadas</w:t>
            </w:r>
            <w:r>
              <w:t xml:space="preserve"> </w:t>
            </w:r>
            <w:r>
              <w:rPr>
                <w:b/>
                <w:bCs/>
              </w:rPr>
              <w:t xml:space="preserve">Rango de la competencia</w:t>
            </w:r>
          </w:p>
        </w:tc>
      </w:tr>
      <w:tr>
        <w:tc>
          <w:tcPr/>
          <w:p>
            <w:pPr>
              <w:pStyle w:val="Compact"/>
              <w:jc w:val="left"/>
            </w:pPr>
            <w:r>
              <w:t xml:space="preserve">Vie., 17 de oct. – Homecoming</w:t>
            </w:r>
          </w:p>
        </w:tc>
        <w:tc>
          <w:tcPr/>
          <w:p>
            <w:pPr>
              <w:pStyle w:val="Compact"/>
              <w:jc w:val="right"/>
            </w:pPr>
            <w:r>
              <w:t xml:space="preserve">176</w:t>
            </w:r>
          </w:p>
        </w:tc>
        <w:tc>
          <w:tcPr/>
          <w:p>
            <w:pPr>
              <w:pStyle w:val="Compact"/>
            </w:pPr>
            <w:r>
              <w:t xml:space="preserve">$239</w:t>
            </w:r>
          </w:p>
        </w:tc>
        <w:tc>
          <w:tcPr/>
          <w:p>
            <w:pPr>
              <w:pStyle w:val="Compact"/>
            </w:pPr>
            <w:r>
              <w:t xml:space="preserve">163</w:t>
            </w:r>
          </w:p>
        </w:tc>
        <w:tc>
          <w:tcPr/>
          <w:p>
            <w:pPr>
              <w:pStyle w:val="Compact"/>
            </w:pPr>
            <w:r>
              <w:t xml:space="preserve">14–25</w:t>
            </w:r>
          </w:p>
        </w:tc>
        <w:tc>
          <w:tcPr/>
          <w:p>
            <w:pPr>
              <w:pStyle w:val="Compact"/>
              <w:jc w:val="right"/>
            </w:pPr>
            <w:r>
              <w:t xml:space="preserve">$219–$279</w:t>
            </w:r>
          </w:p>
        </w:tc>
      </w:tr>
      <w:tr>
        <w:tc>
          <w:tcPr/>
          <w:p>
            <w:pPr>
              <w:pStyle w:val="Compact"/>
              <w:jc w:val="left"/>
            </w:pPr>
            <w:r>
              <w:t xml:space="preserve">Dom., 19 de oct. – Noche tranquila</w:t>
            </w:r>
          </w:p>
        </w:tc>
        <w:tc>
          <w:tcPr/>
          <w:p>
            <w:pPr>
              <w:pStyle w:val="Compact"/>
              <w:jc w:val="right"/>
            </w:pPr>
            <w:r>
              <w:t xml:space="preserve">91</w:t>
            </w:r>
          </w:p>
        </w:tc>
        <w:tc>
          <w:tcPr/>
          <w:p>
            <w:pPr>
              <w:pStyle w:val="Compact"/>
            </w:pPr>
            <w:r>
              <w:t xml:space="preserve">$169</w:t>
            </w:r>
          </w:p>
        </w:tc>
        <w:tc>
          <w:tcPr/>
          <w:p>
            <w:pPr>
              <w:pStyle w:val="Compact"/>
            </w:pPr>
            <w:r>
              <w:t xml:space="preserve">108</w:t>
            </w:r>
          </w:p>
        </w:tc>
        <w:tc>
          <w:tcPr/>
          <w:p>
            <w:pPr>
              <w:pStyle w:val="Compact"/>
            </w:pPr>
            <w:r>
              <w:t xml:space="preserve">7–12</w:t>
            </w:r>
          </w:p>
        </w:tc>
        <w:tc>
          <w:tcPr/>
          <w:p>
            <w:pPr>
              <w:pStyle w:val="Compact"/>
              <w:jc w:val="right"/>
            </w:pPr>
            <w:r>
              <w:t xml:space="preserve">$149–$189</w:t>
            </w:r>
          </w:p>
        </w:tc>
      </w:tr>
      <w:tr>
        <w:tc>
          <w:tcPr/>
          <w:p>
            <w:pPr>
              <w:pStyle w:val="Compact"/>
              <w:jc w:val="left"/>
            </w:pPr>
            <w:r>
              <w:t xml:space="preserve">Lun., 20 de oct. – Llegada de la confer</w:t>
            </w:r>
          </w:p>
        </w:tc>
        <w:tc>
          <w:tcPr/>
          <w:p>
            <w:pPr>
              <w:pStyle w:val="Compact"/>
              <w:jc w:val="right"/>
            </w:pPr>
            <w:r>
              <w:t xml:space="preserve">encia 154</w:t>
            </w:r>
          </w:p>
        </w:tc>
        <w:tc>
          <w:tcPr/>
          <w:p>
            <w:pPr>
              <w:pStyle w:val="Compact"/>
            </w:pPr>
            <w:r>
              <w:t xml:space="preserve">$229</w:t>
            </w:r>
          </w:p>
        </w:tc>
        <w:tc>
          <w:tcPr/>
          <w:p>
            <w:pPr>
              <w:pStyle w:val="Compact"/>
            </w:pPr>
            <w:r>
              <w:t xml:space="preserve">127</w:t>
            </w:r>
          </w:p>
        </w:tc>
        <w:tc>
          <w:tcPr/>
          <w:p>
            <w:pPr>
              <w:pStyle w:val="Compact"/>
            </w:pPr>
            <w:r>
              <w:t xml:space="preserve">18–31</w:t>
            </w:r>
          </w:p>
        </w:tc>
        <w:tc>
          <w:tcPr/>
          <w:p>
            <w:pPr>
              <w:pStyle w:val="Compact"/>
              <w:jc w:val="right"/>
            </w:pPr>
            <w:r>
              <w:t xml:space="preserve">$209–$259</w:t>
            </w:r>
          </w:p>
        </w:tc>
      </w:tr>
      <w:tr>
        <w:tc>
          <w:tcPr/>
          <w:p>
            <w:pPr>
              <w:pStyle w:val="Compact"/>
              <w:jc w:val="left"/>
            </w:pPr>
            <w:r>
              <w:t xml:space="preserve">Mar., 21 de oct. – Conferencia</w:t>
            </w:r>
          </w:p>
        </w:tc>
        <w:tc>
          <w:tcPr/>
          <w:p>
            <w:pPr>
              <w:pStyle w:val="Compact"/>
              <w:jc w:val="right"/>
            </w:pPr>
            <w:r>
              <w:t xml:space="preserve">188</w:t>
            </w:r>
          </w:p>
        </w:tc>
        <w:tc>
          <w:tcPr/>
          <w:p>
            <w:pPr>
              <w:pStyle w:val="Compact"/>
            </w:pPr>
            <w:r>
              <w:t xml:space="preserve">$279</w:t>
            </w:r>
          </w:p>
        </w:tc>
        <w:tc>
          <w:tcPr/>
          <w:p>
            <w:pPr>
              <w:pStyle w:val="Compact"/>
            </w:pPr>
            <w:r>
              <w:t xml:space="preserve">146</w:t>
            </w:r>
          </w:p>
        </w:tc>
        <w:tc>
          <w:tcPr/>
          <w:p>
            <w:pPr>
              <w:pStyle w:val="Compact"/>
            </w:pPr>
            <w:r>
              <w:t xml:space="preserve">24–43</w:t>
            </w:r>
          </w:p>
        </w:tc>
        <w:tc>
          <w:tcPr/>
          <w:p>
            <w:pPr>
              <w:pStyle w:val="Compact"/>
              <w:jc w:val="right"/>
            </w:pPr>
            <w:r>
              <w:t xml:space="preserve">$259–$329</w:t>
            </w:r>
          </w:p>
        </w:tc>
      </w:tr>
      <w:tr>
        <w:tc>
          <w:tcPr/>
          <w:p>
            <w:pPr>
              <w:pStyle w:val="Compact"/>
              <w:jc w:val="left"/>
            </w:pPr>
            <w:r>
              <w:t xml:space="preserve">Mié., 22 de oct. – Conferencia</w:t>
            </w:r>
          </w:p>
        </w:tc>
        <w:tc>
          <w:tcPr/>
          <w:p>
            <w:pPr>
              <w:pStyle w:val="Compact"/>
              <w:jc w:val="right"/>
            </w:pPr>
            <w:r>
              <w:t xml:space="preserve">192</w:t>
            </w:r>
          </w:p>
        </w:tc>
        <w:tc>
          <w:tcPr/>
          <w:p>
            <w:pPr>
              <w:pStyle w:val="Compact"/>
            </w:pPr>
            <w:r>
              <w:t xml:space="preserve">$289</w:t>
            </w:r>
          </w:p>
        </w:tc>
        <w:tc>
          <w:tcPr/>
          <w:p>
            <w:pPr>
              <w:pStyle w:val="Compact"/>
            </w:pPr>
            <w:r>
              <w:t xml:space="preserve">151</w:t>
            </w:r>
          </w:p>
        </w:tc>
        <w:tc>
          <w:tcPr/>
          <w:p>
            <w:pPr>
              <w:pStyle w:val="Compact"/>
            </w:pPr>
            <w:r>
              <w:t xml:space="preserve">25–45</w:t>
            </w:r>
          </w:p>
        </w:tc>
        <w:tc>
          <w:tcPr/>
          <w:p>
            <w:pPr>
              <w:pStyle w:val="Compact"/>
              <w:jc w:val="right"/>
            </w:pPr>
            <w:r>
              <w:t xml:space="preserve">$269–$339</w:t>
            </w:r>
          </w:p>
        </w:tc>
      </w:tr>
      <w:tr>
        <w:tc>
          <w:tcPr/>
          <w:p>
            <w:pPr>
              <w:pStyle w:val="Compact"/>
              <w:jc w:val="left"/>
            </w:pPr>
            <w:r>
              <w:t xml:space="preserve">Jue., 23 de oct. – Salida de la confere</w:t>
            </w:r>
          </w:p>
        </w:tc>
        <w:tc>
          <w:tcPr/>
          <w:p>
            <w:pPr>
              <w:pStyle w:val="Compact"/>
              <w:jc w:val="right"/>
            </w:pPr>
            <w:r>
              <w:t xml:space="preserve">ncia 139</w:t>
            </w:r>
          </w:p>
        </w:tc>
        <w:tc>
          <w:tcPr/>
          <w:p>
            <w:pPr>
              <w:pStyle w:val="Compact"/>
            </w:pPr>
            <w:r>
              <w:t xml:space="preserve">$219</w:t>
            </w:r>
          </w:p>
        </w:tc>
        <w:tc>
          <w:tcPr/>
          <w:p>
            <w:pPr>
              <w:pStyle w:val="Compact"/>
            </w:pPr>
            <w:r>
              <w:t xml:space="preserve">118</w:t>
            </w:r>
          </w:p>
        </w:tc>
        <w:tc>
          <w:tcPr/>
          <w:p>
            <w:pPr>
              <w:pStyle w:val="Compact"/>
            </w:pPr>
            <w:r>
              <w:t xml:space="preserve">16–28</w:t>
            </w:r>
          </w:p>
        </w:tc>
        <w:tc>
          <w:tcPr/>
          <w:p>
            <w:pPr>
              <w:pStyle w:val="Compact"/>
              <w:jc w:val="right"/>
            </w:pPr>
            <w:r>
              <w:t xml:space="preserve">$199–$249</w:t>
            </w:r>
          </w:p>
        </w:tc>
      </w:tr>
      <w:tr>
        <w:tc>
          <w:tcPr/>
          <w:p>
            <w:pPr>
              <w:pStyle w:val="Compact"/>
              <w:jc w:val="left"/>
            </w:pPr>
            <w:r>
              <w:t xml:space="preserve">Dom., 26 de oct. – Noche tranquila</w:t>
            </w:r>
          </w:p>
        </w:tc>
        <w:tc>
          <w:tcPr/>
          <w:p>
            <w:pPr>
              <w:pStyle w:val="Compact"/>
              <w:jc w:val="right"/>
            </w:pPr>
            <w:r>
              <w:t xml:space="preserve">72</w:t>
            </w:r>
          </w:p>
        </w:tc>
        <w:tc>
          <w:tcPr/>
          <w:p>
            <w:pPr>
              <w:pStyle w:val="Compact"/>
            </w:pPr>
            <w:r>
              <w:t xml:space="preserve">$159</w:t>
            </w:r>
          </w:p>
        </w:tc>
        <w:tc>
          <w:tcPr/>
          <w:p>
            <w:pPr>
              <w:pStyle w:val="Compact"/>
            </w:pPr>
            <w:r>
              <w:t xml:space="preserve">99</w:t>
            </w:r>
          </w:p>
        </w:tc>
        <w:tc>
          <w:tcPr/>
          <w:p>
            <w:pPr>
              <w:pStyle w:val="Compact"/>
            </w:pPr>
            <w:r>
              <w:t xml:space="preserve">5–10</w:t>
            </w:r>
          </w:p>
        </w:tc>
        <w:tc>
          <w:tcPr/>
          <w:p>
            <w:pPr>
              <w:pStyle w:val="Compact"/>
              <w:jc w:val="right"/>
            </w:pPr>
            <w:r>
              <w:t xml:space="preserve">$139–$179</w:t>
            </w:r>
          </w:p>
        </w:tc>
      </w:tr>
    </w:tbl>
    <w:bookmarkEnd w:id="12"/>
    <w:bookmarkEnd w:id="13"/>
    <w:bookmarkStart w:id="14" w:name="tarifas-restricciones-y-servicios"/>
    <w:p>
      <w:pPr>
        <w:pStyle w:val="Heading1"/>
      </w:pPr>
      <w:r>
        <w:t xml:space="preserve">Tarifas, Restricciones y Servicios</w:t>
      </w:r>
    </w:p>
    <w:p>
      <w:pPr>
        <w:pStyle w:val="FirstParagraph"/>
      </w:pPr>
      <w:r>
        <w:t xml:space="preserve">El Harborview no vendía un producto homogéneo. Un cliente podía elegir una habitación flexible, una tarifa no reembolsable más baja, un paquete de desayuno, un paquete de estacionamiento, un paquete de conferencia, una suite o una habitación en el piso club. Algunas cuentas corporativas tenían techos negociados. Los miembros del programa de lealtad recibían beneficios por reserva directa. El hotel también podía exigir una estadía mínima de dos noches durante los períodos pico, cerrar categorías de tarifa baja o limitar el número de habitaciones distribuidas a través de canales particulares.</w:t>
      </w:r>
    </w:p>
    <w:p>
      <w:pPr>
        <w:pStyle w:val="BodyText"/>
      </w:pPr>
      <w:r>
        <w:t xml:space="preserve">Cada servicio tenía un costo y podía influir en la conversión. El desayuno costaba al hotel aproximadamente $14 por habitación ocupada, pero muchos huéspedes lo valoraban entre $25 y $35. El estacionamiento generaba márgenes atractivos cuando había capacidad disponible, pero el garaje a menudo se llenaba durante las convenciones. La cancelación flexible fomentaba las reservas anticipadas, pero aumentaba el riesgo de que la demanda aparente desapareciera. Las tarifas no reembolsables reducían el riesgo de cancelación, pero a veces empujaban a los clientes hacia la competencia.</w:t>
      </w:r>
    </w:p>
    <w:p>
      <w:pPr>
        <w:pStyle w:val="BodyText"/>
      </w:pPr>
      <w:r>
        <w:t xml:space="preserve">La directora de ventas Priya Shah argumentaba que el objetivo del hotel no debía reducirse a la tarifa de habitación más alta. Los grupos generaban ingresos de banquetes, llenaban salas de reuniones y podían regresar en años futuros. Los paquetes de placer producían gasto en restaurante y estacionamiento. Un huésped de una sola noche con tarifa alta podía aportar menos beneficio total que un cliente de tarifa más baja que se quedara tres noches. También le preocupaba rechazar a clientes que recordarían que el Harborview les había parecido inasequible.</w:t>
      </w:r>
    </w:p>
    <w:bookmarkEnd w:id="14"/>
    <w:bookmarkStart w:id="16" w:name="X9fad9d82567047b991c1e131ff4fa9812e22b4a"/>
    <w:p>
      <w:pPr>
        <w:pStyle w:val="Heading1"/>
      </w:pPr>
      <w:r>
        <w:t xml:space="preserve">Publicidad para Reservas que Podrían Llegar</w:t>
      </w:r>
    </w:p>
    <w:p>
      <w:pPr>
        <w:pStyle w:val="FirstParagraph"/>
      </w:pPr>
      <w:r>
        <w:t xml:space="preserve">El hotel gastaba aproximadamente $1.15 millones al año en marketing digital y tradicional. La búsqueda pagada era la categoría flexible más grande. Cuando un viajero potencial buscaba frases como</w:t>
      </w:r>
      <w:r>
        <w:t xml:space="preserve"> </w:t>
      </w:r>
      <w:r>
        <w:t xml:space="preserve">“hotel de conferencias en Port Mason”</w:t>
      </w:r>
      <w:r>
        <w:t xml:space="preserve">, el Harborview y sus competidores pujaban por la ubicación patrocinada. Una puja más alta aumentaba la probabilidad de que el enlace del hotel apareciera, pero no garantizaba un clic ni una reserva. El hotel pagaba por muchos clics de clientes que comparaban precios y reservaban en otro lugar.</w:t>
      </w:r>
    </w:p>
    <w:p>
      <w:pPr>
        <w:pStyle w:val="BodyText"/>
      </w:pPr>
      <w:r>
        <w:t xml:space="preserve">Lee propuso aumentar las pujas de búsqueda pagada para las fechas de la conferencia mientras reducía el gasto amplio en redes sociales. La directora de marketing Simone Carter no estaba de acuerdo. Los anuncios de búsqueda captaban a clientes que ya buscaban habitaciones; las redes sociales y el correo electrónico podían generar demanda de fin de semana y vender paquetes. Carter también quería probar una página de reserva rediseñada que destacara el desayuno gratis y la cancelación flexible. La prueba anterior del sitio web había aumentado las reservas completadas en dispositivos móviles, pero la prueba se había ejecutado durante un período festivo y el equipo no estaba seguro de si la mejora persistiría.</w:t>
      </w:r>
    </w:p>
    <w:bookmarkStart w:id="15" w:name="Xae74ffb1b49e32c631c596484bb2ffc5ad5d367"/>
    <w:p>
      <w:pPr>
        <w:pStyle w:val="Heading2"/>
      </w:pPr>
      <w:r>
        <w:t xml:space="preserve">Exhibición 3. Desempeño Reciente de Adquisición de Clientes</w:t>
      </w:r>
    </w:p>
    <w:tbl>
      <w:tblPr>
        <w:tblStyle w:val="Table"/>
        <w:tblW w:type="pct" w:w="4946"/>
        <w:tblLayout w:type="fixed"/>
        <w:tblLook w:firstRow="1" w:lastRow="0" w:firstColumn="0" w:lastColumn="0" w:noHBand="0" w:noVBand="0" w:val="0020"/>
      </w:tblPr>
      <w:tblGrid>
        <w:gridCol w:w="1119"/>
        <w:gridCol w:w="990"/>
        <w:gridCol w:w="1291"/>
        <w:gridCol w:w="1463"/>
        <w:gridCol w:w="1936"/>
        <w:gridCol w:w="1033"/>
      </w:tblGrid>
      <w:tr>
        <w:trPr>
          <w:tblHeader w:val="on"/>
        </w:trPr>
        <w:tc>
          <w:tcPr/>
          <w:p>
            <w:pPr>
              <w:pStyle w:val="Compact"/>
            </w:pPr>
            <w:r>
              <w:rPr>
                <w:b/>
                <w:bCs/>
              </w:rPr>
              <w:t xml:space="preserve">Canal</w:t>
            </w:r>
            <w:r>
              <w:t xml:space="preserve"> </w:t>
            </w:r>
            <w:r>
              <w:t xml:space="preserve">**</w:t>
            </w:r>
          </w:p>
        </w:tc>
        <w:tc>
          <w:tcPr/>
          <w:p>
            <w:pPr>
              <w:pStyle w:val="Compact"/>
            </w:pPr>
            <w:r>
              <w:t xml:space="preserve">Gasto mensual** **Res</w:t>
            </w:r>
          </w:p>
        </w:tc>
        <w:tc>
          <w:tcPr/>
          <w:p>
            <w:pPr>
              <w:pStyle w:val="Compact"/>
            </w:pPr>
            <w:r>
              <w:t xml:space="preserve">ervas atribuidas** **Ingreso</w:t>
            </w:r>
          </w:p>
        </w:tc>
        <w:tc>
          <w:tcPr/>
          <w:p>
            <w:pPr>
              <w:pStyle w:val="Compact"/>
              <w:jc w:val="right"/>
            </w:pPr>
            <w:r>
              <w:t xml:space="preserve">promedio por habitación reservada</w:t>
            </w:r>
          </w:p>
        </w:tc>
        <w:tc>
          <w:tcPr/>
          <w:p>
            <w:pPr>
              <w:pStyle w:val="Compact"/>
            </w:pPr>
            <w:r>
              <w:t xml:space="preserve">**</w:t>
            </w:r>
            <w:r>
              <w:t xml:space="preserve"> </w:t>
            </w:r>
            <w:r>
              <w:rPr>
                <w:b/>
                <w:bCs/>
              </w:rPr>
              <w:t xml:space="preserve">Costo estimado por reserva del canal</w:t>
            </w:r>
          </w:p>
        </w:tc>
        <w:tc>
          <w:tcPr/>
          <w:p>
            <w:pPr>
              <w:pStyle w:val="Compact"/>
              <w:jc w:val="right"/>
            </w:pPr>
            <w:r>
              <w:rPr>
                <w:b/>
                <w:bCs/>
              </w:rPr>
              <w:t xml:space="preserve">Tasa de cancelación</w:t>
            </w:r>
          </w:p>
        </w:tc>
      </w:tr>
      <w:tr>
        <w:tc>
          <w:tcPr/>
          <w:p>
            <w:pPr>
              <w:pStyle w:val="Compact"/>
            </w:pPr>
            <w:r>
              <w:t xml:space="preserve">Sitio web del hotel / no p</w:t>
            </w:r>
          </w:p>
        </w:tc>
        <w:tc>
          <w:tcPr/>
          <w:p>
            <w:pPr>
              <w:pStyle w:val="Compact"/>
            </w:pPr>
            <w:r>
              <w:t xml:space="preserve">agado $38,000</w:t>
            </w:r>
          </w:p>
        </w:tc>
        <w:tc>
          <w:tcPr/>
          <w:p>
            <w:pPr>
              <w:pStyle w:val="Compact"/>
            </w:pPr>
            <w:r>
              <w:t xml:space="preserve">1,040</w:t>
            </w:r>
          </w:p>
        </w:tc>
        <w:tc>
          <w:tcPr/>
          <w:p>
            <w:pPr>
              <w:pStyle w:val="Compact"/>
              <w:jc w:val="right"/>
            </w:pPr>
            <w:r>
              <w:t xml:space="preserve">$462</w:t>
            </w:r>
          </w:p>
        </w:tc>
        <w:tc>
          <w:tcPr/>
          <w:p>
            <w:pPr>
              <w:pStyle w:val="Compact"/>
            </w:pPr>
            <w:r>
              <w:t xml:space="preserve">$37</w:t>
            </w:r>
          </w:p>
        </w:tc>
        <w:tc>
          <w:tcPr/>
          <w:p>
            <w:pPr>
              <w:pStyle w:val="Compact"/>
              <w:jc w:val="right"/>
            </w:pPr>
            <w:r>
              <w:t xml:space="preserve">9%</w:t>
            </w:r>
          </w:p>
        </w:tc>
      </w:tr>
      <w:tr>
        <w:tc>
          <w:tcPr/>
          <w:p>
            <w:pPr>
              <w:pStyle w:val="Compact"/>
            </w:pPr>
            <w:r>
              <w:t xml:space="preserve">Búsqueda pagada</w:t>
            </w:r>
          </w:p>
        </w:tc>
        <w:tc>
          <w:tcPr/>
          <w:p>
            <w:pPr>
              <w:pStyle w:val="Compact"/>
            </w:pPr>
            <w:r>
              <w:t xml:space="preserve">$112,000</w:t>
            </w:r>
          </w:p>
        </w:tc>
        <w:tc>
          <w:tcPr/>
          <w:p>
            <w:pPr>
              <w:pStyle w:val="Compact"/>
            </w:pPr>
            <w:r>
              <w:t xml:space="preserve">1,380</w:t>
            </w:r>
          </w:p>
        </w:tc>
        <w:tc>
          <w:tcPr/>
          <w:p>
            <w:pPr>
              <w:pStyle w:val="Compact"/>
              <w:jc w:val="right"/>
            </w:pPr>
            <w:r>
              <w:t xml:space="preserve">$438</w:t>
            </w:r>
          </w:p>
        </w:tc>
        <w:tc>
          <w:tcPr/>
          <w:p>
            <w:pPr>
              <w:pStyle w:val="Compact"/>
            </w:pPr>
            <w:r>
              <w:t xml:space="preserve">$81</w:t>
            </w:r>
          </w:p>
        </w:tc>
        <w:tc>
          <w:tcPr/>
          <w:p>
            <w:pPr>
              <w:pStyle w:val="Compact"/>
              <w:jc w:val="right"/>
            </w:pPr>
            <w:r>
              <w:t xml:space="preserve">13%</w:t>
            </w:r>
          </w:p>
        </w:tc>
      </w:tr>
      <w:tr>
        <w:tc>
          <w:tcPr/>
          <w:p>
            <w:pPr>
              <w:pStyle w:val="Compact"/>
            </w:pPr>
            <w:r>
              <w:t xml:space="preserve">Redes sociales</w:t>
            </w:r>
          </w:p>
        </w:tc>
        <w:tc>
          <w:tcPr/>
          <w:p>
            <w:pPr>
              <w:pStyle w:val="Compact"/>
            </w:pPr>
            <w:r>
              <w:t xml:space="preserve">$54,000</w:t>
            </w:r>
          </w:p>
        </w:tc>
        <w:tc>
          <w:tcPr/>
          <w:p>
            <w:pPr>
              <w:pStyle w:val="Compact"/>
            </w:pPr>
            <w:r>
              <w:t xml:space="preserve">410</w:t>
            </w:r>
          </w:p>
        </w:tc>
        <w:tc>
          <w:tcPr/>
          <w:p>
            <w:pPr>
              <w:pStyle w:val="Compact"/>
              <w:jc w:val="right"/>
            </w:pPr>
            <w:r>
              <w:t xml:space="preserve">$496</w:t>
            </w:r>
          </w:p>
        </w:tc>
        <w:tc>
          <w:tcPr/>
          <w:p>
            <w:pPr>
              <w:pStyle w:val="Compact"/>
            </w:pPr>
            <w:r>
              <w:t xml:space="preserve">$132</w:t>
            </w:r>
          </w:p>
        </w:tc>
        <w:tc>
          <w:tcPr/>
          <w:p>
            <w:pPr>
              <w:pStyle w:val="Compact"/>
              <w:jc w:val="right"/>
            </w:pPr>
            <w:r>
              <w:t xml:space="preserve">15%</w:t>
            </w:r>
          </w:p>
        </w:tc>
      </w:tr>
      <w:tr>
        <w:tc>
          <w:tcPr/>
          <w:p>
            <w:pPr>
              <w:pStyle w:val="Compact"/>
            </w:pPr>
            <w:r>
              <w:t xml:space="preserve">Agencias de viajes en líne</w:t>
            </w:r>
          </w:p>
        </w:tc>
        <w:tc>
          <w:tcPr/>
          <w:p>
            <w:pPr>
              <w:pStyle w:val="Compact"/>
            </w:pPr>
            <w:r>
              <w:t xml:space="preserve">a Basado en comisión</w:t>
            </w:r>
          </w:p>
        </w:tc>
        <w:tc>
          <w:tcPr/>
          <w:p>
            <w:pPr>
              <w:pStyle w:val="Compact"/>
            </w:pPr>
            <w:r>
              <w:t xml:space="preserve">1,720</w:t>
            </w:r>
          </w:p>
        </w:tc>
        <w:tc>
          <w:tcPr/>
          <w:p>
            <w:pPr>
              <w:pStyle w:val="Compact"/>
              <w:jc w:val="right"/>
            </w:pPr>
            <w:r>
              <w:t xml:space="preserve">$331</w:t>
            </w:r>
          </w:p>
        </w:tc>
        <w:tc>
          <w:tcPr/>
          <w:p>
            <w:pPr>
              <w:pStyle w:val="Compact"/>
            </w:pPr>
            <w:r>
              <w:t xml:space="preserve">$58 equivalente de comisión</w:t>
            </w:r>
          </w:p>
        </w:tc>
        <w:tc>
          <w:tcPr/>
          <w:p>
            <w:pPr>
              <w:pStyle w:val="Compact"/>
              <w:jc w:val="right"/>
            </w:pPr>
            <w:r>
              <w:t xml:space="preserve">22%</w:t>
            </w:r>
          </w:p>
        </w:tc>
      </w:tr>
      <w:tr>
        <w:tc>
          <w:tcPr/>
          <w:p>
            <w:pPr>
              <w:pStyle w:val="Compact"/>
            </w:pPr>
            <w:r>
              <w:t xml:space="preserve">Ventas corporativas / de g</w:t>
            </w:r>
          </w:p>
        </w:tc>
        <w:tc>
          <w:tcPr/>
          <w:p>
            <w:pPr>
              <w:pStyle w:val="Compact"/>
            </w:pPr>
            <w:r>
              <w:t xml:space="preserve">rupos $96,000</w:t>
            </w:r>
          </w:p>
        </w:tc>
        <w:tc>
          <w:tcPr/>
          <w:p>
            <w:pPr>
              <w:pStyle w:val="Compact"/>
            </w:pPr>
            <w:r>
              <w:t xml:space="preserve">1,260</w:t>
            </w:r>
          </w:p>
        </w:tc>
        <w:tc>
          <w:tcPr/>
          <w:p>
            <w:pPr>
              <w:pStyle w:val="Compact"/>
              <w:jc w:val="right"/>
            </w:pPr>
            <w:r>
              <w:t xml:space="preserve">$574</w:t>
            </w:r>
          </w:p>
        </w:tc>
        <w:tc>
          <w:tcPr/>
          <w:p>
            <w:pPr>
              <w:pStyle w:val="Compact"/>
            </w:pPr>
            <w:r>
              <w:t xml:space="preserve">$76</w:t>
            </w:r>
          </w:p>
        </w:tc>
        <w:tc>
          <w:tcPr/>
          <w:p>
            <w:pPr>
              <w:pStyle w:val="Compact"/>
              <w:jc w:val="right"/>
            </w:pPr>
            <w:r>
              <w:t xml:space="preserve">12%</w:t>
            </w:r>
          </w:p>
        </w:tc>
      </w:tr>
      <w:tr>
        <w:tc>
          <w:tcPr/>
          <w:p>
            <w:pPr>
              <w:pStyle w:val="Compact"/>
            </w:pPr>
            <w:r>
              <w:t xml:space="preserve">Correo electrónico / lealt</w:t>
            </w:r>
          </w:p>
        </w:tc>
        <w:tc>
          <w:tcPr/>
          <w:p>
            <w:pPr>
              <w:pStyle w:val="Compact"/>
            </w:pPr>
            <w:r>
              <w:t xml:space="preserve">ad $21,000</w:t>
            </w:r>
          </w:p>
        </w:tc>
        <w:tc>
          <w:tcPr/>
          <w:p>
            <w:pPr>
              <w:pStyle w:val="Compact"/>
            </w:pPr>
            <w:r>
              <w:t xml:space="preserve">590</w:t>
            </w:r>
          </w:p>
        </w:tc>
        <w:tc>
          <w:tcPr/>
          <w:p>
            <w:pPr>
              <w:pStyle w:val="Compact"/>
              <w:jc w:val="right"/>
            </w:pPr>
            <w:r>
              <w:t xml:space="preserve">$521</w:t>
            </w:r>
          </w:p>
        </w:tc>
        <w:tc>
          <w:tcPr/>
          <w:p>
            <w:pPr>
              <w:pStyle w:val="Compact"/>
            </w:pPr>
            <w:r>
              <w:t xml:space="preserve">$36</w:t>
            </w:r>
          </w:p>
        </w:tc>
        <w:tc>
          <w:tcPr/>
          <w:p>
            <w:pPr>
              <w:pStyle w:val="Compact"/>
              <w:jc w:val="right"/>
            </w:pPr>
            <w:r>
              <w:t xml:space="preserve">8%</w:t>
            </w:r>
          </w:p>
        </w:tc>
      </w:tr>
    </w:tbl>
    <w:bookmarkEnd w:id="15"/>
    <w:bookmarkEnd w:id="16"/>
    <w:bookmarkStart w:id="18" w:name="una-propuesta-con-varias-partes-móviles"/>
    <w:p>
      <w:pPr>
        <w:pStyle w:val="Heading1"/>
      </w:pPr>
      <w:r>
        <w:t xml:space="preserve">Una Propuesta con Varias Partes Móviles</w:t>
      </w:r>
    </w:p>
    <w:p>
      <w:pPr>
        <w:pStyle w:val="FirstParagraph"/>
      </w:pPr>
      <w:r>
        <w:t xml:space="preserve">El plan recomendado por Lee combinaba varias acciones. Para las dos noches pico de la conferencia, elevaría la tarifa flexible de habitación estándar de $279–$289 a $329, cerraría los descuentos más profundos y reservaría al menos 38 habitaciones para reservas esperadas dentro de los 14 días previos a la llegada. Para el lunes y el jueves, ofrecería un paquete de tres noches a una tarifa efectiva de $239 por noche, incluyendo desayuno. Aumentaría las pujas de búsqueda para términos de alta intención relacionados con la conferencia en un 35%, reduciría la disponibilidad a través de agencias de viajes en línea a medida que el hotel se llenara y mantendría el sitio web existente.</w:t>
      </w:r>
    </w:p>
    <w:p>
      <w:pPr>
        <w:pStyle w:val="BodyText"/>
      </w:pPr>
      <w:r>
        <w:t xml:space="preserve">Shah propuso un paquete diferente. Limitaría la tarifa de noche pico a $299 durante dos semanas más, aceptaría un bloque corporativo adicional de 60 habitaciones a $224 e incluiría espacio para una recepción la noche del miércoles. Creía que el bloque estabilizaría la ocupación en las cuatro noches y produciría ingresos de alimentos y bebidas. La corporación exigía una cláusula de disminución flexible y no proporcionaría los nombres de los huéspedes hasta 14 días antes de la llegada.</w:t>
      </w:r>
    </w:p>
    <w:p>
      <w:pPr>
        <w:pStyle w:val="BodyText"/>
      </w:pPr>
      <w:r>
        <w:t xml:space="preserve">Carter apoyó mantener temporalmente el bloque corporativo, pero quería una prueba más amplia. Propuso dos diseños de página web, diferentes ofertas de desayuno y tres niveles de publicidad en mercados geográficos seleccionados. Argumentó que el hotel sabía demasiado poco sobre cómo respondían los viajeros al precio, los servicios y la presentación de la página web. Lee respondió que la experimentación consumía tráfico y podía sacrificar ingresos durante las semanas más valiosas del año.</w:t>
      </w:r>
    </w:p>
    <w:bookmarkStart w:id="17" w:name="exhibición-4.-alternativas-en-discusión"/>
    <w:p>
      <w:pPr>
        <w:pStyle w:val="Heading2"/>
      </w:pPr>
      <w:r>
        <w:t xml:space="preserve">Exhibición 4. Alternativas en Discusión</w:t>
      </w:r>
    </w:p>
    <w:tbl>
      <w:tblPr>
        <w:tblStyle w:val="Table"/>
        <w:tblW w:type="pct" w:w="4951"/>
        <w:tblLayout w:type="fixed"/>
        <w:tblLook w:firstRow="1" w:lastRow="0" w:firstColumn="0" w:lastColumn="0" w:noHBand="0" w:noVBand="0" w:val="0020"/>
      </w:tblPr>
      <w:tblGrid>
        <w:gridCol w:w="975"/>
        <w:gridCol w:w="1677"/>
        <w:gridCol w:w="1443"/>
        <w:gridCol w:w="1677"/>
        <w:gridCol w:w="2067"/>
      </w:tblGrid>
      <w:tr>
        <w:trPr>
          <w:tblHeader w:val="on"/>
        </w:trPr>
        <w:tc>
          <w:tcPr/>
          <w:p>
            <w:pPr>
              <w:pStyle w:val="Compact"/>
              <w:jc w:val="left"/>
            </w:pPr>
            <w:r>
              <w:rPr>
                <w:b/>
                <w:bCs/>
              </w:rPr>
              <w:t xml:space="preserve">Alternativa</w:t>
            </w:r>
          </w:p>
        </w:tc>
        <w:tc>
          <w:tcPr/>
          <w:p>
            <w:pPr>
              <w:pStyle w:val="Compact"/>
              <w:jc w:val="left"/>
            </w:pPr>
            <w:r>
              <w:rPr>
                <w:b/>
                <w:bCs/>
              </w:rPr>
              <w:t xml:space="preserve">Enfoque de noche pico</w:t>
            </w:r>
          </w:p>
        </w:tc>
        <w:tc>
          <w:tcPr/>
          <w:p>
            <w:pPr>
              <w:pStyle w:val="Compact"/>
              <w:jc w:val="center"/>
            </w:pPr>
            <w:r>
              <w:rPr>
                <w:b/>
                <w:bCs/>
              </w:rPr>
              <w:t xml:space="preserve">Enfoque de noche adyacente</w:t>
            </w:r>
          </w:p>
        </w:tc>
        <w:tc>
          <w:tcPr/>
          <w:p>
            <w:pPr>
              <w:pStyle w:val="Compact"/>
              <w:jc w:val="center"/>
            </w:pPr>
            <w:r>
              <w:rPr>
                <w:b/>
                <w:bCs/>
              </w:rPr>
              <w:t xml:space="preserve">Enfoque de publicidad / canal</w:t>
            </w:r>
          </w:p>
        </w:tc>
        <w:tc>
          <w:tcPr/>
          <w:p>
            <w:pPr>
              <w:pStyle w:val="Compact"/>
              <w:jc w:val="center"/>
            </w:pPr>
            <w:r>
              <w:rPr>
                <w:b/>
                <w:bCs/>
              </w:rPr>
              <w:t xml:space="preserve">Preocupación principal</w:t>
            </w:r>
          </w:p>
        </w:tc>
      </w:tr>
      <w:tr>
        <w:tc>
          <w:tcPr/>
          <w:p>
            <w:pPr>
              <w:pStyle w:val="Compact"/>
              <w:jc w:val="left"/>
            </w:pPr>
            <w:r>
              <w:t xml:space="preserve">A. Proteger la demanda ta</w:t>
            </w:r>
          </w:p>
        </w:tc>
        <w:tc>
          <w:tcPr/>
          <w:p>
            <w:pPr>
              <w:pStyle w:val="Compact"/>
              <w:jc w:val="left"/>
            </w:pPr>
            <w:r>
              <w:t xml:space="preserve">rdía Elevar a $329; retener 38 habitacio</w:t>
            </w:r>
          </w:p>
        </w:tc>
        <w:tc>
          <w:tcPr/>
          <w:p>
            <w:pPr>
              <w:pStyle w:val="Compact"/>
              <w:jc w:val="center"/>
            </w:pPr>
            <w:r>
              <w:t xml:space="preserve">nes Paquete de desayuno</w:t>
            </w:r>
          </w:p>
        </w:tc>
        <w:tc>
          <w:tcPr/>
          <w:p>
            <w:pPr>
              <w:pStyle w:val="Compact"/>
              <w:jc w:val="center"/>
            </w:pPr>
            <w:r>
              <w:t xml:space="preserve">de 3 noches Pujas de búsqueda má</w:t>
            </w:r>
          </w:p>
        </w:tc>
        <w:tc>
          <w:tcPr/>
          <w:p>
            <w:pPr>
              <w:pStyle w:val="Compact"/>
              <w:jc w:val="center"/>
            </w:pPr>
            <w:r>
              <w:t xml:space="preserve">s altas; reducir inventario de OTA La demanda tardía de tarifa alta puede no llegar</w:t>
            </w:r>
          </w:p>
        </w:tc>
      </w:tr>
      <w:tr>
        <w:tc>
          <w:tcPr/>
          <w:p>
            <w:pPr>
              <w:pStyle w:val="Compact"/>
              <w:jc w:val="left"/>
            </w:pPr>
            <w:r>
              <w:t xml:space="preserve">B. Asegurar el grupo</w:t>
            </w:r>
          </w:p>
        </w:tc>
        <w:tc>
          <w:tcPr/>
          <w:p>
            <w:pPr>
              <w:pStyle w:val="Compact"/>
              <w:jc w:val="left"/>
            </w:pPr>
            <w:r>
              <w:t xml:space="preserve">Limitar a $299; agregar bloque de 60 habi</w:t>
            </w:r>
          </w:p>
        </w:tc>
        <w:tc>
          <w:tcPr/>
          <w:p>
            <w:pPr>
              <w:pStyle w:val="Compact"/>
              <w:jc w:val="center"/>
            </w:pPr>
            <w:r>
              <w:t xml:space="preserve">taciones a $224 Grupo abarca las c</w:t>
            </w:r>
          </w:p>
        </w:tc>
        <w:tc>
          <w:tcPr/>
          <w:p>
            <w:pPr>
              <w:pStyle w:val="Compact"/>
              <w:jc w:val="center"/>
            </w:pPr>
            <w:r>
              <w:t xml:space="preserve">uatro noches Ventas corporativas; pu</w:t>
            </w:r>
          </w:p>
        </w:tc>
        <w:tc>
          <w:tcPr/>
          <w:p>
            <w:pPr>
              <w:pStyle w:val="Compact"/>
              <w:jc w:val="center"/>
            </w:pPr>
            <w:r>
              <w:t xml:space="preserve">blicidad normal El bloque puede reducirse o desplazar a huéspedes de tarifa más alta</w:t>
            </w:r>
          </w:p>
        </w:tc>
      </w:tr>
      <w:tr>
        <w:tc>
          <w:tcPr/>
          <w:p>
            <w:pPr>
              <w:pStyle w:val="Compact"/>
              <w:jc w:val="left"/>
            </w:pPr>
            <w:r>
              <w:t xml:space="preserve">C. Probar y adaptar</w:t>
            </w:r>
          </w:p>
        </w:tc>
        <w:tc>
          <w:tcPr/>
          <w:p>
            <w:pPr>
              <w:pStyle w:val="Compact"/>
              <w:jc w:val="left"/>
            </w:pPr>
            <w:r>
              <w:t xml:space="preserve">Usar rango de $299–$319 según el merca</w:t>
            </w:r>
          </w:p>
        </w:tc>
        <w:tc>
          <w:tcPr/>
          <w:p>
            <w:pPr>
              <w:pStyle w:val="Compact"/>
              <w:jc w:val="center"/>
            </w:pPr>
            <w:r>
              <w:t xml:space="preserve">do Probar paquetes y variantes de p</w:t>
            </w:r>
          </w:p>
        </w:tc>
        <w:tc>
          <w:tcPr/>
          <w:p>
            <w:pPr>
              <w:pStyle w:val="Compact"/>
              <w:jc w:val="center"/>
            </w:pPr>
            <w:r>
              <w:t xml:space="preserve">ágina web Ejecutar experimentos controlad</w:t>
            </w:r>
          </w:p>
        </w:tc>
        <w:tc>
          <w:tcPr/>
          <w:p>
            <w:pPr>
              <w:pStyle w:val="Compact"/>
              <w:jc w:val="center"/>
            </w:pPr>
            <w:r>
              <w:t xml:space="preserve">os de canal El aprendizaje puede ser costoso y los resultados pueden llegar tarde</w:t>
            </w:r>
          </w:p>
        </w:tc>
      </w:tr>
      <w:tr>
        <w:tc>
          <w:tcPr/>
          <w:p>
            <w:pPr>
              <w:pStyle w:val="Compact"/>
              <w:jc w:val="left"/>
            </w:pPr>
            <w:r>
              <w:t xml:space="preserve">D. Llenar temprano</w:t>
            </w:r>
          </w:p>
        </w:tc>
        <w:tc>
          <w:tcPr/>
          <w:p>
            <w:pPr>
              <w:pStyle w:val="Compact"/>
              <w:jc w:val="left"/>
            </w:pPr>
            <w:r>
              <w:t xml:space="preserve">Mantener $279–$289; ampliar descuen</w:t>
            </w:r>
          </w:p>
        </w:tc>
        <w:tc>
          <w:tcPr/>
          <w:p>
            <w:pPr>
              <w:pStyle w:val="Compact"/>
              <w:jc w:val="center"/>
            </w:pPr>
            <w:r>
              <w:t xml:space="preserve">tos Ofertas agresivas de domingo/j</w:t>
            </w:r>
          </w:p>
        </w:tc>
        <w:tc>
          <w:tcPr/>
          <w:p>
            <w:pPr>
              <w:pStyle w:val="Compact"/>
              <w:jc w:val="center"/>
            </w:pPr>
            <w:r>
              <w:t xml:space="preserve">ueves Distribución amplia en OTA y redes</w:t>
            </w:r>
          </w:p>
        </w:tc>
        <w:tc>
          <w:tcPr/>
          <w:p>
            <w:pPr>
              <w:pStyle w:val="Compact"/>
              <w:jc w:val="center"/>
            </w:pPr>
            <w:r>
              <w:t xml:space="preserve">sociales El hotel puede vender habitaciones escasas demasiado baratas</w:t>
            </w:r>
          </w:p>
        </w:tc>
      </w:tr>
    </w:tbl>
    <w:bookmarkEnd w:id="17"/>
    <w:bookmarkEnd w:id="18"/>
    <w:bookmarkStart w:id="20" w:name="los-límites-del-pronóstico"/>
    <w:p>
      <w:pPr>
        <w:pStyle w:val="Heading1"/>
      </w:pPr>
      <w:r>
        <w:t xml:space="preserve">Los Límites del Pronóstico</w:t>
      </w:r>
    </w:p>
    <w:p>
      <w:pPr>
        <w:pStyle w:val="FirstParagraph"/>
      </w:pPr>
      <w:r>
        <w:t xml:space="preserve">El equipo de pronóstico generó tres escenarios. En el escenario de demanda fuerte, la inscripción a la conferencia superó las expectativas, la renovación del hotel competidor eliminó habitaciones del mercado y la demanda corporativa tardía fue sólida. En el escenario de demanda débil, la conferencia trasladó algunas sesiones a formato en línea, el competidor reabrió su inventario completo y los viajeros acortaron sus estadías. El escenario intermedio asumía que las reservas seguirían los patrones recientes, pero las cancelaciones seguían siendo el elemento más difícil de estimar.</w:t>
      </w:r>
    </w:p>
    <w:bookmarkStart w:id="19" w:name="X4f3ee373e00129526e6c195237702b8ecebca36"/>
    <w:p>
      <w:pPr>
        <w:pStyle w:val="Heading2"/>
      </w:pPr>
      <w:r>
        <w:t xml:space="preserve">Exhibición 5. Estimaciones de Escenarios para el Período de la Conferencia</w:t>
      </w:r>
    </w:p>
    <w:tbl>
      <w:tblPr>
        <w:tblStyle w:val="Table"/>
        <w:tblW w:type="pct" w:w="4947"/>
        <w:tblLayout w:type="fixed"/>
        <w:tblLook w:firstRow="1" w:lastRow="0" w:firstColumn="0" w:lastColumn="0" w:noHBand="0" w:noVBand="0" w:val="0020"/>
      </w:tblPr>
      <w:tblGrid>
        <w:gridCol w:w="625"/>
        <w:gridCol w:w="1417"/>
        <w:gridCol w:w="1458"/>
        <w:gridCol w:w="1250"/>
        <w:gridCol w:w="1250"/>
        <w:gridCol w:w="1834"/>
      </w:tblGrid>
      <w:tr>
        <w:trPr>
          <w:tblHeader w:val="on"/>
        </w:trPr>
        <w:tc>
          <w:tcPr/>
          <w:p>
            <w:pPr>
              <w:pStyle w:val="Compact"/>
              <w:jc w:val="left"/>
            </w:pPr>
            <w:r>
              <w:rPr>
                <w:b/>
                <w:bCs/>
              </w:rPr>
              <w:t xml:space="preserve">Escenario</w:t>
            </w:r>
          </w:p>
        </w:tc>
        <w:tc>
          <w:tcPr/>
          <w:p>
            <w:pPr>
              <w:pStyle w:val="Compact"/>
              <w:jc w:val="right"/>
            </w:pPr>
            <w:r>
              <w:t xml:space="preserve">**Probabilidad usada internamente</w:t>
            </w:r>
          </w:p>
        </w:tc>
        <w:tc>
          <w:tcPr/>
          <w:p>
            <w:pPr>
              <w:pStyle w:val="Compact"/>
            </w:pPr>
            <w:r>
              <w:t xml:space="preserve">** **Solicitudes potenciales de h</w:t>
            </w:r>
          </w:p>
        </w:tc>
        <w:tc>
          <w:tcPr/>
          <w:p>
            <w:pPr>
              <w:pStyle w:val="Compact"/>
            </w:pPr>
            <w:r>
              <w:t xml:space="preserve">abitaciones** **Cancelacione</w:t>
            </w:r>
          </w:p>
        </w:tc>
        <w:tc>
          <w:tcPr/>
          <w:p>
            <w:pPr>
              <w:pStyle w:val="Compact"/>
            </w:pPr>
            <w:r>
              <w:t xml:space="preserve">s estimadas** **Tarifa pico</w:t>
            </w:r>
          </w:p>
        </w:tc>
        <w:tc>
          <w:tcPr/>
          <w:p>
            <w:pPr>
              <w:pStyle w:val="Compact"/>
            </w:pPr>
            <w:r>
              <w:t xml:space="preserve">probable del mercado**</w:t>
            </w:r>
            <w:r>
              <w:t xml:space="preserve"> </w:t>
            </w:r>
            <w:r>
              <w:rPr>
                <w:b/>
                <w:bCs/>
              </w:rPr>
              <w:t xml:space="preserve">Interpretación</w:t>
            </w:r>
          </w:p>
        </w:tc>
      </w:tr>
      <w:tr>
        <w:tc>
          <w:tcPr/>
          <w:p>
            <w:pPr>
              <w:pStyle w:val="Compact"/>
              <w:jc w:val="left"/>
            </w:pPr>
            <w:r>
              <w:t xml:space="preserve">Débil</w:t>
            </w:r>
          </w:p>
        </w:tc>
        <w:tc>
          <w:tcPr/>
          <w:p>
            <w:pPr>
              <w:pStyle w:val="Compact"/>
              <w:jc w:val="right"/>
            </w:pPr>
            <w:r>
              <w:t xml:space="preserve">25%</w:t>
            </w:r>
          </w:p>
        </w:tc>
        <w:tc>
          <w:tcPr/>
          <w:p>
            <w:pPr>
              <w:pStyle w:val="Compact"/>
            </w:pPr>
            <w:r>
              <w:t xml:space="preserve">760</w:t>
            </w:r>
          </w:p>
        </w:tc>
        <w:tc>
          <w:tcPr/>
          <w:p>
            <w:pPr>
              <w:pStyle w:val="Compact"/>
            </w:pPr>
            <w:r>
              <w:t xml:space="preserve">115–145</w:t>
            </w:r>
          </w:p>
        </w:tc>
        <w:tc>
          <w:tcPr/>
          <w:p>
            <w:pPr>
              <w:pStyle w:val="Compact"/>
            </w:pPr>
            <w:r>
              <w:t xml:space="preserve">$245–$285</w:t>
            </w:r>
          </w:p>
        </w:tc>
        <w:tc>
          <w:tcPr/>
          <w:p>
            <w:pPr>
              <w:pStyle w:val="Compact"/>
            </w:pPr>
            <w:r>
              <w:t xml:space="preserve">Riesgo sustancial de noches adyacentes vacías</w:t>
            </w:r>
          </w:p>
        </w:tc>
      </w:tr>
      <w:tr>
        <w:tc>
          <w:tcPr/>
          <w:p>
            <w:pPr>
              <w:pStyle w:val="Compact"/>
              <w:jc w:val="left"/>
            </w:pPr>
            <w:r>
              <w:t xml:space="preserve">Esperado</w:t>
            </w:r>
          </w:p>
        </w:tc>
        <w:tc>
          <w:tcPr/>
          <w:p>
            <w:pPr>
              <w:pStyle w:val="Compact"/>
              <w:jc w:val="right"/>
            </w:pPr>
            <w:r>
              <w:t xml:space="preserve">50%</w:t>
            </w:r>
          </w:p>
        </w:tc>
        <w:tc>
          <w:tcPr/>
          <w:p>
            <w:pPr>
              <w:pStyle w:val="Compact"/>
            </w:pPr>
            <w:r>
              <w:t xml:space="preserve">915</w:t>
            </w:r>
          </w:p>
        </w:tc>
        <w:tc>
          <w:tcPr/>
          <w:p>
            <w:pPr>
              <w:pStyle w:val="Compact"/>
            </w:pPr>
            <w:r>
              <w:t xml:space="preserve">130–170</w:t>
            </w:r>
          </w:p>
        </w:tc>
        <w:tc>
          <w:tcPr/>
          <w:p>
            <w:pPr>
              <w:pStyle w:val="Compact"/>
            </w:pPr>
            <w:r>
              <w:t xml:space="preserve">$285–$325</w:t>
            </w:r>
          </w:p>
        </w:tc>
        <w:tc>
          <w:tcPr/>
          <w:p>
            <w:pPr>
              <w:pStyle w:val="Compact"/>
            </w:pPr>
            <w:r>
              <w:t xml:space="preserve">Casi agotamiento el martes y el miércoles</w:t>
            </w:r>
          </w:p>
        </w:tc>
      </w:tr>
      <w:tr>
        <w:tc>
          <w:tcPr/>
          <w:p>
            <w:pPr>
              <w:pStyle w:val="Compact"/>
              <w:jc w:val="left"/>
            </w:pPr>
            <w:r>
              <w:t xml:space="preserve">Fuerte</w:t>
            </w:r>
          </w:p>
        </w:tc>
        <w:tc>
          <w:tcPr/>
          <w:p>
            <w:pPr>
              <w:pStyle w:val="Compact"/>
              <w:jc w:val="right"/>
            </w:pPr>
            <w:r>
              <w:t xml:space="preserve">25%</w:t>
            </w:r>
          </w:p>
        </w:tc>
        <w:tc>
          <w:tcPr/>
          <w:p>
            <w:pPr>
              <w:pStyle w:val="Compact"/>
            </w:pPr>
            <w:r>
              <w:t xml:space="preserve">1,080</w:t>
            </w:r>
          </w:p>
        </w:tc>
        <w:tc>
          <w:tcPr/>
          <w:p>
            <w:pPr>
              <w:pStyle w:val="Compact"/>
            </w:pPr>
            <w:r>
              <w:t xml:space="preserve">145–195</w:t>
            </w:r>
          </w:p>
        </w:tc>
        <w:tc>
          <w:tcPr/>
          <w:p>
            <w:pPr>
              <w:pStyle w:val="Compact"/>
            </w:pPr>
            <w:r>
              <w:t xml:space="preserve">$335–$425</w:t>
            </w:r>
          </w:p>
        </w:tc>
        <w:tc>
          <w:tcPr/>
          <w:p>
            <w:pPr>
              <w:pStyle w:val="Compact"/>
            </w:pPr>
            <w:r>
              <w:t xml:space="preserve">La demanda tardía podría exceder las habitaciones restantes</w:t>
            </w:r>
          </w:p>
        </w:tc>
      </w:tr>
    </w:tbl>
    <w:p>
      <w:pPr>
        <w:pStyle w:val="BodyText"/>
      </w:pPr>
      <w:r>
        <w:t xml:space="preserve">Nadie creía que las probabilidades de los escenarios fueran precisas. Las tarifas de la competencia podían cambiar en cuestión de horas. Las inscripciones a la conferencia podían acelerarse tras el anuncio de un ponente principal. Una tormenta podía interrumpir los vuelos. Un cliente corporativo importante podía cancelar, mientras que una interrupción aérea podía crear demanda inesperadamente. Las propias acciones del hotel también cambiarían la respuesta del mercado: precios más altos podrían reducir las reservas, la publicidad podría atraer clientes adicionales y un paquete podría desplazar la demanda de una fecha a otra.</w:t>
      </w:r>
    </w:p>
    <w:p>
      <w:pPr>
        <w:pStyle w:val="BodyText"/>
      </w:pPr>
      <w:r>
        <w:t xml:space="preserve">Marquez también tenía que considerar la ejecución. Los empleados de recepción habían tenido dificultades para explicar reglas de tarifas cada vez más complejas. El restaurante solo podía servir cómodamente 180 desayunos entre las 7:00 y las 9:00 a.m. El garaje tenía 196 espacios. El personal de limpieza dependía de mano de obra contratada durante los períodos de agotamiento, y un patrón comprimido de estadías de una noche aumentaba los costos de limpieza. Vender la última habitación no era necesariamente atractivo si la calidad del servicio se deterioraba y las reseñas en línea sufrían.</w:t>
      </w:r>
    </w:p>
    <w:bookmarkEnd w:id="19"/>
    <w:bookmarkEnd w:id="20"/>
    <w:bookmarkStart w:id="21" w:name="la-reunión-del-mediodía"/>
    <w:p>
      <w:pPr>
        <w:pStyle w:val="Heading1"/>
      </w:pPr>
      <w:r>
        <w:t xml:space="preserve">La Reunión del Mediodía</w:t>
      </w:r>
    </w:p>
    <w:p>
      <w:pPr>
        <w:pStyle w:val="FirstParagraph"/>
      </w:pPr>
      <w:r>
        <w:t xml:space="preserve">A las 11:40 a.m., Marquez resumió la decisión para el representante de la propiedad. El hotel podía comprometer habitaciones ahora, reservar habitaciones para clientes que podrían llegar más tarde, ajustar los precios repetidamente a medida que aparecieran nuevas reservas, gastar más para influir en qué clientes vieran el hotel, o usar las próximas semanas para aprender más sobre el comportamiento de los clientes. Cada acción afectaba no solo los ingresos por habitaciones, sino también las comisiones, los costos de servicio, el gasto auxiliar, las cancelaciones, la satisfacción del cliente y la capacidad de aceptar reservas futuras.</w:t>
      </w:r>
    </w:p>
    <w:p>
      <w:pPr>
        <w:pStyle w:val="BodyText"/>
      </w:pPr>
      <w:r>
        <w:t xml:space="preserve">El representante de la propiedad hizo una pregunta engañosamente simple:</w:t>
      </w:r>
      <w:r>
        <w:t xml:space="preserve"> </w:t>
      </w:r>
      <w:r>
        <w:t xml:space="preserve">“¿Qué habitaciones deberíamos vender hoy, a qué precio, a través de qué canal y con qué promesa asociada?”</w:t>
      </w:r>
      <w:r>
        <w:t xml:space="preserve"> </w:t>
      </w:r>
      <w:r>
        <w:t xml:space="preserve">Marquez volvió a mirar el informe de reservas. Le quedaban veinte minutos antes de que la actualización de tarifas estuviera programada para entrar en vigor.</w:t>
      </w:r>
    </w:p>
    <w:bookmarkEnd w:id="21"/>
    <w:bookmarkStart w:id="22" w:name="preguntas-de-discusión"/>
    <w:p>
      <w:pPr>
        <w:pStyle w:val="Heading1"/>
      </w:pPr>
      <w:r>
        <w:t xml:space="preserve">Preguntas de Discusión</w:t>
      </w:r>
    </w:p>
    <w:p>
      <w:pPr>
        <w:numPr>
          <w:ilvl w:val="0"/>
          <w:numId w:val="1001"/>
        </w:numPr>
      </w:pPr>
      <w:r>
        <w:t xml:space="preserve">¿Cómo debería definir el Harborview un resultado exitoso para el período de ocho semanas?</w:t>
      </w:r>
    </w:p>
    <w:p>
      <w:pPr>
        <w:numPr>
          <w:ilvl w:val="0"/>
          <w:numId w:val="1001"/>
        </w:numPr>
      </w:pPr>
      <w:r>
        <w:t xml:space="preserve">¿Qué fechas de estadía requieren la mayor atención de gestión, y por qué?</w:t>
      </w:r>
    </w:p>
    <w:p>
      <w:pPr>
        <w:numPr>
          <w:ilvl w:val="0"/>
          <w:numId w:val="1001"/>
        </w:numPr>
      </w:pPr>
      <w:r>
        <w:t xml:space="preserve">¿Cuáles son las ventajas y desventajas de aceptar el bloque corporativo propuesto?</w:t>
      </w:r>
    </w:p>
    <w:p>
      <w:pPr>
        <w:numPr>
          <w:ilvl w:val="0"/>
          <w:numId w:val="1001"/>
        </w:numPr>
      </w:pPr>
      <w:r>
        <w:t xml:space="preserve">¿Cómo debería el hotel valorar una habitación reservada para un posible cliente futuro?</w:t>
      </w:r>
    </w:p>
    <w:p>
      <w:pPr>
        <w:numPr>
          <w:ilvl w:val="0"/>
          <w:numId w:val="1001"/>
        </w:numPr>
      </w:pPr>
      <w:r>
        <w:t xml:space="preserve">¿Cómo debería el comportamiento de cancelación afectar las tarifas, restricciones y disponibilidad por canal?</w:t>
      </w:r>
    </w:p>
    <w:p>
      <w:pPr>
        <w:numPr>
          <w:ilvl w:val="0"/>
          <w:numId w:val="1001"/>
        </w:numPr>
      </w:pPr>
      <w:r>
        <w:t xml:space="preserve">¿Qué servicios deberían agruparse con las habitaciones, y cuándo podría un paquete destruir en lugar de crear valor?</w:t>
      </w:r>
    </w:p>
    <w:p>
      <w:pPr>
        <w:numPr>
          <w:ilvl w:val="0"/>
          <w:numId w:val="1001"/>
        </w:numPr>
      </w:pPr>
      <w:r>
        <w:t xml:space="preserve">¿Cómo debería el Harborview asignar su presupuesto de publicidad entre búsqueda pagada, redes sociales, canales directos, agencias de viajes en línea y ventas corporativas?</w:t>
      </w:r>
    </w:p>
    <w:p>
      <w:pPr>
        <w:numPr>
          <w:ilvl w:val="0"/>
          <w:numId w:val="1001"/>
        </w:numPr>
      </w:pPr>
      <w:r>
        <w:t xml:space="preserve">¿Qué información sería más valiosa antes del mediodía, y qué información podría aprenderse razonablemente durante las próximas semanas?</w:t>
      </w:r>
    </w:p>
    <w:p>
      <w:pPr>
        <w:numPr>
          <w:ilvl w:val="0"/>
          <w:numId w:val="1001"/>
        </w:numPr>
      </w:pPr>
      <w:r>
        <w:t xml:space="preserve">¿Ejecutaría los experimentos de página web y paquetes durante el período de reservas de la conferencia? Explique el diseño y los riesgos del experimento.</w:t>
      </w:r>
    </w:p>
    <w:p>
      <w:pPr>
        <w:numPr>
          <w:ilvl w:val="0"/>
          <w:numId w:val="1001"/>
        </w:numPr>
      </w:pPr>
      <w:r>
        <w:t xml:space="preserve">¿Qué plan debería aprobar Marquez, y qué observaciones futuras deberían activar un cambio en ese plan?</w:t>
      </w:r>
    </w:p>
    <w:bookmarkEnd w:id="22"/>
    <w:bookmarkStart w:id="28" w:name="preguntas-de-encuadre-de-la-decisión"/>
    <w:p>
      <w:pPr>
        <w:pStyle w:val="Heading1"/>
      </w:pPr>
      <w:r>
        <w:t xml:space="preserve">Preguntas de Encuadre de la Decisión</w:t>
      </w:r>
    </w:p>
    <w:p>
      <w:pPr>
        <w:numPr>
          <w:ilvl w:val="0"/>
          <w:numId w:val="1002"/>
        </w:numPr>
      </w:pPr>
      <w:r>
        <w:t xml:space="preserve">Identifique y describa las responsabilidades del tomador de decisiones. Esto debería establecer el alcance del problema.</w:t>
      </w:r>
    </w:p>
    <w:p>
      <w:pPr>
        <w:numPr>
          <w:ilvl w:val="0"/>
          <w:numId w:val="1002"/>
        </w:numPr>
      </w:pPr>
      <w:r>
        <w:t xml:space="preserve">Use la</w:t>
      </w:r>
      <w:r>
        <w:t xml:space="preserve"> </w:t>
      </w:r>
      <w:hyperlink r:id="rId23">
        <w:r>
          <w:rPr>
            <w:rStyle w:val="Hyperlink"/>
          </w:rPr>
          <w:t xml:space="preserve">herramienta de pirámide de métricas</w:t>
        </w:r>
      </w:hyperlink>
      <w:r>
        <w:t xml:space="preserve"> </w:t>
      </w:r>
      <w:r>
        <w:t xml:space="preserve">para identificar y priorizar las diferentes métricas de desempeño. Haga clic en el óvalo que contiene la métrica para identificar si es una métrica a maximizar (verde), minimizar (rojo), un objetivo que es un piso (verde claro) o un techo (rojo claro), o finalmente un objetivo (púrpura).</w:t>
      </w:r>
    </w:p>
    <w:p>
      <w:pPr>
        <w:numPr>
          <w:ilvl w:val="0"/>
          <w:numId w:val="1002"/>
        </w:numPr>
      </w:pPr>
      <w:r>
        <w:t xml:space="preserve">Use la</w:t>
      </w:r>
      <w:r>
        <w:t xml:space="preserve"> </w:t>
      </w:r>
      <w:hyperlink r:id="rId24">
        <w:r>
          <w:rPr>
            <w:rStyle w:val="Hyperlink"/>
          </w:rPr>
          <w:t xml:space="preserve">herramienta de priorización de decisiones</w:t>
        </w:r>
      </w:hyperlink>
      <w:r>
        <w:t xml:space="preserve"> </w:t>
      </w:r>
      <w:r>
        <w:t xml:space="preserve">para enumerar primero los diferentes tipos de decisiones (use los</w:t>
      </w:r>
      <w:r>
        <w:t xml:space="preserve"> </w:t>
      </w:r>
      <w:hyperlink r:id="rId25">
        <w:r>
          <w:rPr>
            <w:rStyle w:val="Hyperlink"/>
          </w:rPr>
          <w:t xml:space="preserve">tipos de decisiones</w:t>
        </w:r>
      </w:hyperlink>
      <w:r>
        <w:t xml:space="preserve"> </w:t>
      </w:r>
      <w:r>
        <w:t xml:space="preserve">como guía). Estos poblarán luego las filas de la matriz a la derecha, donde las columnas son las métricas de desempeño ordenadas de izquierda a derecha según la prioridad en la pirámide anterior. Haga clic en cada celda para indicar si el impacto de la decisión en cada métrica es alto (rojo), medio (naranja), bajo (amarillo) o ninguno (blanco).</w:t>
      </w:r>
    </w:p>
    <w:p>
      <w:pPr>
        <w:numPr>
          <w:ilvl w:val="0"/>
          <w:numId w:val="1002"/>
        </w:numPr>
      </w:pPr>
      <w:r>
        <w:t xml:space="preserve">Puede tomar el asa (tres barras) más a la izquierda en cada fila para moverla hacia arriba o hacia abajo. Ordene las filas de modo que las decisiones con mayor impacto en las métricas más importantes queden hacia arriba. Las celdas en la esquina superior izquierda deberían tener la mayor concentración de celdas rojas y naranjas. En este punto identifique las decisiones que deberían recibir la mayor atención en su estudio. Si no tiene ninguna decisión con impacto medio o alto en las métricas más importantes, revise su lista de decisiones.</w:t>
      </w:r>
    </w:p>
    <w:p>
      <w:pPr>
        <w:numPr>
          <w:ilvl w:val="0"/>
          <w:numId w:val="1002"/>
        </w:numPr>
      </w:pPr>
      <w:r>
        <w:t xml:space="preserve">Repita el proceso para enumerar y priorizar las incertidumbres usando la</w:t>
      </w:r>
      <w:r>
        <w:t xml:space="preserve"> </w:t>
      </w:r>
      <w:hyperlink r:id="rId26">
        <w:r>
          <w:rPr>
            <w:rStyle w:val="Hyperlink"/>
          </w:rPr>
          <w:t xml:space="preserve">herramienta de priorización de incertidumbres</w:t>
        </w:r>
      </w:hyperlink>
      <w:r>
        <w:t xml:space="preserve">. Use las</w:t>
      </w:r>
      <w:r>
        <w:t xml:space="preserve"> </w:t>
      </w:r>
      <w:hyperlink r:id="rId27">
        <w:r>
          <w:rPr>
            <w:rStyle w:val="Hyperlink"/>
          </w:rPr>
          <w:t xml:space="preserve">categorías de incertidumbre</w:t>
        </w:r>
      </w:hyperlink>
      <w:r>
        <w:t xml:space="preserve"> </w:t>
      </w:r>
      <w:r>
        <w:t xml:space="preserve">para ayudarle a identificarlas.</w:t>
      </w:r>
    </w:p>
    <w:p>
      <w:pPr>
        <w:numPr>
          <w:ilvl w:val="0"/>
          <w:numId w:val="1002"/>
        </w:numPr>
      </w:pPr>
      <w:r>
        <w:t xml:space="preserve">Es importante diferenciar las incertidumbres que pueden evaluarse en promedio, o como eventos de riesgo:</w:t>
      </w:r>
    </w:p>
    <w:p>
      <w:pPr>
        <w:numPr>
          <w:ilvl w:val="1"/>
          <w:numId w:val="1003"/>
        </w:numPr>
      </w:pPr>
      <w:r>
        <w:t xml:space="preserve">¿Qué fuentes de incertidumbre se capturarían usando el desempeño promedio a lo largo del tiempo?</w:t>
      </w:r>
    </w:p>
    <w:p>
      <w:pPr>
        <w:numPr>
          <w:ilvl w:val="1"/>
          <w:numId w:val="1003"/>
        </w:numPr>
      </w:pPr>
      <w:r>
        <w:t xml:space="preserve">¿Qué fuentes de incertidumbre representan formas de riesgo que no se capturan adecuadamente usando promedios?</w:t>
      </w:r>
    </w:p>
    <w:p>
      <w:pPr>
        <w:numPr>
          <w:ilvl w:val="0"/>
          <w:numId w:val="1002"/>
        </w:numPr>
      </w:pPr>
      <w:r>
        <w:t xml:space="preserve">Elija la única decisión que parezca tener el mayor impacto en la métrica más importante.</w:t>
      </w:r>
    </w:p>
    <w:p>
      <w:pPr>
        <w:numPr>
          <w:ilvl w:val="1"/>
          <w:numId w:val="1004"/>
        </w:numPr>
      </w:pPr>
      <w:r>
        <w:t xml:space="preserve">¿Qué enfoque cree que usaría para tomar esta decisión?</w:t>
      </w:r>
    </w:p>
    <w:p>
      <w:pPr>
        <w:numPr>
          <w:ilvl w:val="1"/>
          <w:numId w:val="1004"/>
        </w:numPr>
      </w:pPr>
      <w:r>
        <w:t xml:space="preserve">¿Qué datos parecen ser necesarios para tomar esta decisión, incluyendo el cálculo de cualquier métrica de desempeño donde la decisión tendría un impacto alto o medio?</w:t>
      </w:r>
    </w:p>
    <w:p>
      <w:pPr>
        <w:numPr>
          <w:ilvl w:val="0"/>
          <w:numId w:val="1002"/>
        </w:numPr>
      </w:pPr>
      <w:r>
        <w:t xml:space="preserve">Usando la misma decisión que identificó en (7), identifique a las personas, departamentos, grupos u organizaciones con los que necesitaría trabajar para implementar la decisión.</w:t>
      </w:r>
    </w:p>
    <w:bookmarkEnd w:id="28"/>
    <w:bookmarkStart w:id="29" w:name="nota-sobre-datos-y-fuentes"/>
    <w:p>
      <w:pPr>
        <w:pStyle w:val="Heading1"/>
      </w:pPr>
      <w:r>
        <w:t xml:space="preserve">Nota sobre Datos y Fuentes</w:t>
      </w:r>
    </w:p>
    <w:p>
      <w:pPr>
        <w:pStyle w:val="FirstParagraph"/>
      </w:pPr>
      <w:r>
        <w:t xml:space="preserve">Todas las empresas, personas, eventos, registros de reservas, cifras financieras y alternativas operativas en este caso son ficticios. El contexto de la industria se basó en Warren B. Powell, Bridging Decision Problems, Volume I, Capítulo 2,</w:t>
      </w:r>
      <w:r>
        <w:t xml:space="preserve"> </w:t>
      </w:r>
      <w:r>
        <w:t xml:space="preserve">“Hotel Revenue Management”</w:t>
      </w:r>
      <w:r>
        <w:t xml:space="preserve">; los informes de CoStar/STR sobre la ocupación hotelera, la tarifa diaria promedio y el ingreso por habitación disponible en EE. UU. en 2025; el informe State of the Industry 2025 de la American Hotel &amp; Lodging Association; y estimaciones publicadas de cancelación por canal en 2025. El caso está diseñado para discusión y no presenta una solución preferida.</w:t>
      </w:r>
    </w:p>
    <w:bookmarkEnd w:id="29"/>
    <w:bookmarkStart w:id="32" w:name="notas-de-chatgpt"/>
    <w:p>
      <w:pPr>
        <w:pStyle w:val="Heading1"/>
      </w:pPr>
      <w:r>
        <w:t xml:space="preserve">Notas de ChatGPT</w:t>
      </w:r>
    </w:p>
    <w:bookmarkStart w:id="30" w:name="prompt"/>
    <w:p>
      <w:pPr>
        <w:pStyle w:val="Heading2"/>
      </w:pPr>
      <w:r>
        <w:t xml:space="preserve">Prompt</w:t>
      </w:r>
    </w:p>
    <w:p>
      <w:pPr>
        <w:pStyle w:val="FirstParagraph"/>
      </w:pPr>
      <w:r>
        <w:t xml:space="preserve">Escriba un estudio de caso de 4 a 6 páginas basado en el material de la sección en https://warrenpowell.org/bridging-vol1/chapter-2/#hotel-revenue-management. Cree un contexto basado en las métricas, decisiones e incertidumbres de la sección, pero sin llamar explícitamente la atención sobre ellas. Motive su problema de caso con datos.</w:t>
      </w:r>
    </w:p>
    <w:bookmarkEnd w:id="30"/>
    <w:bookmarkStart w:id="31" w:name="resumen"/>
    <w:p>
      <w:pPr>
        <w:pStyle w:val="Heading2"/>
      </w:pPr>
      <w:r>
        <w:t xml:space="preserve">Resumen</w:t>
      </w:r>
    </w:p>
    <w:p>
      <w:pPr>
        <w:pStyle w:val="FirstParagraph"/>
      </w:pPr>
      <w:r>
        <w:t xml:space="preserve">Reservas anticipadas en un horizonte de planificación de ocho semanas</w:t>
      </w:r>
    </w:p>
    <w:p>
      <w:pPr>
        <w:pStyle w:val="BodyText"/>
      </w:pPr>
      <w:r>
        <w:t xml:space="preserve">Precios dinámicos de habitaciones y restricciones de tarifas con descuento</w:t>
      </w:r>
    </w:p>
    <w:p>
      <w:pPr>
        <w:pStyle w:val="BodyText"/>
      </w:pPr>
      <w:r>
        <w:t xml:space="preserve">Clientes de negocios, placer, conferencias y grupos</w:t>
      </w:r>
    </w:p>
    <w:p>
      <w:pPr>
        <w:pStyle w:val="BodyText"/>
      </w:pPr>
      <w:r>
        <w:t xml:space="preserve">Reservas directas, agencias de viajes en línea, ventas corporativas, búsqueda pagada, redes sociales y marketing de lealtad</w:t>
      </w:r>
    </w:p>
    <w:p>
      <w:pPr>
        <w:pStyle w:val="BodyText"/>
      </w:pPr>
      <w:r>
        <w:t xml:space="preserve">Paquetes de servicio que involucran desayuno, estacionamiento, cancelación flexible y espacio para reuniones</w:t>
      </w:r>
    </w:p>
    <w:p>
      <w:pPr>
        <w:pStyle w:val="BodyText"/>
      </w:pPr>
      <w:r>
        <w:t xml:space="preserve">Cancelaciones de reservas, comportamiento de la competencia, asistencia incierta a eventos y demanda de última hora</w:t>
      </w:r>
    </w:p>
    <w:p>
      <w:pPr>
        <w:pStyle w:val="BodyText"/>
      </w:pPr>
      <w:r>
        <w:t xml:space="preserve">Cinco exhibiciones cuantitativas y diez preguntas de discusión</w:t>
      </w:r>
    </w:p>
    <w:p>
      <w:pPr>
        <w:pStyle w:val="BodyText"/>
      </w:pPr>
      <w:r>
        <w:t xml:space="preserve">Una decisión de gestión sin resolver, sin solución preferida</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2026-09-11T15:17:56Z</dcterms:created>
  <dcterms:modified xsi:type="dcterms:W3CDTF">2026-09-11T15:17:56Z</dcterms:modified>
</cp:coreProperties>
</file>

<file path=docProps/custom.xml><?xml version="1.0" encoding="utf-8"?>
<Properties xmlns="http://schemas.openxmlformats.org/officeDocument/2006/custom-properties" xmlns:vt="http://schemas.openxmlformats.org/officeDocument/2006/docPropsVTypes"/>
</file>