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Hearthline Home</w:t>
      </w:r>
    </w:p>
    <w:p>
      <w:pPr>
        <w:pStyle w:val="BodyText"/>
      </w:pPr>
      <w:r>
        <w:t xml:space="preserve">El Problema del Equilibrio de la Demanda</w:t>
      </w:r>
    </w:p>
    <w:p>
      <w:pPr>
        <w:pStyle w:val="BodyText"/>
      </w:pPr>
      <w:r>
        <w:t xml:space="preserve">Un caso de negocios sobre surtido, precios, promoción, marketing digital y respuesta del cliente</w:t>
      </w:r>
    </w:p>
    <w:tbl>
      <w:tblPr>
        <w:tblStyle w:val="Table"/>
        <w:tblW w:type="auto" w:w="0"/>
        <w:tblLook w:firstRow="0" w:lastRow="0" w:firstColumn="0" w:lastColumn="0" w:noHBand="0" w:noVBand="0" w:val="0000"/>
      </w:tblPr>
      <w:tblGrid>
        <w:gridCol w:w="7920"/>
      </w:tblGrid>
      <w:tr>
        <w:tc>
          <w:tcPr/>
          <w:p>
            <w:pPr>
              <w:pStyle w:val="Compact"/>
            </w:pPr>
            <w:r>
              <w:t xml:space="preserve">En septiembre de 2026, un minorista regional de muebles debe decidir con qué agresividad estimular la demanda antes de la temporada navideña—sin generar desabastecimientos en estilos populares ni rebajas profundas en productos que los clientes ya no desean.</w:t>
            </w:r>
          </w:p>
        </w:tc>
      </w:tr>
    </w:tbl>
    <w:p>
      <w:r>
        <w:pict>
          <v:rect style="width:0;height:1.5pt" o:hralign="center" o:hrstd="t" o:hr="t"/>
        </w:pict>
      </w:r>
    </w:p>
    <w:p>
      <w:pPr>
        <w:pStyle w:val="FirstParagraph"/>
      </w:pPr>
      <w:r>
        <w:t xml:space="preserve">Este caso es ficticio y está destinado a la discusión instructiva. Los nombres, eventos, fondos y cifras internas son inventados, aunque el entorno de la industria está motivado por datos públicos.</w:t>
      </w:r>
    </w:p>
    <w:bookmarkStart w:id="9" w:name="la-reunión-del-lunes"/>
    <w:p>
      <w:pPr>
        <w:pStyle w:val="Heading1"/>
      </w:pPr>
      <w:r>
        <w:t xml:space="preserve">La Reunión del Lunes</w:t>
      </w:r>
    </w:p>
    <w:p>
      <w:pPr>
        <w:pStyle w:val="FirstParagraph"/>
      </w:pPr>
      <w:r>
        <w:t xml:space="preserve">A las 8:10 de la mañana del lunes, Elena Marquez, directora comercial de Hearthline Home, observaba cómo el panel de ventas del fin de semana de la empresa se actualizaba por tercera vez. El tráfico del sitio web había aumentado un 24 por ciento tras una campaña pagada en redes sociales, pero las compras completadas solo habían aumentado un 5 por ciento. En las tiendas, el nuevo sofá seccional modular Solace se vendía más rápido de lo esperado en dos mercados metropolitanos y apenas se movía en el resto. Mientras tanto, la empresa mantenía casi cuatro meses de inventario en una colección de comedor tradicional que se había pronosticado como un éxito de temporada.</w:t>
      </w:r>
    </w:p>
    <w:p>
      <w:pPr>
        <w:pStyle w:val="BodyText"/>
      </w:pPr>
      <w:r>
        <w:t xml:space="preserve">Hearthline operaba 31 tiendas y un sitio de comercio electrónico en ocho estados del Medio Oeste y del Atlántico Medio. Vendía sofás, juegos de dormitorio, muebles de comedor, piezas para oficina en casa y accesorios. La mayoría de los productos tapizados se ensamblaban a nivel nacional a partir de estructuras y telas importadas; los muebles de gabinete (</w:t>
      </w:r>
      <w:r>
        <w:t xml:space="preserve">“case goods”</w:t>
      </w:r>
      <w:r>
        <w:t xml:space="preserve">) llegaban principalmente de Asia y Europa. El reabastecimiento estándar tomaba entre 10 y 18 semanas, y los pedidos especiales podían tardar más.</w:t>
      </w:r>
    </w:p>
    <w:p>
      <w:pPr>
        <w:pStyle w:val="BodyText"/>
      </w:pPr>
      <w:r>
        <w:t xml:space="preserve">El comité ejecutivo había aprobado un presupuesto de marketing y promoción de $6.8 millones para los últimos cuatro meses del año. El dinero podía destinarse a televisión, búsqueda pagada, redes sociales, correo directo, eventos locales, asociaciones con influenciadores, experimentos de rediseño del sitio web o reducciones de precio. Cada elección podía cambiar no solo las ventas, sino también la combinación de clientes y productos vendidos. Marquez tenía seis días para recomendar un plan.</w:t>
      </w:r>
    </w:p>
    <w:bookmarkEnd w:id="9"/>
    <w:bookmarkStart w:id="11" w:name="un-mercado-que-se-negaba-a-comportarse"/>
    <w:p>
      <w:pPr>
        <w:pStyle w:val="Heading1"/>
      </w:pPr>
      <w:r>
        <w:t xml:space="preserve">Un Mercado que se Negaba a Comportarse</w:t>
      </w:r>
    </w:p>
    <w:p>
      <w:pPr>
        <w:pStyle w:val="FirstParagraph"/>
      </w:pPr>
      <w:r>
        <w:t xml:space="preserve">La demanda de muebles siempre había sido difícil de pronosticar porque las compras eran grandes, poco frecuentes y a menudo vinculadas a eventos de vida. Las compras de vivienda y las mudanzas generaban necesidades de amueblamiento, pero los clientes también posponían las compras cuando las tasas de interés, la inflación o las perspectivas de empleo los volvían cautelosos. Las preferencias de estilo podían cambiar rápidamente después de que un producto apareciera en un video en línea o de que un competidor introdujera un diseño similar a un precio más bajo.</w:t>
      </w:r>
    </w:p>
    <w:p>
      <w:pPr>
        <w:pStyle w:val="BodyText"/>
      </w:pPr>
      <w:r>
        <w:t xml:space="preserve">El panorama nacional le daba poco consuelo a Hearthline. Los datos del Censo de EE. UU. indicaban que las ventas de tiendas de muebles y artículos para el hogar en diciembre de 2025 estuvieron un 5.5 por ciento por debajo de diciembre de 2024. Las ventas de viviendas nuevas unifamiliares totalizaron un estimado de 679,000 unidades en 2025, ligeramente por debajo de 2024. Al mismo tiempo, el comercio electrónico continuaba representando una participación sustancial y creciente de la actividad minorista, con ventas de comercio electrónico de EE. UU. en el primer trimestre de 2026 estimadas en $326.7 mil millones. Estas estadísticas sugerían un mercado grande, pero no predecible.</w:t>
      </w:r>
    </w:p>
    <w:bookmarkStart w:id="10" w:name="X3108a50d161ea700cb4aec626f17cd2fb789fa2"/>
    <w:p>
      <w:pPr>
        <w:pStyle w:val="Heading2"/>
      </w:pPr>
      <w:r>
        <w:t xml:space="preserve">Figura 1. Desempeño de Hearthline, enero–agosto de 2026</w:t>
      </w:r>
    </w:p>
    <w:tbl>
      <w:tblPr>
        <w:tblStyle w:val="Table"/>
        <w:tblW w:type="pct" w:w="4870"/>
        <w:tblLayout w:type="fixed"/>
        <w:tblLook w:firstRow="1" w:lastRow="0" w:firstColumn="0" w:lastColumn="0" w:noHBand="0" w:noVBand="0" w:val="0020"/>
      </w:tblPr>
      <w:tblGrid>
        <w:gridCol w:w="2674"/>
        <w:gridCol w:w="1851"/>
        <w:gridCol w:w="1851"/>
        <w:gridCol w:w="1337"/>
      </w:tblGrid>
      <w:tr>
        <w:trPr>
          <w:tblHeader w:val="on"/>
        </w:trPr>
        <w:tc>
          <w:tcPr/>
          <w:p>
            <w:pPr>
              <w:pStyle w:val="Compact"/>
              <w:jc w:val="left"/>
            </w:pPr>
            <w:r>
              <w:t xml:space="preserve">Medida</w:t>
            </w:r>
          </w:p>
        </w:tc>
        <w:tc>
          <w:tcPr/>
          <w:p>
            <w:pPr>
              <w:pStyle w:val="Compact"/>
              <w:jc w:val="center"/>
            </w:pPr>
            <w:r>
              <w:t xml:space="preserve">Comparable 2025</w:t>
            </w:r>
          </w:p>
        </w:tc>
        <w:tc>
          <w:tcPr/>
          <w:p>
            <w:pPr>
              <w:pStyle w:val="Compact"/>
              <w:jc w:val="center"/>
            </w:pPr>
            <w:r>
              <w:t xml:space="preserve">Real 2026</w:t>
            </w:r>
          </w:p>
        </w:tc>
        <w:tc>
          <w:tcPr/>
          <w:p>
            <w:pPr>
              <w:pStyle w:val="Compact"/>
              <w:jc w:val="center"/>
            </w:pPr>
            <w:r>
              <w:t xml:space="preserve">Cambio</w:t>
            </w:r>
          </w:p>
        </w:tc>
      </w:tr>
      <w:tr>
        <w:tc>
          <w:tcPr/>
          <w:p>
            <w:pPr>
              <w:pStyle w:val="Compact"/>
              <w:jc w:val="left"/>
            </w:pPr>
            <w:r>
              <w:t xml:space="preserve">Ventas netas</w:t>
            </w:r>
          </w:p>
        </w:tc>
        <w:tc>
          <w:tcPr/>
          <w:p>
            <w:pPr>
              <w:pStyle w:val="Compact"/>
              <w:jc w:val="center"/>
            </w:pPr>
            <w:r>
              <w:t xml:space="preserve">$286.4 millones</w:t>
            </w:r>
          </w:p>
        </w:tc>
        <w:tc>
          <w:tcPr/>
          <w:p>
            <w:pPr>
              <w:pStyle w:val="Compact"/>
              <w:jc w:val="center"/>
            </w:pPr>
            <w:r>
              <w:t xml:space="preserve">$279.1 millones</w:t>
            </w:r>
          </w:p>
        </w:tc>
        <w:tc>
          <w:tcPr/>
          <w:p>
            <w:pPr>
              <w:pStyle w:val="Compact"/>
              <w:jc w:val="center"/>
            </w:pPr>
            <w:r>
              <w:t xml:space="preserve">–2.5%</w:t>
            </w:r>
          </w:p>
        </w:tc>
      </w:tr>
      <w:tr>
        <w:tc>
          <w:tcPr/>
          <w:p>
            <w:pPr>
              <w:pStyle w:val="Compact"/>
              <w:jc w:val="left"/>
            </w:pPr>
            <w:r>
              <w:t xml:space="preserve">Margen bruto</w:t>
            </w:r>
          </w:p>
        </w:tc>
        <w:tc>
          <w:tcPr/>
          <w:p>
            <w:pPr>
              <w:pStyle w:val="Compact"/>
              <w:jc w:val="center"/>
            </w:pPr>
            <w:r>
              <w:t xml:space="preserve">46.1%</w:t>
            </w:r>
          </w:p>
        </w:tc>
        <w:tc>
          <w:tcPr/>
          <w:p>
            <w:pPr>
              <w:pStyle w:val="Compact"/>
              <w:jc w:val="center"/>
            </w:pPr>
            <w:r>
              <w:t xml:space="preserve">43.8%</w:t>
            </w:r>
          </w:p>
        </w:tc>
        <w:tc>
          <w:tcPr/>
          <w:p>
            <w:pPr>
              <w:pStyle w:val="Compact"/>
              <w:jc w:val="center"/>
            </w:pPr>
            <w:r>
              <w:t xml:space="preserve">–2.3 pts</w:t>
            </w:r>
          </w:p>
        </w:tc>
      </w:tr>
      <w:tr>
        <w:tc>
          <w:tcPr/>
          <w:p>
            <w:pPr>
              <w:pStyle w:val="Compact"/>
              <w:jc w:val="left"/>
            </w:pPr>
            <w:r>
              <w:t xml:space="preserve">Valor promedio del pedido</w:t>
            </w:r>
          </w:p>
        </w:tc>
        <w:tc>
          <w:tcPr/>
          <w:p>
            <w:pPr>
              <w:pStyle w:val="Compact"/>
              <w:jc w:val="center"/>
            </w:pPr>
            <w:r>
              <w:t xml:space="preserve">$1,486</w:t>
            </w:r>
          </w:p>
        </w:tc>
        <w:tc>
          <w:tcPr/>
          <w:p>
            <w:pPr>
              <w:pStyle w:val="Compact"/>
              <w:jc w:val="center"/>
            </w:pPr>
            <w:r>
              <w:t xml:space="preserve">$1,552</w:t>
            </w:r>
          </w:p>
        </w:tc>
        <w:tc>
          <w:tcPr/>
          <w:p>
            <w:pPr>
              <w:pStyle w:val="Compact"/>
              <w:jc w:val="center"/>
            </w:pPr>
            <w:r>
              <w:t xml:space="preserve">+4.4%</w:t>
            </w:r>
          </w:p>
        </w:tc>
      </w:tr>
      <w:tr>
        <w:tc>
          <w:tcPr/>
          <w:p>
            <w:pPr>
              <w:pStyle w:val="Compact"/>
              <w:jc w:val="left"/>
            </w:pPr>
            <w:r>
              <w:t xml:space="preserve">Tasa de conversión en tien</w:t>
            </w:r>
          </w:p>
        </w:tc>
        <w:tc>
          <w:tcPr/>
          <w:p>
            <w:pPr>
              <w:pStyle w:val="Compact"/>
              <w:jc w:val="center"/>
            </w:pPr>
            <w:r>
              <w:t xml:space="preserve">da 22.8%</w:t>
            </w:r>
          </w:p>
        </w:tc>
        <w:tc>
          <w:tcPr/>
          <w:p>
            <w:pPr>
              <w:pStyle w:val="Compact"/>
              <w:jc w:val="center"/>
            </w:pPr>
            <w:r>
              <w:t xml:space="preserve">20.6%</w:t>
            </w:r>
          </w:p>
        </w:tc>
        <w:tc>
          <w:tcPr/>
          <w:p>
            <w:pPr>
              <w:pStyle w:val="Compact"/>
              <w:jc w:val="center"/>
            </w:pPr>
            <w:r>
              <w:t xml:space="preserve">–2.2 pts</w:t>
            </w:r>
          </w:p>
        </w:tc>
      </w:tr>
      <w:tr>
        <w:tc>
          <w:tcPr/>
          <w:p>
            <w:pPr>
              <w:pStyle w:val="Compact"/>
              <w:jc w:val="left"/>
            </w:pPr>
            <w:r>
              <w:t xml:space="preserve">Tasa de conversión del sit</w:t>
            </w:r>
          </w:p>
        </w:tc>
        <w:tc>
          <w:tcPr/>
          <w:p>
            <w:pPr>
              <w:pStyle w:val="Compact"/>
              <w:jc w:val="center"/>
            </w:pPr>
            <w:r>
              <w:t xml:space="preserve">io web 1.82%</w:t>
            </w:r>
          </w:p>
        </w:tc>
        <w:tc>
          <w:tcPr/>
          <w:p>
            <w:pPr>
              <w:pStyle w:val="Compact"/>
              <w:jc w:val="center"/>
            </w:pPr>
            <w:r>
              <w:t xml:space="preserve">1.54%</w:t>
            </w:r>
          </w:p>
        </w:tc>
        <w:tc>
          <w:tcPr/>
          <w:p>
            <w:pPr>
              <w:pStyle w:val="Compact"/>
              <w:jc w:val="center"/>
            </w:pPr>
            <w:r>
              <w:t xml:space="preserve">–0.28 pts</w:t>
            </w:r>
          </w:p>
        </w:tc>
      </w:tr>
      <w:tr>
        <w:tc>
          <w:tcPr/>
          <w:p>
            <w:pPr>
              <w:pStyle w:val="Compact"/>
              <w:jc w:val="left"/>
            </w:pPr>
            <w:r>
              <w:t xml:space="preserve">Pedidos entregados con ret</w:t>
            </w:r>
          </w:p>
        </w:tc>
        <w:tc>
          <w:tcPr/>
          <w:p>
            <w:pPr>
              <w:pStyle w:val="Compact"/>
              <w:jc w:val="center"/>
            </w:pPr>
            <w:r>
              <w:t xml:space="preserve">raso 8.7%</w:t>
            </w:r>
          </w:p>
        </w:tc>
        <w:tc>
          <w:tcPr/>
          <w:p>
            <w:pPr>
              <w:pStyle w:val="Compact"/>
              <w:jc w:val="center"/>
            </w:pPr>
            <w:r>
              <w:t xml:space="preserve">13.9%</w:t>
            </w:r>
          </w:p>
        </w:tc>
        <w:tc>
          <w:tcPr/>
          <w:p>
            <w:pPr>
              <w:pStyle w:val="Compact"/>
              <w:jc w:val="center"/>
            </w:pPr>
            <w:r>
              <w:t xml:space="preserve">+5.2 pts</w:t>
            </w:r>
          </w:p>
        </w:tc>
      </w:tr>
      <w:tr>
        <w:tc>
          <w:tcPr/>
          <w:p>
            <w:pPr>
              <w:pStyle w:val="Compact"/>
              <w:jc w:val="left"/>
            </w:pPr>
            <w:r>
              <w:t xml:space="preserve">Inventario a costo</w:t>
            </w:r>
          </w:p>
        </w:tc>
        <w:tc>
          <w:tcPr/>
          <w:p>
            <w:pPr>
              <w:pStyle w:val="Compact"/>
              <w:jc w:val="center"/>
            </w:pPr>
            <w:r>
              <w:t xml:space="preserve">$82.6 millones</w:t>
            </w:r>
          </w:p>
        </w:tc>
        <w:tc>
          <w:tcPr/>
          <w:p>
            <w:pPr>
              <w:pStyle w:val="Compact"/>
              <w:jc w:val="center"/>
            </w:pPr>
            <w:r>
              <w:t xml:space="preserve">$103.4 millones</w:t>
            </w:r>
          </w:p>
        </w:tc>
        <w:tc>
          <w:tcPr/>
          <w:p>
            <w:pPr>
              <w:pStyle w:val="Compact"/>
              <w:jc w:val="center"/>
            </w:pPr>
            <w:r>
              <w:t xml:space="preserve">+25.2%</w:t>
            </w:r>
          </w:p>
        </w:tc>
      </w:tr>
      <w:tr>
        <w:tc>
          <w:tcPr/>
          <w:p>
            <w:pPr>
              <w:pStyle w:val="Compact"/>
              <w:jc w:val="left"/>
            </w:pPr>
            <w:r>
              <w:t xml:space="preserve">Gasto en publicidad</w:t>
            </w:r>
          </w:p>
        </w:tc>
        <w:tc>
          <w:tcPr/>
          <w:p>
            <w:pPr>
              <w:pStyle w:val="Compact"/>
              <w:jc w:val="center"/>
            </w:pPr>
            <w:r>
              <w:t xml:space="preserve">$12.1 millones</w:t>
            </w:r>
          </w:p>
        </w:tc>
        <w:tc>
          <w:tcPr/>
          <w:p>
            <w:pPr>
              <w:pStyle w:val="Compact"/>
              <w:jc w:val="center"/>
            </w:pPr>
            <w:r>
              <w:t xml:space="preserve">$14.8 millones</w:t>
            </w:r>
          </w:p>
        </w:tc>
        <w:tc>
          <w:tcPr/>
          <w:p>
            <w:pPr>
              <w:pStyle w:val="Compact"/>
              <w:jc w:val="center"/>
            </w:pPr>
            <w:r>
              <w:t xml:space="preserve">+22.3%</w:t>
            </w:r>
          </w:p>
        </w:tc>
      </w:tr>
    </w:tbl>
    <w:p>
      <w:pPr>
        <w:pStyle w:val="BodyText"/>
      </w:pPr>
      <w:r>
        <w:t xml:space="preserve">El equipo de finanzas argumentó que Hearthline estaba comprando tráfico en lugar de demanda rentable. El gasto en publicidad digital había aumentado, pero la conversión había disminuido. El equipo de merchandising contraargumentó que el problema no era el tráfico, sino la disponibilidad: los clientes que hacían clic en configuraciones populares a menudo encontraban estimaciones de entrega de 10 a 14 semanas. Los gerentes de tienda ofrecieron otra explicación—los clientes querían ver y tocar las compras importantes, pero las reducciones de personal habían dejado muy pocos asociados de ventas experimentados los fines de semana.</w:t>
      </w:r>
    </w:p>
    <w:bookmarkEnd w:id="10"/>
    <w:bookmarkEnd w:id="11"/>
    <w:bookmarkStart w:id="13" w:name="el-problema-del-surtido"/>
    <w:p>
      <w:pPr>
        <w:pStyle w:val="Heading1"/>
      </w:pPr>
      <w:r>
        <w:t xml:space="preserve">El Problema del Surtido</w:t>
      </w:r>
    </w:p>
    <w:p>
      <w:pPr>
        <w:pStyle w:val="FirstParagraph"/>
      </w:pPr>
      <w:r>
        <w:t xml:space="preserve">Hearthline manejaba aproximadamente 4,800 unidades de mantenimiento de existencias (SKU) activas, aunque 420 productos generaban el 61 por ciento de las ventas. La dirección había ampliado el surtido para mejorar la visibilidad en los motores de búsqueda y ofrecer a los clientes más opciones. El resultado fue una larga cola de artículos de movimiento lento, exhibiciones complicadas e inventario fragmentado. Un sofá podía ofrecerse en seis telas y tres configuraciones, pero las combinaciones que los clientes preferían diferían marcadamente según la región.</w:t>
      </w:r>
    </w:p>
    <w:bookmarkStart w:id="12" w:name="X360726f2c008c99ff5a7c1dfea498fbcb4f3640"/>
    <w:p>
      <w:pPr>
        <w:pStyle w:val="Heading2"/>
      </w:pPr>
      <w:r>
        <w:t xml:space="preserve">Figura 2. Familias de Productos Seleccionadas</w:t>
      </w:r>
    </w:p>
    <w:tbl>
      <w:tblPr>
        <w:tblStyle w:val="Table"/>
        <w:tblW w:type="pct" w:w="4924"/>
        <w:tblLayout w:type="fixed"/>
        <w:tblLook w:firstRow="1" w:lastRow="0" w:firstColumn="0" w:lastColumn="0" w:noHBand="0" w:noVBand="0" w:val="0020"/>
      </w:tblPr>
      <w:tblGrid>
        <w:gridCol w:w="1632"/>
        <w:gridCol w:w="906"/>
        <w:gridCol w:w="1088"/>
        <w:gridCol w:w="846"/>
        <w:gridCol w:w="3325"/>
      </w:tblGrid>
      <w:tr>
        <w:trPr>
          <w:tblHeader w:val="on"/>
        </w:trPr>
        <w:tc>
          <w:tcPr/>
          <w:p>
            <w:pPr>
              <w:pStyle w:val="Compact"/>
              <w:jc w:val="left"/>
            </w:pPr>
            <w:r>
              <w:t xml:space="preserve">Familia de producto</w:t>
            </w:r>
          </w:p>
        </w:tc>
        <w:tc>
          <w:tcPr/>
          <w:p>
            <w:pPr>
              <w:pStyle w:val="Compact"/>
              <w:jc w:val="right"/>
            </w:pPr>
            <w:r>
              <w:t xml:space="preserve">Margen bruto</w:t>
            </w:r>
          </w:p>
        </w:tc>
        <w:tc>
          <w:tcPr/>
          <w:p>
            <w:pPr>
              <w:pStyle w:val="Compact"/>
              <w:jc w:val="right"/>
            </w:pPr>
            <w:r>
              <w:t xml:space="preserve">Semanas de sumin</w:t>
            </w:r>
          </w:p>
        </w:tc>
        <w:tc>
          <w:tcPr/>
          <w:p>
            <w:pPr>
              <w:pStyle w:val="Compact"/>
            </w:pPr>
            <w:r>
              <w:t xml:space="preserve">istro Pedido</w:t>
            </w:r>
          </w:p>
        </w:tc>
        <w:tc>
          <w:tcPr/>
          <w:p>
            <w:pPr>
              <w:pStyle w:val="Compact"/>
              <w:jc w:val="left"/>
            </w:pPr>
            <w:r>
              <w:t xml:space="preserve">s con retraso Señal reciente de demanda</w:t>
            </w:r>
          </w:p>
        </w:tc>
      </w:tr>
      <w:tr>
        <w:tc>
          <w:tcPr/>
          <w:p>
            <w:pPr>
              <w:pStyle w:val="Compact"/>
              <w:jc w:val="left"/>
            </w:pPr>
            <w:r>
              <w:t xml:space="preserve">Asientos modulares Solace</w:t>
            </w:r>
          </w:p>
        </w:tc>
        <w:tc>
          <w:tcPr/>
          <w:p>
            <w:pPr>
              <w:pStyle w:val="Compact"/>
              <w:jc w:val="right"/>
            </w:pPr>
            <w:r>
              <w:t xml:space="preserve">49%</w:t>
            </w:r>
          </w:p>
        </w:tc>
        <w:tc>
          <w:tcPr/>
          <w:p>
            <w:pPr>
              <w:pStyle w:val="Compact"/>
              <w:jc w:val="right"/>
            </w:pPr>
            <w:r>
              <w:t xml:space="preserve">5.2</w:t>
            </w:r>
          </w:p>
        </w:tc>
        <w:tc>
          <w:tcPr/>
          <w:p>
            <w:pPr>
              <w:pStyle w:val="Compact"/>
            </w:pPr>
            <w:r>
              <w:t xml:space="preserve">28%</w:t>
            </w:r>
          </w:p>
        </w:tc>
        <w:tc>
          <w:tcPr/>
          <w:p>
            <w:pPr>
              <w:pStyle w:val="Compact"/>
              <w:jc w:val="left"/>
            </w:pPr>
            <w:r>
              <w:t xml:space="preserve">Fuerte interés en redes sociales; concentración regional</w:t>
            </w:r>
          </w:p>
        </w:tc>
      </w:tr>
      <w:tr>
        <w:tc>
          <w:tcPr/>
          <w:p>
            <w:pPr>
              <w:pStyle w:val="Compact"/>
              <w:jc w:val="left"/>
            </w:pPr>
            <w:r>
              <w:t xml:space="preserve">Sofás de rendimiento Harbor</w:t>
            </w:r>
          </w:p>
        </w:tc>
        <w:tc>
          <w:tcPr/>
          <w:p>
            <w:pPr>
              <w:pStyle w:val="Compact"/>
              <w:jc w:val="right"/>
            </w:pPr>
            <w:r>
              <w:t xml:space="preserve">44%</w:t>
            </w:r>
          </w:p>
        </w:tc>
        <w:tc>
          <w:tcPr/>
          <w:p>
            <w:pPr>
              <w:pStyle w:val="Compact"/>
              <w:jc w:val="right"/>
            </w:pPr>
            <w:r>
              <w:t xml:space="preserve">9.1</w:t>
            </w:r>
          </w:p>
        </w:tc>
        <w:tc>
          <w:tcPr/>
          <w:p>
            <w:pPr>
              <w:pStyle w:val="Compact"/>
            </w:pPr>
            <w:r>
              <w:t xml:space="preserve">14%</w:t>
            </w:r>
          </w:p>
        </w:tc>
        <w:tc>
          <w:tcPr/>
          <w:p>
            <w:pPr>
              <w:pStyle w:val="Compact"/>
              <w:jc w:val="left"/>
            </w:pPr>
            <w:r>
              <w:t xml:space="preserve">Demanda recurrente estable; aumentan las comparaciones de precios</w:t>
            </w:r>
          </w:p>
        </w:tc>
      </w:tr>
      <w:tr>
        <w:tc>
          <w:tcPr/>
          <w:p>
            <w:pPr>
              <w:pStyle w:val="Compact"/>
              <w:jc w:val="left"/>
            </w:pPr>
            <w:r>
              <w:t xml:space="preserve">Colección de comedor Alden</w:t>
            </w:r>
          </w:p>
        </w:tc>
        <w:tc>
          <w:tcPr/>
          <w:p>
            <w:pPr>
              <w:pStyle w:val="Compact"/>
              <w:jc w:val="right"/>
            </w:pPr>
            <w:r>
              <w:t xml:space="preserve">51%</w:t>
            </w:r>
          </w:p>
        </w:tc>
        <w:tc>
          <w:tcPr/>
          <w:p>
            <w:pPr>
              <w:pStyle w:val="Compact"/>
              <w:jc w:val="right"/>
            </w:pPr>
            <w:r>
              <w:t xml:space="preserve">17.8</w:t>
            </w:r>
          </w:p>
        </w:tc>
        <w:tc>
          <w:tcPr/>
          <w:p>
            <w:pPr>
              <w:pStyle w:val="Compact"/>
            </w:pPr>
            <w:r>
              <w:t xml:space="preserve">3%</w:t>
            </w:r>
          </w:p>
        </w:tc>
        <w:tc>
          <w:tcPr/>
          <w:p>
            <w:pPr>
              <w:pStyle w:val="Compact"/>
              <w:jc w:val="left"/>
            </w:pPr>
            <w:r>
              <w:t xml:space="preserve">Conversión débil a pesar del fuerte tráfico en el sitio web</w:t>
            </w:r>
          </w:p>
        </w:tc>
      </w:tr>
      <w:tr>
        <w:tc>
          <w:tcPr/>
          <w:p>
            <w:pPr>
              <w:pStyle w:val="Compact"/>
              <w:jc w:val="left"/>
            </w:pPr>
            <w:r>
              <w:t xml:space="preserve">Colección de dormitorio Lum</w:t>
            </w:r>
          </w:p>
        </w:tc>
        <w:tc>
          <w:tcPr/>
          <w:p>
            <w:pPr>
              <w:pStyle w:val="Compact"/>
              <w:jc w:val="right"/>
            </w:pPr>
            <w:r>
              <w:t xml:space="preserve">a 47%</w:t>
            </w:r>
          </w:p>
        </w:tc>
        <w:tc>
          <w:tcPr/>
          <w:p>
            <w:pPr>
              <w:pStyle w:val="Compact"/>
              <w:jc w:val="right"/>
            </w:pPr>
            <w:r>
              <w:t xml:space="preserve">11.6</w:t>
            </w:r>
          </w:p>
        </w:tc>
        <w:tc>
          <w:tcPr/>
          <w:p>
            <w:pPr>
              <w:pStyle w:val="Compact"/>
            </w:pPr>
            <w:r>
              <w:t xml:space="preserve">9%</w:t>
            </w:r>
          </w:p>
        </w:tc>
        <w:tc>
          <w:tcPr/>
          <w:p>
            <w:pPr>
              <w:pStyle w:val="Compact"/>
              <w:jc w:val="left"/>
            </w:pPr>
            <w:r>
              <w:t xml:space="preserve">Demanda en aumento entre compradores primerizos de vivienda</w:t>
            </w:r>
          </w:p>
        </w:tc>
      </w:tr>
      <w:tr>
        <w:tc>
          <w:tcPr/>
          <w:p>
            <w:pPr>
              <w:pStyle w:val="Compact"/>
              <w:jc w:val="left"/>
            </w:pPr>
            <w:r>
              <w:t xml:space="preserve">Oficina en casa Studio</w:t>
            </w:r>
          </w:p>
        </w:tc>
        <w:tc>
          <w:tcPr/>
          <w:p>
            <w:pPr>
              <w:pStyle w:val="Compact"/>
              <w:jc w:val="right"/>
            </w:pPr>
            <w:r>
              <w:t xml:space="preserve">42%</w:t>
            </w:r>
          </w:p>
        </w:tc>
        <w:tc>
          <w:tcPr/>
          <w:p>
            <w:pPr>
              <w:pStyle w:val="Compact"/>
              <w:jc w:val="right"/>
            </w:pPr>
            <w:r>
              <w:t xml:space="preserve">15.4</w:t>
            </w:r>
          </w:p>
        </w:tc>
        <w:tc>
          <w:tcPr/>
          <w:p>
            <w:pPr>
              <w:pStyle w:val="Compact"/>
            </w:pPr>
            <w:r>
              <w:t xml:space="preserve">5%</w:t>
            </w:r>
          </w:p>
        </w:tc>
        <w:tc>
          <w:tcPr/>
          <w:p>
            <w:pPr>
              <w:pStyle w:val="Compact"/>
              <w:jc w:val="left"/>
            </w:pPr>
            <w:r>
              <w:t xml:space="preserve">Ventas en descenso tras dos años sólidos</w:t>
            </w:r>
          </w:p>
        </w:tc>
      </w:tr>
      <w:tr>
        <w:tc>
          <w:tcPr/>
          <w:p>
            <w:pPr>
              <w:pStyle w:val="Compact"/>
              <w:jc w:val="left"/>
            </w:pPr>
            <w:r>
              <w:t xml:space="preserve">Accesorios y decoración</w:t>
            </w:r>
          </w:p>
        </w:tc>
        <w:tc>
          <w:tcPr/>
          <w:p>
            <w:pPr>
              <w:pStyle w:val="Compact"/>
              <w:jc w:val="right"/>
            </w:pPr>
            <w:r>
              <w:t xml:space="preserve">58%</w:t>
            </w:r>
          </w:p>
        </w:tc>
        <w:tc>
          <w:tcPr/>
          <w:p>
            <w:pPr>
              <w:pStyle w:val="Compact"/>
              <w:jc w:val="right"/>
            </w:pPr>
            <w:r>
              <w:t xml:space="preserve">7.0</w:t>
            </w:r>
          </w:p>
        </w:tc>
        <w:tc>
          <w:tcPr/>
          <w:p>
            <w:pPr>
              <w:pStyle w:val="Compact"/>
            </w:pPr>
            <w:r>
              <w:t xml:space="preserve">2%</w:t>
            </w:r>
          </w:p>
        </w:tc>
        <w:tc>
          <w:tcPr/>
          <w:p>
            <w:pPr>
              <w:pStyle w:val="Compact"/>
              <w:jc w:val="left"/>
            </w:pPr>
            <w:r>
              <w:t xml:space="preserve">Alto margen de adjunción; exhibiciones inconsistentes</w:t>
            </w:r>
          </w:p>
        </w:tc>
      </w:tr>
    </w:tbl>
    <w:p>
      <w:pPr>
        <w:pStyle w:val="BodyText"/>
      </w:pPr>
      <w:r>
        <w:t xml:space="preserve">El grupo de merchandising propuso eliminar 900 productos de bajo volumen del sitio web y las tiendas, y luego concentrar el marketing en 12 colecciones</w:t>
      </w:r>
      <w:r>
        <w:t xml:space="preserve"> </w:t>
      </w:r>
      <w:r>
        <w:t xml:space="preserve">“estrella”</w:t>
      </w:r>
      <w:r>
        <w:t xml:space="preserve">. El grupo de comercio electrónico se opuso a la idea. Un surtido amplio atraía tráfico de búsqueda y permitía a Hearthline conocer los gustos emergentes, incluso cuando un visitante no compraba de inmediato. La organización de tiendas temía que estandarizar los surtidos ignorara los estilos, la demografía y los niveles de ingresos de la vivienda local.</w:t>
      </w:r>
    </w:p>
    <w:bookmarkEnd w:id="12"/>
    <w:bookmarkEnd w:id="13"/>
    <w:bookmarkStart w:id="15" w:name="Xdc6a53bfe80b0b57ba76748903542f51cd3bd6a"/>
    <w:p>
      <w:pPr>
        <w:pStyle w:val="Heading1"/>
      </w:pPr>
      <w:r>
        <w:t xml:space="preserve">Precio, Promoción y el Riesgo de Entrenar a los Clientes</w:t>
      </w:r>
    </w:p>
    <w:p>
      <w:pPr>
        <w:pStyle w:val="FirstParagraph"/>
      </w:pPr>
      <w:r>
        <w:t xml:space="preserve">El calendario histórico de promociones de Hearthline incluía descuentos navideños, ofertas de financiamiento, paquetes de habitaciones y eventos ocasionales de liquidación. Los competidores se habían vuelto más agresivos, anunciando ventas de</w:t>
      </w:r>
      <w:r>
        <w:t xml:space="preserve"> </w:t>
      </w:r>
      <w:r>
        <w:t xml:space="preserve">“40 por ciento de descuento”</w:t>
      </w:r>
      <w:r>
        <w:t xml:space="preserve"> </w:t>
      </w:r>
      <w:r>
        <w:t xml:space="preserve">que eran difíciles de comparar porque los precios de lista y las especificaciones de los productos variaban. La investigación de clientes de Hearthline sugería que muchos compradores retrasaban las compras hasta que apareciera una promoción.</w:t>
      </w:r>
    </w:p>
    <w:p>
      <w:pPr>
        <w:pStyle w:val="BodyText"/>
      </w:pPr>
      <w:r>
        <w:t xml:space="preserve">Marquez estaba considerando un evento a nivel de toda la empresa</w:t>
      </w:r>
      <w:r>
        <w:t xml:space="preserve"> </w:t>
      </w:r>
      <w:r>
        <w:t xml:space="preserve">“Amuebla la Habitación”</w:t>
      </w:r>
      <w:r>
        <w:t xml:space="preserve">: los clientes que compraran un sofá y dos piezas complementarias recibirían un descuento de paquete del 15 por ciento y entrega gratuita. La oferta podría aumentar el valor promedio del pedido y ayudar a vender accesorios. También podría reducir el margen en productos que podrían haberse vendido sin descuento y crear congestión en las entregas justo antes de las fiestas.</w:t>
      </w:r>
    </w:p>
    <w:bookmarkStart w:id="14" w:name="X50605755bb782c449ecf6d25b5fc590a43c0449"/>
    <w:p>
      <w:pPr>
        <w:pStyle w:val="Heading2"/>
      </w:pPr>
      <w:r>
        <w:t xml:space="preserve">Figura 3. Iniciativas de Demanda Propuestas</w:t>
      </w:r>
    </w:p>
    <w:tbl>
      <w:tblPr>
        <w:tblStyle w:val="Table"/>
        <w:tblW w:type="pct" w:w="4918"/>
        <w:tblLayout w:type="fixed"/>
        <w:tblLook w:firstRow="1" w:lastRow="0" w:firstColumn="0" w:lastColumn="0" w:noHBand="0" w:noVBand="0" w:val="0020"/>
      </w:tblPr>
      <w:tblGrid>
        <w:gridCol w:w="1882"/>
        <w:gridCol w:w="1233"/>
        <w:gridCol w:w="2012"/>
        <w:gridCol w:w="2661"/>
      </w:tblGrid>
      <w:tr>
        <w:trPr>
          <w:tblHeader w:val="on"/>
        </w:trPr>
        <w:tc>
          <w:tcPr/>
          <w:p>
            <w:pPr>
              <w:pStyle w:val="Compact"/>
              <w:jc w:val="left"/>
            </w:pPr>
            <w:r>
              <w:t xml:space="preserve">Iniciativa</w:t>
            </w:r>
          </w:p>
        </w:tc>
        <w:tc>
          <w:tcPr/>
          <w:p>
            <w:pPr>
              <w:pStyle w:val="Compact"/>
            </w:pPr>
            <w:r>
              <w:t xml:space="preserve">Costo a cuatro mese</w:t>
            </w:r>
          </w:p>
        </w:tc>
        <w:tc>
          <w:tcPr/>
          <w:p>
            <w:pPr>
              <w:pStyle w:val="Compact"/>
              <w:jc w:val="left"/>
            </w:pPr>
            <w:r>
              <w:t xml:space="preserve">s Alcance esperado</w:t>
            </w:r>
          </w:p>
        </w:tc>
        <w:tc>
          <w:tcPr/>
          <w:p>
            <w:pPr>
              <w:pStyle w:val="Compact"/>
              <w:jc w:val="center"/>
            </w:pPr>
            <w:r>
              <w:t xml:space="preserve">Preocupación clave</w:t>
            </w:r>
          </w:p>
        </w:tc>
      </w:tr>
      <w:tr>
        <w:tc>
          <w:tcPr/>
          <w:p>
            <w:pPr>
              <w:pStyle w:val="Compact"/>
              <w:jc w:val="left"/>
            </w:pPr>
            <w:r>
              <w:t xml:space="preserve">Expansión de búsqueda pagada</w:t>
            </w:r>
          </w:p>
        </w:tc>
        <w:tc>
          <w:tcPr/>
          <w:p>
            <w:pPr>
              <w:pStyle w:val="Compact"/>
            </w:pPr>
            <w:r>
              <w:t xml:space="preserve">$1.6M</w:t>
            </w:r>
          </w:p>
        </w:tc>
        <w:tc>
          <w:tcPr/>
          <w:p>
            <w:pPr>
              <w:pStyle w:val="Compact"/>
              <w:jc w:val="left"/>
            </w:pPr>
            <w:r>
              <w:t xml:space="preserve">Compradores de alta inte</w:t>
            </w:r>
          </w:p>
        </w:tc>
        <w:tc>
          <w:tcPr/>
          <w:p>
            <w:pPr>
              <w:pStyle w:val="Compact"/>
              <w:jc w:val="center"/>
            </w:pPr>
            <w:r>
              <w:t xml:space="preserve">nción Costos de subasta y respuesta de la competencia</w:t>
            </w:r>
          </w:p>
        </w:tc>
      </w:tr>
      <w:tr>
        <w:tc>
          <w:tcPr/>
          <w:p>
            <w:pPr>
              <w:pStyle w:val="Compact"/>
              <w:jc w:val="left"/>
            </w:pPr>
            <w:r>
              <w:t xml:space="preserve">Video en redes sociales + inf</w:t>
            </w:r>
          </w:p>
        </w:tc>
        <w:tc>
          <w:tcPr/>
          <w:p>
            <w:pPr>
              <w:pStyle w:val="Compact"/>
            </w:pPr>
            <w:r>
              <w:t xml:space="preserve">luenciadores $1.</w:t>
            </w:r>
          </w:p>
        </w:tc>
        <w:tc>
          <w:tcPr/>
          <w:p>
            <w:pPr>
              <w:pStyle w:val="Compact"/>
              <w:jc w:val="left"/>
            </w:pPr>
            <w:r>
              <w:t xml:space="preserve">2M Hogares con conc</w:t>
            </w:r>
          </w:p>
        </w:tc>
        <w:tc>
          <w:tcPr/>
          <w:p>
            <w:pPr>
              <w:pStyle w:val="Compact"/>
              <w:jc w:val="center"/>
            </w:pPr>
            <w:r>
              <w:t xml:space="preserve">iencia de estilo Las vistas pueden no traducirse en compras</w:t>
            </w:r>
          </w:p>
        </w:tc>
      </w:tr>
      <w:tr>
        <w:tc>
          <w:tcPr/>
          <w:p>
            <w:pPr>
              <w:pStyle w:val="Compact"/>
              <w:jc w:val="left"/>
            </w:pPr>
            <w:r>
              <w:t xml:space="preserve">Televisión regional $</w:t>
            </w:r>
          </w:p>
        </w:tc>
        <w:tc>
          <w:tcPr/>
          <w:p>
            <w:pPr>
              <w:pStyle w:val="Compact"/>
            </w:pPr>
            <w:r>
              <w:t xml:space="preserve">1.5M Co</w:t>
            </w:r>
          </w:p>
        </w:tc>
        <w:tc>
          <w:tcPr/>
          <w:p>
            <w:pPr>
              <w:pStyle w:val="Compact"/>
              <w:jc w:val="left"/>
            </w:pPr>
            <w:r>
              <w:t xml:space="preserve">nciencia local amplia</w:t>
            </w:r>
          </w:p>
        </w:tc>
        <w:tc>
          <w:tcPr/>
          <w:p>
            <w:pPr>
              <w:pStyle w:val="Compact"/>
              <w:jc w:val="center"/>
            </w:pPr>
            <w:r>
              <w:t xml:space="preserve">Atribución débil y efecto de contagio</w:t>
            </w:r>
          </w:p>
        </w:tc>
      </w:tr>
      <w:tr>
        <w:tc>
          <w:tcPr/>
          <w:p>
            <w:pPr>
              <w:pStyle w:val="Compact"/>
              <w:jc w:val="left"/>
            </w:pPr>
            <w:r>
              <w:t xml:space="preserve">Paquetes de habitación por co</w:t>
            </w:r>
          </w:p>
        </w:tc>
        <w:tc>
          <w:tcPr/>
          <w:p>
            <w:pPr>
              <w:pStyle w:val="Compact"/>
            </w:pPr>
            <w:r>
              <w:t xml:space="preserve">rreo directo $0</w:t>
            </w:r>
          </w:p>
        </w:tc>
        <w:tc>
          <w:tcPr/>
          <w:p>
            <w:pPr>
              <w:pStyle w:val="Compact"/>
              <w:jc w:val="left"/>
            </w:pPr>
            <w:r>
              <w:t xml:space="preserve">.7M Hogares conocid</w:t>
            </w:r>
          </w:p>
        </w:tc>
        <w:tc>
          <w:tcPr/>
          <w:p>
            <w:pPr>
              <w:pStyle w:val="Compact"/>
              <w:jc w:val="center"/>
            </w:pPr>
            <w:r>
              <w:t xml:space="preserve">os cerca de tiendas Puede sesgarse hacia clientes existentes</w:t>
            </w:r>
          </w:p>
        </w:tc>
      </w:tr>
      <w:tr>
        <w:tc>
          <w:tcPr/>
          <w:p>
            <w:pPr>
              <w:pStyle w:val="Compact"/>
              <w:jc w:val="left"/>
            </w:pPr>
            <w:r>
              <w:t xml:space="preserve">Descuento de paquete de habit</w:t>
            </w:r>
          </w:p>
        </w:tc>
        <w:tc>
          <w:tcPr/>
          <w:p>
            <w:pPr>
              <w:pStyle w:val="Compact"/>
            </w:pPr>
            <w:r>
              <w:t xml:space="preserve">ación del 15% $</w:t>
            </w:r>
          </w:p>
        </w:tc>
        <w:tc>
          <w:tcPr/>
          <w:p>
            <w:pPr>
              <w:pStyle w:val="Compact"/>
              <w:jc w:val="left"/>
            </w:pPr>
            <w:r>
              <w:t xml:space="preserve">2.0M–$4.5M* Clientes cerca</w:t>
            </w:r>
          </w:p>
        </w:tc>
        <w:tc>
          <w:tcPr/>
          <w:p>
            <w:pPr>
              <w:pStyle w:val="Compact"/>
              <w:jc w:val="center"/>
            </w:pPr>
            <w:r>
              <w:t xml:space="preserve">de la compra Pérdida de margen y aumento repentino de demanda</w:t>
            </w:r>
          </w:p>
        </w:tc>
      </w:tr>
      <w:tr>
        <w:tc>
          <w:tcPr/>
          <w:p>
            <w:pPr>
              <w:pStyle w:val="Compact"/>
              <w:jc w:val="left"/>
            </w:pPr>
            <w:r>
              <w:t xml:space="preserve">Pruebas A/B del sitio web</w:t>
            </w:r>
          </w:p>
        </w:tc>
        <w:tc>
          <w:tcPr/>
          <w:p>
            <w:pPr>
              <w:pStyle w:val="Compact"/>
            </w:pPr>
            <w:r>
              <w:t xml:space="preserve">$0.45M</w:t>
            </w:r>
          </w:p>
        </w:tc>
        <w:tc>
          <w:tcPr/>
          <w:p>
            <w:pPr>
              <w:pStyle w:val="Compact"/>
              <w:jc w:val="left"/>
            </w:pPr>
            <w:r>
              <w:t xml:space="preserve">Todos los visitantes digi</w:t>
            </w:r>
          </w:p>
        </w:tc>
        <w:tc>
          <w:tcPr/>
          <w:p>
            <w:pPr>
              <w:pStyle w:val="Compact"/>
              <w:jc w:val="center"/>
            </w:pPr>
            <w:r>
              <w:t xml:space="preserve">tales El aprendizaje puede llegar después del pico de temporada</w:t>
            </w:r>
          </w:p>
        </w:tc>
      </w:tr>
      <w:tr>
        <w:tc>
          <w:tcPr/>
          <w:p>
            <w:pPr>
              <w:pStyle w:val="Compact"/>
              <w:jc w:val="left"/>
            </w:pPr>
            <w:r>
              <w:t xml:space="preserve">Personal de tienda para fines</w:t>
            </w:r>
          </w:p>
        </w:tc>
        <w:tc>
          <w:tcPr/>
          <w:p>
            <w:pPr>
              <w:pStyle w:val="Compact"/>
            </w:pPr>
            <w:r>
              <w:t xml:space="preserve">de semana $0</w:t>
            </w:r>
          </w:p>
        </w:tc>
        <w:tc>
          <w:tcPr/>
          <w:p>
            <w:pPr>
              <w:pStyle w:val="Compact"/>
              <w:jc w:val="left"/>
            </w:pPr>
            <w:r>
              <w:t xml:space="preserve">.85M Compradores en</w:t>
            </w:r>
          </w:p>
        </w:tc>
        <w:tc>
          <w:tcPr/>
          <w:p>
            <w:pPr>
              <w:pStyle w:val="Compact"/>
              <w:jc w:val="center"/>
            </w:pPr>
            <w:r>
              <w:t xml:space="preserve">tienda Retrasos en contratación y capacitación</w:t>
            </w:r>
          </w:p>
        </w:tc>
      </w:tr>
    </w:tbl>
    <w:p>
      <w:pPr>
        <w:pStyle w:val="BodyText"/>
      </w:pPr>
      <w:r>
        <w:t xml:space="preserve">*La reducción estimada de ingresos depende de la participación y la sustitución.</w:t>
      </w:r>
    </w:p>
    <w:bookmarkEnd w:id="14"/>
    <w:bookmarkEnd w:id="15"/>
    <w:bookmarkStart w:id="17" w:name="X5cbce157ef27761b797132e1166ee83140d2576"/>
    <w:p>
      <w:pPr>
        <w:pStyle w:val="Heading1"/>
      </w:pPr>
      <w:r>
        <w:t xml:space="preserve">Señales Digitales y Aprendizaje Imperfecto</w:t>
      </w:r>
    </w:p>
    <w:p>
      <w:pPr>
        <w:pStyle w:val="FirstParagraph"/>
      </w:pPr>
      <w:r>
        <w:t xml:space="preserve">Hearthline recopilaba millones de observaciones digitales: búsquedas, clics, vistas de páginas de productos, habitaciones guardadas, adiciones al carrito, solicitudes de financiamiento, sesiones de chat y carritos abandonados. Sin embargo, los gerentes no estaban de acuerdo sobre lo que significaban los datos. Una colección con muchas vistas de página podría indicar un fuerte interés—o confusión sobre dimensiones, colores o entrega. Una alta tasa de rebote podría reflejar una página poco atractiva, un precio inadecuado o un cliente que encontró la información necesaria de inmediato.</w:t>
      </w:r>
    </w:p>
    <w:p>
      <w:pPr>
        <w:pStyle w:val="BodyText"/>
      </w:pPr>
      <w:r>
        <w:t xml:space="preserve">El equipo de analítica propuso una secuencia de experimentos controlados. Diferentes visitantes podrían ver diseños de página alternativos, mensajes de entrega, ofertas de financiamiento o recomendaciones de productos. Las tiendas seleccionadas podrían probar diferentes paquetes de habitación y puntos de precio. Sin embargo, las pruebas consumirían tráfico, arriesgarían experiencias de cliente inconsistentes y producirían resultados que podrían no transferirse entre regiones o temporadas.</w:t>
      </w:r>
    </w:p>
    <w:bookmarkStart w:id="16" w:name="figura-4.-embudo-digital-de-agosto"/>
    <w:p>
      <w:pPr>
        <w:pStyle w:val="Heading2"/>
      </w:pPr>
      <w:r>
        <w:t xml:space="preserve">Figura 4. Embudo Digital de Agosto</w:t>
      </w:r>
    </w:p>
    <w:tbl>
      <w:tblPr>
        <w:tblStyle w:val="Table"/>
        <w:tblW w:type="pct" w:w="4917"/>
        <w:tblLayout w:type="fixed"/>
        <w:tblLook w:firstRow="1" w:lastRow="0" w:firstColumn="0" w:lastColumn="0" w:noHBand="0" w:noVBand="0" w:val="0020"/>
      </w:tblPr>
      <w:tblGrid>
        <w:gridCol w:w="2029"/>
        <w:gridCol w:w="1112"/>
        <w:gridCol w:w="1570"/>
        <w:gridCol w:w="3076"/>
      </w:tblGrid>
      <w:tr>
        <w:trPr>
          <w:tblHeader w:val="on"/>
        </w:trPr>
        <w:tc>
          <w:tcPr/>
          <w:p>
            <w:pPr>
              <w:pStyle w:val="Compact"/>
              <w:jc w:val="left"/>
            </w:pPr>
            <w:r>
              <w:t xml:space="preserve">Etapa</w:t>
            </w:r>
          </w:p>
        </w:tc>
        <w:tc>
          <w:tcPr/>
          <w:p>
            <w:pPr>
              <w:pStyle w:val="Compact"/>
              <w:jc w:val="left"/>
            </w:pPr>
            <w:r>
              <w:t xml:space="preserve">Volumen mensual</w:t>
            </w:r>
          </w:p>
        </w:tc>
        <w:tc>
          <w:tcPr/>
          <w:p>
            <w:pPr>
              <w:pStyle w:val="Compact"/>
              <w:jc w:val="right"/>
            </w:pPr>
            <w:r>
              <w:t xml:space="preserve">Tasa desde la etapa ant</w:t>
            </w:r>
          </w:p>
        </w:tc>
        <w:tc>
          <w:tcPr/>
          <w:p>
            <w:pPr>
              <w:pStyle w:val="Compact"/>
              <w:jc w:val="left"/>
            </w:pPr>
            <w:r>
              <w:t xml:space="preserve">erior Variación observada</w:t>
            </w:r>
          </w:p>
        </w:tc>
      </w:tr>
      <w:tr>
        <w:tc>
          <w:tcPr/>
          <w:p>
            <w:pPr>
              <w:pStyle w:val="Compact"/>
              <w:jc w:val="left"/>
            </w:pPr>
            <w:r>
              <w:t xml:space="preserve">Sesiones en el sitio web</w:t>
            </w:r>
          </w:p>
        </w:tc>
        <w:tc>
          <w:tcPr/>
          <w:p>
            <w:pPr>
              <w:pStyle w:val="Compact"/>
              <w:jc w:val="left"/>
            </w:pPr>
            <w:r>
              <w:t xml:space="preserve">3,840,000</w:t>
            </w:r>
          </w:p>
        </w:tc>
        <w:tc>
          <w:tcPr/>
          <w:p>
            <w:pPr>
              <w:pStyle w:val="Compact"/>
              <w:jc w:val="right"/>
            </w:pPr>
            <w:r>
              <w:t xml:space="preserve">—</w:t>
            </w:r>
          </w:p>
        </w:tc>
        <w:tc>
          <w:tcPr/>
          <w:p>
            <w:pPr>
              <w:pStyle w:val="Compact"/>
              <w:jc w:val="left"/>
            </w:pPr>
            <w:r>
              <w:t xml:space="preserve">±18% por semana</w:t>
            </w:r>
          </w:p>
        </w:tc>
      </w:tr>
      <w:tr>
        <w:tc>
          <w:tcPr/>
          <w:p>
            <w:pPr>
              <w:pStyle w:val="Compact"/>
              <w:jc w:val="left"/>
            </w:pPr>
            <w:r>
              <w:t xml:space="preserve">Vistas de detalle de producto</w:t>
            </w:r>
          </w:p>
        </w:tc>
        <w:tc>
          <w:tcPr/>
          <w:p>
            <w:pPr>
              <w:pStyle w:val="Compact"/>
              <w:jc w:val="left"/>
            </w:pPr>
            <w:r>
              <w:t xml:space="preserve">2,110,000</w:t>
            </w:r>
          </w:p>
        </w:tc>
        <w:tc>
          <w:tcPr/>
          <w:p>
            <w:pPr>
              <w:pStyle w:val="Compact"/>
              <w:jc w:val="right"/>
            </w:pPr>
            <w:r>
              <w:t xml:space="preserve">55.0%</w:t>
            </w:r>
          </w:p>
        </w:tc>
        <w:tc>
          <w:tcPr/>
          <w:p>
            <w:pPr>
              <w:pStyle w:val="Compact"/>
              <w:jc w:val="left"/>
            </w:pPr>
            <w:r>
              <w:t xml:space="preserve">Categoría de mueble y fuente de tráfico</w:t>
            </w:r>
          </w:p>
        </w:tc>
      </w:tr>
      <w:tr>
        <w:tc>
          <w:tcPr/>
          <w:p>
            <w:pPr>
              <w:pStyle w:val="Compact"/>
              <w:jc w:val="left"/>
            </w:pPr>
            <w:r>
              <w:t xml:space="preserve">Planificador de habitación / ar</w:t>
            </w:r>
          </w:p>
        </w:tc>
        <w:tc>
          <w:tcPr/>
          <w:p>
            <w:pPr>
              <w:pStyle w:val="Compact"/>
              <w:jc w:val="left"/>
            </w:pPr>
            <w:r>
              <w:t xml:space="preserve">tículo guardado</w:t>
            </w:r>
          </w:p>
        </w:tc>
        <w:tc>
          <w:tcPr/>
          <w:p>
            <w:pPr>
              <w:pStyle w:val="Compact"/>
              <w:jc w:val="right"/>
            </w:pPr>
            <w:r>
              <w:t xml:space="preserve">286,000</w:t>
            </w:r>
          </w:p>
        </w:tc>
        <w:tc>
          <w:tcPr/>
          <w:p>
            <w:pPr>
              <w:pStyle w:val="Compact"/>
              <w:jc w:val="left"/>
            </w:pPr>
            <w:r>
              <w:t xml:space="preserve">13.6% Mucho mayor para asientos modulares</w:t>
            </w:r>
          </w:p>
        </w:tc>
      </w:tr>
      <w:tr>
        <w:tc>
          <w:tcPr/>
          <w:p>
            <w:pPr>
              <w:pStyle w:val="Compact"/>
              <w:jc w:val="left"/>
            </w:pPr>
            <w:r>
              <w:t xml:space="preserve">Carrito o cotización iniciado</w:t>
            </w:r>
          </w:p>
        </w:tc>
        <w:tc>
          <w:tcPr/>
          <w:p>
            <w:pPr>
              <w:pStyle w:val="Compact"/>
              <w:jc w:val="left"/>
            </w:pPr>
            <w:r>
              <w:t xml:space="preserve">93,400</w:t>
            </w:r>
          </w:p>
        </w:tc>
        <w:tc>
          <w:tcPr/>
          <w:p>
            <w:pPr>
              <w:pStyle w:val="Compact"/>
              <w:jc w:val="right"/>
            </w:pPr>
            <w:r>
              <w:t xml:space="preserve">32.7%</w:t>
            </w:r>
          </w:p>
        </w:tc>
        <w:tc>
          <w:tcPr/>
          <w:p>
            <w:pPr>
              <w:pStyle w:val="Compact"/>
              <w:jc w:val="left"/>
            </w:pPr>
            <w:r>
              <w:t xml:space="preserve">Cae bruscamente cuando la entrega &gt;8 semanas</w:t>
            </w:r>
          </w:p>
        </w:tc>
      </w:tr>
      <w:tr>
        <w:tc>
          <w:tcPr/>
          <w:p>
            <w:pPr>
              <w:pStyle w:val="Compact"/>
              <w:jc w:val="left"/>
            </w:pPr>
            <w:r>
              <w:t xml:space="preserve">Pedido completado</w:t>
            </w:r>
          </w:p>
        </w:tc>
        <w:tc>
          <w:tcPr/>
          <w:p>
            <w:pPr>
              <w:pStyle w:val="Compact"/>
              <w:jc w:val="left"/>
            </w:pPr>
            <w:r>
              <w:t xml:space="preserve">59,100</w:t>
            </w:r>
          </w:p>
        </w:tc>
        <w:tc>
          <w:tcPr/>
          <w:p>
            <w:pPr>
              <w:pStyle w:val="Compact"/>
              <w:jc w:val="right"/>
            </w:pPr>
            <w:r>
              <w:t xml:space="preserve">63.3%</w:t>
            </w:r>
          </w:p>
        </w:tc>
        <w:tc>
          <w:tcPr/>
          <w:p>
            <w:pPr>
              <w:pStyle w:val="Compact"/>
              <w:jc w:val="left"/>
            </w:pPr>
            <w:r>
              <w:t xml:space="preserve">Sensible a la aprobación del financiamiento</w:t>
            </w:r>
          </w:p>
        </w:tc>
      </w:tr>
      <w:tr>
        <w:tc>
          <w:tcPr/>
          <w:p>
            <w:pPr>
              <w:pStyle w:val="Compact"/>
              <w:jc w:val="left"/>
            </w:pPr>
            <w:r>
              <w:t xml:space="preserve">Pedido retenido después de 14 d</w:t>
            </w:r>
          </w:p>
        </w:tc>
        <w:tc>
          <w:tcPr/>
          <w:p>
            <w:pPr>
              <w:pStyle w:val="Compact"/>
              <w:jc w:val="left"/>
            </w:pPr>
            <w:r>
              <w:t xml:space="preserve">ías 54,800</w:t>
            </w:r>
          </w:p>
        </w:tc>
        <w:tc>
          <w:tcPr/>
          <w:p>
            <w:pPr>
              <w:pStyle w:val="Compact"/>
              <w:jc w:val="right"/>
            </w:pPr>
            <w:r>
              <w:t xml:space="preserve">92.7%</w:t>
            </w:r>
          </w:p>
        </w:tc>
        <w:tc>
          <w:tcPr/>
          <w:p>
            <w:pPr>
              <w:pStyle w:val="Compact"/>
              <w:jc w:val="left"/>
            </w:pPr>
            <w:r>
              <w:t xml:space="preserve">Cancelaciones concentradas en pedidos retrasados</w:t>
            </w:r>
          </w:p>
        </w:tc>
      </w:tr>
    </w:tbl>
    <w:p>
      <w:pPr>
        <w:pStyle w:val="BodyText"/>
      </w:pPr>
      <w:r>
        <w:t xml:space="preserve">El director de información advirtió contra el exceso de confianza. Las identidades de los clientes estaban fragmentadas entre los sistemas de tienda, sitio web y financiamiento. Algunos hogares investigaban en línea pero compraban en una tienda a nombre de un cónyuge. Las plataformas publicitarias informaban conversiones utilizando diferentes ventanas de atribución. Los gerentes de tienda a veces registraban pedidos bajo perfiles de clientes genéricos para ahorrar tiempo. Una campaña podía parecer exitosa en un sistema e infructuosa en otro.</w:t>
      </w:r>
    </w:p>
    <w:bookmarkEnd w:id="16"/>
    <w:bookmarkEnd w:id="17"/>
    <w:bookmarkStart w:id="18" w:name="tiendas-personas-y-juicio-local"/>
    <w:p>
      <w:pPr>
        <w:pStyle w:val="Heading1"/>
      </w:pPr>
      <w:r>
        <w:t xml:space="preserve">Tiendas, Personas y Juicio Local</w:t>
      </w:r>
    </w:p>
    <w:p>
      <w:pPr>
        <w:pStyle w:val="FirstParagraph"/>
      </w:pPr>
      <w:r>
        <w:t xml:space="preserve">El trabajo en tienda era tanto un costo como una palanca de demanda. Los asociados experimentados ayudaban a los clientes a coordinar estilos, explicar opciones de tela, organizar financiamiento y establecer expectativas sobre la entrega. Los nuevos asociados requerían meses para volverse productivos. Sin embargo, dotar de personal a cada tienda para el tráfico máximo era costoso, y el tráfico peatonal variaba con el clima, los eventos locales y las promociones de la competencia.</w:t>
      </w:r>
    </w:p>
    <w:p>
      <w:pPr>
        <w:pStyle w:val="BodyText"/>
      </w:pPr>
      <w:r>
        <w:t xml:space="preserve">Los vicepresidentes regionales querían discreción para ajustar el personal, las exhibiciones, las promociones y los medios locales. La sede central quería experimentos consistentes y resultados comparables. Un gerente señaló que una promoción probada en una tienda suburbana con grandes salas de exhibición no podía juzgarse frente a una sala de exhibición urbana donde los clientes dependían más de la entrega y la visualización digital.</w:t>
      </w:r>
    </w:p>
    <w:bookmarkEnd w:id="18"/>
    <w:bookmarkStart w:id="19" w:name="X51a79a28b948ce4b2892085e5b23c7c8c3fc5de"/>
    <w:p>
      <w:pPr>
        <w:pStyle w:val="Heading1"/>
      </w:pPr>
      <w:r>
        <w:t xml:space="preserve">La Restricción de Suministro Detrás de la Decisión de Demanda</w:t>
      </w:r>
    </w:p>
    <w:p>
      <w:pPr>
        <w:pStyle w:val="FirstParagraph"/>
      </w:pPr>
      <w:r>
        <w:t xml:space="preserve">Aunque la tarea de Marquez concernía a la demanda, no podía ignorar el flujo de productos. Las unidades esquineras de mayor venta de la colección Solace estaban retrasadas en un proveedor de tapicería. Los juegos de comedor Alden ocupaban espacios en el centro de distribución. Se esperaba que dos contenedores importados de dormitorio llegaran tres semanas tarde tras la congestión portuaria. Una campaña exitosa podría empeorar el servicio al cliente si promocionaba productos que la empresa no podía entregar.</w:t>
      </w:r>
    </w:p>
    <w:p>
      <w:pPr>
        <w:pStyle w:val="BodyText"/>
      </w:pPr>
      <w:r>
        <w:t xml:space="preserve">El equipo de la cadena de suministro recomendó comercializar solo los artículos con al menos ocho semanas de suministro disponible. El merchandising objetó que tal regla favorecería a los productos lentos y suprimiría precisamente las colecciones que generaban entusiasmo por la marca. Finanzas sugirió descontar agresivamente los productos con exceso de existencias. La gestión de marca se preocupaba de que los descuentos repetidos debilitaran el posicionamiento de precio medio-premium de Hearthline.</w:t>
      </w:r>
    </w:p>
    <w:bookmarkEnd w:id="19"/>
    <w:bookmarkStart w:id="21" w:name="X98c5c4e7dd2cb178461e9ee1227cb95e4ff521d"/>
    <w:p>
      <w:pPr>
        <w:pStyle w:val="Heading1"/>
      </w:pPr>
      <w:r>
        <w:t xml:space="preserve">La Decisión Antes de la Temporada Navideña</w:t>
      </w:r>
    </w:p>
    <w:p>
      <w:pPr>
        <w:pStyle w:val="FirstParagraph"/>
      </w:pPr>
      <w:r>
        <w:t xml:space="preserve">Marquez organizó el problema en tres enfoques amplios, ninguno de los cuales excluía acciones de apoyo más pequeñas.</w:t>
      </w:r>
    </w:p>
    <w:p>
      <w:pPr>
        <w:pStyle w:val="BodyText"/>
      </w:pPr>
      <w:r>
        <w:t xml:space="preserve">Enfoque A: Concentrar. Hearthline reduciría el surtido visible, concentraría el marketing en un pequeño número de colecciones, aumentaría el personal de fin de semana en sus mercados más fuertes y usaría campañas regionales adaptadas al inventario disponible. Este enfoque prometía una ejecución más clara, pero arriesgaba perder nuevas preferencias y debilitar el tráfico de búsqueda.</w:t>
      </w:r>
    </w:p>
    <w:p>
      <w:pPr>
        <w:pStyle w:val="BodyText"/>
      </w:pPr>
      <w:r>
        <w:t xml:space="preserve">Enfoque B: Promover ampliamente. La empresa mantendría su surtido completo, lanzaría el descuento de paquete de habitación a nivel nacional y expandiría la búsqueda pagada y las redes sociales. El plan podría estimular las ventas rápidamente y proporcionar datos sustanciales de respuesta del cliente, pero podría sacrificar el margen y saturar los productos y la capacidad de entrega restringidos.</w:t>
      </w:r>
    </w:p>
    <w:p>
      <w:pPr>
        <w:pStyle w:val="BodyText"/>
      </w:pPr>
      <w:r>
        <w:t xml:space="preserve">Enfoque C: Experimentar y aprender. Hearthline limitaría los grandes descuentos, asignaría más fondos a experimentos de páginas web, encuestas de clientes y pruebas regionales controladas, y pospondría una campaña nacional hasta que surgieran resultados. El enfoque podría mejorar las decisiones futuras, pero la temporada navideña podría pasar antes de que la empresa actuara con confianza.</w:t>
      </w:r>
    </w:p>
    <w:bookmarkStart w:id="20" w:name="Xdca34db001ff4031193632c3f42eca7a8e9183a"/>
    <w:p>
      <w:pPr>
        <w:pStyle w:val="Heading2"/>
      </w:pPr>
      <w:r>
        <w:t xml:space="preserve">Figura 5. Escenarios de Planificación de la Gerencia, septiembre–diciembre</w:t>
      </w:r>
    </w:p>
    <w:tbl>
      <w:tblPr>
        <w:tblStyle w:val="Table"/>
        <w:tblW w:type="pct" w:w="4907"/>
        <w:tblLayout w:type="fixed"/>
        <w:tblLook w:firstRow="1" w:lastRow="0" w:firstColumn="0" w:lastColumn="0" w:noHBand="0" w:noVBand="0" w:val="0020"/>
      </w:tblPr>
      <w:tblGrid>
        <w:gridCol w:w="2420"/>
        <w:gridCol w:w="880"/>
        <w:gridCol w:w="1100"/>
        <w:gridCol w:w="1393"/>
        <w:gridCol w:w="1980"/>
      </w:tblGrid>
      <w:tr>
        <w:trPr>
          <w:tblHeader w:val="on"/>
        </w:trPr>
        <w:tc>
          <w:tcPr/>
          <w:p>
            <w:pPr>
              <w:pStyle w:val="Compact"/>
              <w:jc w:val="left"/>
            </w:pPr>
            <w:r>
              <w:t xml:space="preserve">Escenario</w:t>
            </w:r>
          </w:p>
        </w:tc>
        <w:tc>
          <w:tcPr/>
          <w:p>
            <w:pPr>
              <w:pStyle w:val="Compact"/>
              <w:jc w:val="right"/>
            </w:pPr>
            <w:r>
              <w:t xml:space="preserve">Ventas neta</w:t>
            </w:r>
          </w:p>
        </w:tc>
        <w:tc>
          <w:tcPr/>
          <w:p>
            <w:pPr>
              <w:pStyle w:val="Compact"/>
            </w:pPr>
            <w:r>
              <w:t xml:space="preserve">s Margen brut</w:t>
            </w:r>
          </w:p>
        </w:tc>
        <w:tc>
          <w:tcPr/>
          <w:p>
            <w:pPr>
              <w:pStyle w:val="Compact"/>
            </w:pPr>
            <w:r>
              <w:t xml:space="preserve">o Inventario fina</w:t>
            </w:r>
          </w:p>
        </w:tc>
        <w:tc>
          <w:tcPr/>
          <w:p>
            <w:pPr>
              <w:pStyle w:val="Compact"/>
            </w:pPr>
            <w:r>
              <w:t xml:space="preserve">l Tasa de pedidos con retraso</w:t>
            </w:r>
          </w:p>
        </w:tc>
      </w:tr>
      <w:tr>
        <w:tc>
          <w:tcPr/>
          <w:p>
            <w:pPr>
              <w:pStyle w:val="Compact"/>
              <w:jc w:val="left"/>
            </w:pPr>
            <w:r>
              <w:t xml:space="preserve">Mercado débil</w:t>
            </w:r>
          </w:p>
        </w:tc>
        <w:tc>
          <w:tcPr/>
          <w:p>
            <w:pPr>
              <w:pStyle w:val="Compact"/>
              <w:jc w:val="right"/>
            </w:pPr>
            <w:r>
              <w:t xml:space="preserve">$133M</w:t>
            </w:r>
          </w:p>
        </w:tc>
        <w:tc>
          <w:tcPr/>
          <w:p>
            <w:pPr>
              <w:pStyle w:val="Compact"/>
            </w:pPr>
            <w:r>
              <w:t xml:space="preserve">42.0%</w:t>
            </w:r>
          </w:p>
        </w:tc>
        <w:tc>
          <w:tcPr/>
          <w:p>
            <w:pPr>
              <w:pStyle w:val="Compact"/>
            </w:pPr>
            <w:r>
              <w:t xml:space="preserve">$112M</w:t>
            </w:r>
          </w:p>
        </w:tc>
        <w:tc>
          <w:tcPr/>
          <w:p>
            <w:pPr>
              <w:pStyle w:val="Compact"/>
            </w:pPr>
            <w:r>
              <w:t xml:space="preserve">10%</w:t>
            </w:r>
          </w:p>
        </w:tc>
      </w:tr>
      <w:tr>
        <w:tc>
          <w:tcPr/>
          <w:p>
            <w:pPr>
              <w:pStyle w:val="Compact"/>
              <w:jc w:val="left"/>
            </w:pPr>
            <w:r>
              <w:t xml:space="preserve">Pronóstico base</w:t>
            </w:r>
          </w:p>
        </w:tc>
        <w:tc>
          <w:tcPr/>
          <w:p>
            <w:pPr>
              <w:pStyle w:val="Compact"/>
              <w:jc w:val="right"/>
            </w:pPr>
            <w:r>
              <w:t xml:space="preserve">$151M</w:t>
            </w:r>
          </w:p>
        </w:tc>
        <w:tc>
          <w:tcPr/>
          <w:p>
            <w:pPr>
              <w:pStyle w:val="Compact"/>
            </w:pPr>
            <w:r>
              <w:t xml:space="preserve">43.5%</w:t>
            </w:r>
          </w:p>
        </w:tc>
        <w:tc>
          <w:tcPr/>
          <w:p>
            <w:pPr>
              <w:pStyle w:val="Compact"/>
            </w:pPr>
            <w:r>
              <w:t xml:space="preserve">$94M</w:t>
            </w:r>
          </w:p>
        </w:tc>
        <w:tc>
          <w:tcPr/>
          <w:p>
            <w:pPr>
              <w:pStyle w:val="Compact"/>
            </w:pPr>
            <w:r>
              <w:t xml:space="preserve">13%</w:t>
            </w:r>
          </w:p>
        </w:tc>
      </w:tr>
      <w:tr>
        <w:tc>
          <w:tcPr/>
          <w:p>
            <w:pPr>
              <w:pStyle w:val="Compact"/>
              <w:jc w:val="left"/>
            </w:pPr>
            <w:r>
              <w:t xml:space="preserve">Respuesta a la promoción</w:t>
            </w:r>
          </w:p>
        </w:tc>
        <w:tc>
          <w:tcPr/>
          <w:p>
            <w:pPr>
              <w:pStyle w:val="Compact"/>
              <w:jc w:val="right"/>
            </w:pPr>
            <w:r>
              <w:br/>
            </w:r>
          </w:p>
        </w:tc>
        <w:tc>
          <w:tcPr/>
          <w:p>
            <w:pPr>
              <w:pStyle w:val="Compact"/>
            </w:pPr>
            <w:r>
              <w:t xml:space="preserve">$169M 40.8</w:t>
            </w:r>
          </w:p>
        </w:tc>
        <w:tc>
          <w:tcPr/>
          <w:p>
            <w:pPr>
              <w:pStyle w:val="Compact"/>
            </w:pPr>
            <w:r>
              <w:t xml:space="preserve">% $76M</w:t>
            </w:r>
          </w:p>
        </w:tc>
        <w:tc>
          <w:tcPr/>
          <w:p>
            <w:pPr>
              <w:pStyle w:val="Compact"/>
            </w:pPr>
            <w:r>
              <w:t xml:space="preserve">21%</w:t>
            </w:r>
          </w:p>
        </w:tc>
      </w:tr>
      <w:tr>
        <w:tc>
          <w:tcPr/>
          <w:p>
            <w:pPr>
              <w:pStyle w:val="Compact"/>
              <w:jc w:val="left"/>
            </w:pPr>
            <w:r>
              <w:t xml:space="preserve">Cambio de estilo hacia Solace/Lum</w:t>
            </w:r>
          </w:p>
        </w:tc>
        <w:tc>
          <w:tcPr/>
          <w:p>
            <w:pPr>
              <w:pStyle w:val="Compact"/>
              <w:jc w:val="right"/>
            </w:pPr>
            <w:r>
              <w:t xml:space="preserve">a $158M</w:t>
            </w:r>
          </w:p>
        </w:tc>
        <w:tc>
          <w:tcPr/>
          <w:p>
            <w:pPr>
              <w:pStyle w:val="Compact"/>
            </w:pPr>
            <w:r>
              <w:t xml:space="preserve">44.1%</w:t>
            </w:r>
          </w:p>
        </w:tc>
        <w:tc>
          <w:tcPr/>
          <w:p>
            <w:pPr>
              <w:pStyle w:val="Compact"/>
            </w:pPr>
            <w:r>
              <w:t xml:space="preserve">$101M</w:t>
            </w:r>
          </w:p>
        </w:tc>
        <w:tc>
          <w:tcPr/>
          <w:p>
            <w:pPr>
              <w:pStyle w:val="Compact"/>
            </w:pPr>
            <w:r>
              <w:t xml:space="preserve">27% en líneas restringidas</w:t>
            </w:r>
          </w:p>
        </w:tc>
      </w:tr>
      <w:tr>
        <w:tc>
          <w:tcPr/>
          <w:p>
            <w:pPr>
              <w:pStyle w:val="Compact"/>
              <w:jc w:val="left"/>
            </w:pPr>
            <w:r>
              <w:t xml:space="preserve">Guerra de precios de la competenc</w:t>
            </w:r>
          </w:p>
        </w:tc>
        <w:tc>
          <w:tcPr/>
          <w:p>
            <w:pPr>
              <w:pStyle w:val="Compact"/>
              <w:jc w:val="right"/>
            </w:pPr>
            <w:r>
              <w:t xml:space="preserve">ia</w:t>
            </w:r>
          </w:p>
        </w:tc>
        <w:tc>
          <w:tcPr/>
          <w:p>
            <w:pPr>
              <w:pStyle w:val="Compact"/>
            </w:pPr>
            <w:r>
              <w:t xml:space="preserve">$162M</w:t>
            </w:r>
          </w:p>
        </w:tc>
        <w:tc>
          <w:tcPr/>
          <w:p>
            <w:pPr>
              <w:pStyle w:val="Compact"/>
            </w:pPr>
            <w:r>
              <w:t xml:space="preserve">38.9% $88</w:t>
            </w:r>
          </w:p>
        </w:tc>
        <w:tc>
          <w:tcPr/>
          <w:p>
            <w:pPr>
              <w:pStyle w:val="Compact"/>
            </w:pPr>
            <w:r>
              <w:t xml:space="preserve">M 15%</w:t>
            </w:r>
          </w:p>
        </w:tc>
      </w:tr>
    </w:tbl>
    <w:p>
      <w:pPr>
        <w:pStyle w:val="BodyText"/>
      </w:pPr>
      <w:r>
        <w:t xml:space="preserve">Los escenarios no eran probabilidades. Eran historias internamente consistentes ensambladas por finanzas, merchandising, cadena de suministro y marketing. Cada grupo desafiaba los supuestos de los demás. Nadie sabía cuántas ventas incrementales generaría un descuento, cómo sustituirían los clientes cuando los productos preferidos no estuvieran disponibles, ni con qué rapidez responderían los competidores.</w:t>
      </w:r>
    </w:p>
    <w:bookmarkEnd w:id="20"/>
    <w:bookmarkEnd w:id="21"/>
    <w:bookmarkStart w:id="22" w:name="la-fecha-límite-del-viernes"/>
    <w:p>
      <w:pPr>
        <w:pStyle w:val="Heading1"/>
      </w:pPr>
      <w:r>
        <w:t xml:space="preserve">La Fecha Límite del Viernes</w:t>
      </w:r>
    </w:p>
    <w:p>
      <w:pPr>
        <w:pStyle w:val="FirstParagraph"/>
      </w:pPr>
      <w:r>
        <w:t xml:space="preserve">Para el viernes, Marquez debía recomendar cómo asignar el presupuesto de $6.8 millones, qué productos y mercados enfatizar, si autorizar el descuento nacional de paquete, y qué información debía recopilar Hearthline antes y durante la campaña. El director ejecutivo también quería una lista de condiciones bajo las cuales la gerencia debería cambiar de rumbo durante la temporada.</w:t>
      </w:r>
    </w:p>
    <w:p>
      <w:pPr>
        <w:pStyle w:val="BodyText"/>
      </w:pPr>
      <w:r>
        <w:t xml:space="preserve">Al observar los paneles, Marquez se preguntaba si el verdadero problema de Hearthline era una demanda débil, el surtido incorrecto, una ejecución deficiente, promesas de entrega demasiado largas, orientación insuficiente al cliente, o la incapacidad de la empresa para interpretar las señales que ya poseía. Cada explicación apuntaba hacia una acción diferente. Cada acción podía cambiar la evidencia utilizada para evaluarla.</w:t>
      </w:r>
    </w:p>
    <w:bookmarkEnd w:id="22"/>
    <w:bookmarkStart w:id="23" w:name="preguntas-de-discusión"/>
    <w:p>
      <w:pPr>
        <w:pStyle w:val="Heading1"/>
      </w:pPr>
      <w:r>
        <w:t xml:space="preserve">Preguntas de Discusión</w:t>
      </w:r>
    </w:p>
    <w:p>
      <w:pPr>
        <w:pStyle w:val="FirstParagraph"/>
      </w:pPr>
      <w:r>
        <w:t xml:space="preserve">1. ¿Cuál es el problema central de negocio que enfrenta Marquez? ¿Qué síntomas pueden ser consecuencias en lugar de causas?</w:t>
      </w:r>
    </w:p>
    <w:p>
      <w:pPr>
        <w:pStyle w:val="BodyText"/>
      </w:pPr>
      <w:r>
        <w:t xml:space="preserve">2. ¿Cómo debería decidir Hearthline qué productos destacar cuando los productos más populares pueden estar restringidos por el suministro?</w:t>
      </w:r>
    </w:p>
    <w:p>
      <w:pPr>
        <w:pStyle w:val="BodyText"/>
      </w:pPr>
      <w:r>
        <w:t xml:space="preserve">3. ¿Debería lanzarse el descuento de paquete de habitación a nivel nacional, probarse regionalmente, rediseñarse o rechazarse?</w:t>
      </w:r>
    </w:p>
    <w:p>
      <w:pPr>
        <w:pStyle w:val="BodyText"/>
      </w:pPr>
      <w:r>
        <w:t xml:space="preserve">4. ¿Cómo debería la empresa asignar los $6.8 millones entre medios, descuentos, experimentos en el sitio web, investigación y personal de tienda?</w:t>
      </w:r>
    </w:p>
    <w:p>
      <w:pPr>
        <w:pStyle w:val="BodyText"/>
      </w:pPr>
      <w:r>
        <w:t xml:space="preserve">5. ¿Qué evidencia distinguiría un problema de publicidad de un problema de precios, surtido, entrega o personal?</w:t>
      </w:r>
    </w:p>
    <w:p>
      <w:pPr>
        <w:pStyle w:val="BodyText"/>
      </w:pPr>
      <w:r>
        <w:t xml:space="preserve">6. ¿Qué comportamientos de los clientes debería intentar influir Hearthline, y cuáles pueden ser demasiado costosos o impredecibles para gestionar?</w:t>
      </w:r>
    </w:p>
    <w:p>
      <w:pPr>
        <w:pStyle w:val="BodyText"/>
      </w:pPr>
      <w:r>
        <w:t xml:space="preserve">7. ¿Cómo debería evaluarse la actividad en línea y en tienda cuando los clientes se mueven entre canales?</w:t>
      </w:r>
    </w:p>
    <w:p>
      <w:pPr>
        <w:pStyle w:val="BodyText"/>
      </w:pPr>
      <w:r>
        <w:t xml:space="preserve">8. ¿Qué experimentos producirían la información más útil antes de que termine la temporada navideña?</w:t>
      </w:r>
    </w:p>
    <w:p>
      <w:pPr>
        <w:pStyle w:val="BodyText"/>
      </w:pPr>
      <w:r>
        <w:t xml:space="preserve">9. ¿Qué disparadores operativos deberían hacer que la gerencia altere el precio, la publicidad, el surtido o el personal durante la campaña?</w:t>
      </w:r>
    </w:p>
    <w:p>
      <w:pPr>
        <w:pStyle w:val="BodyText"/>
      </w:pPr>
      <w:r>
        <w:t xml:space="preserve">10. ¿Qué constituiría un resultado exitoso si las ventas, el margen, el inventario, el servicio y el aprendizaje apuntan en direcciones diferentes?</w:t>
      </w:r>
    </w:p>
    <w:bookmarkEnd w:id="23"/>
    <w:bookmarkStart w:id="29" w:name="preguntas-de-encuadre-de-la-decisión"/>
    <w:p>
      <w:pPr>
        <w:pStyle w:val="Heading1"/>
      </w:pPr>
      <w:r>
        <w:t xml:space="preserve">Preguntas de Encuadre de la Decisión</w:t>
      </w:r>
    </w:p>
    <w:p>
      <w:pPr>
        <w:numPr>
          <w:ilvl w:val="0"/>
          <w:numId w:val="1001"/>
        </w:numPr>
      </w:pPr>
      <w:r>
        <w:t xml:space="preserve">Identifique y describa las responsabilidades del tomador de decisiones. Esto debería establecer el alcance del problema.</w:t>
      </w:r>
    </w:p>
    <w:p>
      <w:pPr>
        <w:numPr>
          <w:ilvl w:val="0"/>
          <w:numId w:val="1001"/>
        </w:numPr>
      </w:pPr>
      <w:r>
        <w:t xml:space="preserve">Use la</w:t>
      </w:r>
      <w:r>
        <w:t xml:space="preserve"> </w:t>
      </w:r>
      <w:hyperlink r:id="rId24">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(púrpura).</w:t>
      </w:r>
    </w:p>
    <w:p>
      <w:pPr>
        <w:numPr>
          <w:ilvl w:val="0"/>
          <w:numId w:val="1001"/>
        </w:numPr>
      </w:pPr>
      <w:r>
        <w:t xml:space="preserve">Use la</w:t>
      </w:r>
      <w:r>
        <w:t xml:space="preserve"> </w:t>
      </w:r>
      <w:hyperlink r:id="rId25">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6">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nulo (blanco).</w:t>
      </w:r>
    </w:p>
    <w:p>
      <w:pPr>
        <w:numPr>
          <w:ilvl w:val="0"/>
          <w:numId w:val="1001"/>
        </w:numPr>
      </w:pPr>
      <w:r>
        <w:t xml:space="preserve">Puede tomar el asa (tres barras) más a la izquierda en cada fila para moverla hacia arriba o hacia abajo. Ordene las filas de manera que las decisiones con el mayor impacto en las métricas más importantes queden hacia arriba. Las celdas de la esquina superior izquierda deberían tener la mayor concentración de celdas rojas y naranjas. En este punto, identifique las decisiones que deberían recibir más atención en su estudio. Si no tiene ninguna decisión con impacto medio o alto en las métricas más importantes, revise su lista de decisiones.</w:t>
      </w:r>
    </w:p>
    <w:p>
      <w:pPr>
        <w:numPr>
          <w:ilvl w:val="0"/>
          <w:numId w:val="1001"/>
        </w:numPr>
      </w:pPr>
      <w:r>
        <w:t xml:space="preserve">Repita el proceso para listar y priorizar las incertidumbres usando la</w:t>
      </w:r>
      <w:r>
        <w:t xml:space="preserve"> </w:t>
      </w:r>
      <w:hyperlink r:id="rId27">
        <w:r>
          <w:rPr>
            <w:rStyle w:val="Hyperlink"/>
          </w:rPr>
          <w:t xml:space="preserve">herramienta de priorización de incertidumbres</w:t>
        </w:r>
      </w:hyperlink>
      <w:r>
        <w:t xml:space="preserve">. Use las</w:t>
      </w:r>
      <w:r>
        <w:t xml:space="preserve"> </w:t>
      </w:r>
      <w:hyperlink r:id="rId28">
        <w:r>
          <w:rPr>
            <w:rStyle w:val="Hyperlink"/>
          </w:rPr>
          <w:t xml:space="preserve">categorías de incertidumbre</w:t>
        </w:r>
      </w:hyperlink>
      <w:r>
        <w:t xml:space="preserve"> </w:t>
      </w:r>
      <w:r>
        <w:t xml:space="preserve">para ayudarle a identificarlas.</w:t>
      </w:r>
    </w:p>
    <w:p>
      <w:pPr>
        <w:numPr>
          <w:ilvl w:val="0"/>
          <w:numId w:val="1001"/>
        </w:numPr>
      </w:pPr>
      <w:r>
        <w:t xml:space="preserve">Es importante diferenciar las incertidumbres que pueden evaluarse en promedio, o como eventos de riesgo:</w:t>
      </w:r>
    </w:p>
    <w:p>
      <w:pPr>
        <w:numPr>
          <w:ilvl w:val="1"/>
          <w:numId w:val="1002"/>
        </w:numPr>
      </w:pPr>
      <w:r>
        <w:t xml:space="preserve">¿Qué fuentes de incertidumbre se capturarían usando el desempeño promedio a lo largo del tiempo?</w:t>
      </w:r>
    </w:p>
    <w:p>
      <w:pPr>
        <w:numPr>
          <w:ilvl w:val="1"/>
          <w:numId w:val="1002"/>
        </w:numPr>
      </w:pPr>
      <w:r>
        <w:t xml:space="preserve">¿Qué fuentes de incertidumbre representan formas de riesgo que no se capturan adecuadamente usando promedios?</w:t>
      </w:r>
    </w:p>
    <w:p>
      <w:pPr>
        <w:numPr>
          <w:ilvl w:val="0"/>
          <w:numId w:val="1001"/>
        </w:numPr>
      </w:pPr>
      <w:r>
        <w:t xml:space="preserve">Elija la única decisión que parezca tener el mayor impacto en la métrica más importante.</w:t>
      </w:r>
    </w:p>
    <w:p>
      <w:pPr>
        <w:numPr>
          <w:ilvl w:val="1"/>
          <w:numId w:val="1003"/>
        </w:numPr>
      </w:pPr>
      <w:r>
        <w:t xml:space="preserve">¿Qué enfoque cree que usaría para tomar esta decisión?</w:t>
      </w:r>
    </w:p>
    <w:p>
      <w:pPr>
        <w:numPr>
          <w:ilvl w:val="1"/>
          <w:numId w:val="1003"/>
        </w:numPr>
      </w:pPr>
      <w:r>
        <w:t xml:space="preserve">¿Qué datos parecen ser necesarios para tomar esta decisión, incluyendo el cálculo de cualquier métrica de desempeño donde la decisión tendría un impacto alto o medio?</w:t>
      </w:r>
    </w:p>
    <w:p>
      <w:pPr>
        <w:numPr>
          <w:ilvl w:val="0"/>
          <w:numId w:val="1001"/>
        </w:numPr>
      </w:pPr>
      <w:r>
        <w:t xml:space="preserve">Usando la misma decisión que identificó en (7), identifique a las personas, departamentos, grupos u organizaciones con los que necesitaría trabajar para implementar la decisión.</w:t>
      </w:r>
    </w:p>
    <w:bookmarkEnd w:id="29"/>
    <w:bookmarkStart w:id="30" w:name="nota-de-la-fuente"/>
    <w:p>
      <w:pPr>
        <w:pStyle w:val="Heading1"/>
      </w:pPr>
      <w:r>
        <w:t xml:space="preserve">Nota de la Fuente</w:t>
      </w:r>
    </w:p>
    <w:p>
      <w:pPr>
        <w:pStyle w:val="FirstParagraph"/>
      </w:pPr>
      <w:r>
        <w:t xml:space="preserve">El fundamento conceptual de este caso es la sección</w:t>
      </w:r>
      <w:r>
        <w:t xml:space="preserve"> </w:t>
      </w:r>
      <w:r>
        <w:t xml:space="preserve">“Demand management – selling furniture”</w:t>
      </w:r>
      <w:r>
        <w:t xml:space="preserve"> </w:t>
      </w:r>
      <w:r>
        <w:t xml:space="preserve">de Warren B. Powell, Bridging Decision Problems, Volume I: Framing the Problem, Capítulo 2. El caso incorpora sus ideas en la narrativa y las figuras sin etiquetar por separado las categorías de métricas, decisiones o incertidumbres.</w:t>
      </w:r>
    </w:p>
    <w:p>
      <w:pPr>
        <w:pStyle w:val="BodyText"/>
      </w:pPr>
      <w:r>
        <w:t xml:space="preserve">Datos públicos utilizados para motivar el entorno: U.S. Census Bureau, Monthly State Retail Sales, diciembre de 2025 (las ventas de tiendas de muebles y artículos para el hogar bajaron un 5.5 por ciento respecto a diciembre de 2024); U.S. Census Bureau y U.S. Department of Housing and Urban Development, New Residential Sales, diciembre de 2025 (aproximadamente 679,000 viviendas nuevas unifamiliares vendidas en 2025); y U.S. Census Bureau, Quarterly Retail E-Commerce Sales, primer trimestre de 2026 ($326.7 mil millones en ventas estimadas de comercio electrónico). Todos los datos financieros, operativos, de marketing y de clientes de Hearthline son ficticios.</w:t>
      </w:r>
    </w:p>
    <w:bookmarkEnd w:id="30"/>
    <w:bookmarkStart w:id="33" w:name="notas-de-chatgpt"/>
    <w:p>
      <w:pPr>
        <w:pStyle w:val="Heading1"/>
      </w:pPr>
      <w:r>
        <w:t xml:space="preserve">Notas de ChatGPT</w:t>
      </w:r>
    </w:p>
    <w:bookmarkStart w:id="31" w:name="prompt"/>
    <w:p>
      <w:pPr>
        <w:pStyle w:val="Heading2"/>
      </w:pPr>
      <w:r>
        <w:t xml:space="preserve">Prompt</w:t>
      </w:r>
    </w:p>
    <w:p>
      <w:pPr>
        <w:pStyle w:val="FirstParagraph"/>
      </w:pPr>
      <w:r>
        <w:t xml:space="preserve">Escribe un estudio de caso de 4-6 páginas basado en el material de la sección en https://warrenpowell.org/bridging-vol1/chapter-2/#demandmanagementfurniture. Crea un contexto basado en las métricas, decisiones e incertidumbres de la sección, pero sin llamar explícitamente la atención sobre ellas. Motiva tu problema de caso con datos.</w:t>
      </w:r>
    </w:p>
    <w:bookmarkEnd w:id="31"/>
    <w:bookmarkStart w:id="32" w:name="resumen"/>
    <w:p>
      <w:pPr>
        <w:pStyle w:val="Heading2"/>
      </w:pPr>
      <w:r>
        <w:t xml:space="preserve">Resumen</w:t>
      </w:r>
    </w:p>
    <w:p>
      <w:pPr>
        <w:pStyle w:val="FirstParagraph"/>
      </w:pPr>
      <w:r>
        <w:t xml:space="preserve">El caso sigue la estructura conceptual de la sección de gestión de demanda de muebles sin etiquetar explícitamente sus categorías subyacentes. Sitúa a un minorista regional de muebles ficticio en los meses previos a la temporada navideña, enfrentando decisiones que involucran:</w:t>
      </w:r>
    </w:p>
    <w:p>
      <w:pPr>
        <w:numPr>
          <w:ilvl w:val="0"/>
          <w:numId w:val="1004"/>
        </w:numPr>
      </w:pPr>
      <w:r>
        <w:t xml:space="preserve">Surtido de productos y abastecimiento regional</w:t>
      </w:r>
    </w:p>
    <w:p>
      <w:pPr>
        <w:numPr>
          <w:ilvl w:val="0"/>
          <w:numId w:val="1004"/>
        </w:numPr>
      </w:pPr>
      <w:r>
        <w:t xml:space="preserve">Precios, paquetes y descuentos promocionales</w:t>
      </w:r>
    </w:p>
    <w:p>
      <w:pPr>
        <w:numPr>
          <w:ilvl w:val="0"/>
          <w:numId w:val="1004"/>
        </w:numPr>
      </w:pPr>
      <w:r>
        <w:t xml:space="preserve">Búsqueda pagada, redes sociales, televisión, correo directo e influenciadores</w:t>
      </w:r>
    </w:p>
    <w:p>
      <w:pPr>
        <w:numPr>
          <w:ilvl w:val="0"/>
          <w:numId w:val="1004"/>
        </w:numPr>
      </w:pPr>
      <w:r>
        <w:t xml:space="preserve">Experimentos en el sitio web e investigación de clientes</w:t>
      </w:r>
    </w:p>
    <w:p>
      <w:pPr>
        <w:numPr>
          <w:ilvl w:val="0"/>
          <w:numId w:val="1004"/>
        </w:numPr>
      </w:pPr>
      <w:r>
        <w:t xml:space="preserve">Personal de tienda y discreción gerencial local</w:t>
      </w:r>
    </w:p>
    <w:p>
      <w:pPr>
        <w:numPr>
          <w:ilvl w:val="0"/>
          <w:numId w:val="1004"/>
        </w:numPr>
      </w:pPr>
      <w:r>
        <w:t xml:space="preserve">Coordinación entre la estimulación de la demanda y la disponibilidad restringida de productos</w:t>
      </w:r>
    </w:p>
    <w:p>
      <w:pPr>
        <w:pStyle w:val="FirstParagraph"/>
      </w:pPr>
      <w:r>
        <w:t xml:space="preserve">El caso contiene cinco figuras cuantitativas, perspectivas gerenciales en competencia, tres enfoques estratégicos amplios y diez preguntas de discusión. Deliberadamente deja sin resolver si el problema principal de la empresa es una demanda débil, el surtido incorrecto, precios, efectividad publicitaria, retrasos en la entrega, personal, o su interpretación de los datos de clientes.</w:t>
      </w:r>
    </w:p>
    <w:p>
      <w:pPr>
        <w:pStyle w:val="BodyText"/>
      </w:pPr>
      <w:r>
        <w:t xml:space="preserve">El entorno de mercado está motivado por datos del Censo que muestran que las ventas de tiendas de muebles y artículos para el hogar en diciembre de 2025 estuvieron un 5.5% por debajo del año anterior, se vendieron aproximadamente 679,000 viviendas nuevas unifamiliares durante 2025, y las ventas minoristas de comercio electrónico en EE. UU. alcanzaron un estimado de $326.7 mil millones en el primer trimestre de 2026. El marco del caso se basa en la sección especificada de gestión de demanda de</w:t>
      </w:r>
      <w:r>
        <w:t xml:space="preserve"> </w:t>
      </w:r>
      <w:r>
        <w:rPr>
          <w:i/>
          <w:iCs/>
        </w:rPr>
        <w:t xml:space="preserve">Bridging Decision Problems, Volume I</w:t>
      </w:r>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2026-09-11T15:19:19Z</dcterms:created>
  <dcterms:modified xsi:type="dcterms:W3CDTF">2026-09-11T15:19:19Z</dcterms:modified>
</cp:coreProperties>
</file>

<file path=docProps/custom.xml><?xml version="1.0" encoding="utf-8"?>
<Properties xmlns="http://schemas.openxmlformats.org/officeDocument/2006/custom-properties" xmlns:vt="http://schemas.openxmlformats.org/officeDocument/2006/docPropsVTypes"/>
</file>