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Lakeside Medical Group</w:t>
      </w:r>
    </w:p>
    <w:p>
      <w:pPr>
        <w:pStyle w:val="BodyText"/>
      </w:pPr>
      <w:r>
        <w:t xml:space="preserve">Los Próximos Noventa Días</w:t>
      </w:r>
    </w:p>
    <w:p>
      <w:pPr>
        <w:pStyle w:val="BodyText"/>
      </w:pPr>
      <w:r>
        <w:rPr>
          <w:i/>
          <w:iCs/>
        </w:rPr>
        <w:t xml:space="preserve">Un caso de negocios sobre el manejo de la diabetes tipo 2 cuando la respuesta clínica, el comportamiento diario, la tecnología y la asequibilidad son difíciles de separar</w:t>
      </w:r>
    </w:p>
    <w:p>
      <w:pPr>
        <w:pStyle w:val="BodyText"/>
      </w:pPr>
      <w:r>
        <w:t xml:space="preserve">Este caso es ficticio y está destinado a la discusión educativa. Los nombres, eventos, organizaciones y datos operativos son inventados, aunque el contexto de la industria está basado en fuentes públicas.</w:t>
      </w:r>
    </w:p>
    <w:tbl>
      <w:tblPr>
        <w:tblStyle w:val="Table"/>
        <w:tblW w:type="auto" w:w="0"/>
        <w:tblLook w:firstRow="0" w:lastRow="0" w:firstColumn="0" w:lastColumn="0" w:noHBand="0" w:noVBand="0" w:val="0000"/>
      </w:tblPr>
      <w:tblGrid>
        <w:gridCol w:w="7920"/>
      </w:tblGrid>
      <w:tr>
        <w:tc>
          <w:tcPr/>
          <w:p>
            <w:pPr>
              <w:pStyle w:val="Compact"/>
            </w:pPr>
            <w:r>
              <w:t xml:space="preserve">En octubre de 2026, un equipo de atención primaria debe decidir cómo rediseñar el tratamiento para un paciente cuya glucosa en sangre permanece mal controlada a pesar de visitas repetidas, cambios de medicación y una amplia consejería. El siguiente paso podría mejorar su salud a largo plazo—o añadir costo y complejidad que él quizás no pueda sostener.</w:t>
            </w:r>
          </w:p>
        </w:tc>
      </w:tr>
    </w:tbl>
    <w:p>
      <w:r>
        <w:pict>
          <v:rect style="width:0;height:1.5pt" o:hralign="center" o:hrstd="t" o:hr="t"/>
        </w:pict>
      </w:r>
    </w:p>
    <w:p>
      <w:pPr>
        <w:pStyle w:val="FirstParagraph"/>
      </w:pPr>
      <w:r>
        <w:t xml:space="preserve">Este caso es ficticio y está destinado a la discusión educativa, no a la orientación médica. Los nombres, eventos y datos internos fueron creados para el caso. Las estadísticas públicas se citan en la nota de fuentes.</w:t>
      </w:r>
    </w:p>
    <w:bookmarkStart w:id="9" w:name="la-cita-del-martes"/>
    <w:p>
      <w:pPr>
        <w:pStyle w:val="Heading1"/>
      </w:pPr>
      <w:r>
        <w:t xml:space="preserve">La Cita del Martes</w:t>
      </w:r>
    </w:p>
    <w:p>
      <w:pPr>
        <w:pStyle w:val="FirstParagraph"/>
      </w:pPr>
      <w:r>
        <w:t xml:space="preserve">A las 7:35 de la mañana del martes, la Dra. Elena Park abrió el expediente de Marcus Reed antes de la primera cita en la clínica Northgate de Lakeside Medical Group. Reed tenía 58 años, trabajaba en turnos rotativos como supervisor de mantenimiento, y había vivido con diabetes tipo 2 durante nueve años. Su última hemoglobina A1c fue de 9.2 por ciento—más alta que seis meses antes y muy por encima del objetivo individualizado que su equipo de atención había discutido con él.</w:t>
      </w:r>
    </w:p>
    <w:p>
      <w:pPr>
        <w:pStyle w:val="BodyText"/>
      </w:pPr>
      <w:r>
        <w:t xml:space="preserve">El número no revelaba qué había salido mal. Reed había dejado de tomar metformina tras síntomas gastrointestinales recurrentes. Tomaba un segundo medicamento oral la mayoría de los días, pero no de manera consistente cuando sus turnos cambiaban. Había perdido ocho libras en la primavera, recuperado cinco durante un verano de horas extra, y faltado a dos citas mientras cuidaba a su madre. Una breve prueba con un monitor continuo de glucosa había mostrado aumentos pronunciados después de comidas nocturnas, pero también dos lecturas nocturnas lo suficientemente bajas como para preocupar al farmacéutico de la clínica.</w:t>
      </w:r>
    </w:p>
    <w:p>
      <w:pPr>
        <w:pStyle w:val="BodyText"/>
      </w:pPr>
      <w:r>
        <w:t xml:space="preserve">Park había programado una conferencia de caso de 30 minutos con un farmacéutico clínico, un educador en diabetes, una enfermera gestora de atención, y un consejero financiero. El grupo tenía que recomendar un plan para los próximos noventa días. Las opciones incluían ajustar medicamentos, añadir una terapia inyectable, prescribir monitoreo de glucosa a más largo plazo, intensificar el apoyo nutricional y de ejercicio, organizar contacto más frecuente, o simplificar el plan. Cada opción imponía diferentes costos y cargas sobre Reed y la clínica. Ninguna garantizaba que el plan resultante se seguiría—ni que su cuerpo respondería como se esperaba.</w:t>
      </w:r>
    </w:p>
    <w:bookmarkEnd w:id="9"/>
    <w:bookmarkStart w:id="11" w:name="una-condición-grande-y-costosa"/>
    <w:p>
      <w:pPr>
        <w:pStyle w:val="Heading1"/>
      </w:pPr>
      <w:r>
        <w:t xml:space="preserve">Una Condición Grande y Costosa</w:t>
      </w:r>
    </w:p>
    <w:p>
      <w:pPr>
        <w:pStyle w:val="FirstParagraph"/>
      </w:pPr>
      <w:r>
        <w:t xml:space="preserve">La situación de Reed era lo suficientemente común como para ser un problema nacional pero lo suficientemente personal como para resistir una solución estándar. El CDC estimó que 40.1 millones de personas en los Estados Unidos tenían diabetes diagnosticada o no diagnosticada en 2023, equivalente a aproximadamente el 12 por ciento de la población. La diabetes tipo 2 representa aproximadamente el 90 a 95 por ciento de los casos diagnosticados. Se estimó que más de una cuarta parte de los adultos con diabetes no sabían que la tenían.</w:t>
      </w:r>
    </w:p>
    <w:p>
      <w:pPr>
        <w:pStyle w:val="BodyText"/>
      </w:pPr>
      <w:r>
        <w:t xml:space="preserve">La carga financiera también era sustancial. Las estimaciones federales situaron el costo total de la diabetes en cientos de miles de millones de dólares anualmente a través de gasto médico directo y productividad reducida. Las personas con diabetes incurren en costos médicos más del doble que las personas sin la condición. Sin embargo, muchos de los resultados más consecuentes—insuficiencia renal, enfermedad cardiovascular, pérdida de visión, neuropatía, y amputación de miembros inferiores—se desarrollan a lo largo de años, mientras que pacientes y clínicos toman decisiones cada día.</w:t>
      </w:r>
    </w:p>
    <w:bookmarkStart w:id="10" w:name="X460f9e3bce162507f35cc0bd22bb266b38e5aa8"/>
    <w:p>
      <w:pPr>
        <w:pStyle w:val="Heading2"/>
      </w:pPr>
      <w:r>
        <w:t xml:space="preserve">Exhibición 1. Marcus Reed: Perfil Clínico y Personal Actual</w:t>
      </w:r>
    </w:p>
    <w:tbl>
      <w:tblPr>
        <w:tblStyle w:val="Table"/>
        <w:tblW w:type="pct" w:w="4900"/>
        <w:tblLayout w:type="fixed"/>
        <w:tblLook w:firstRow="1" w:lastRow="0" w:firstColumn="0" w:lastColumn="0" w:noHBand="0" w:noVBand="0" w:val="0020"/>
      </w:tblPr>
      <w:tblGrid>
        <w:gridCol w:w="2296"/>
        <w:gridCol w:w="3009"/>
        <w:gridCol w:w="2455"/>
      </w:tblGrid>
      <w:tr>
        <w:trPr>
          <w:tblHeader w:val="on"/>
        </w:trPr>
        <w:tc>
          <w:tcPr/>
          <w:p>
            <w:pPr>
              <w:pStyle w:val="Compact"/>
              <w:jc w:val="left"/>
            </w:pPr>
            <w:r>
              <w:t xml:space="preserve">Indicador</w:t>
            </w:r>
          </w:p>
        </w:tc>
        <w:tc>
          <w:tcPr/>
          <w:p>
            <w:pPr>
              <w:pStyle w:val="Compact"/>
              <w:jc w:val="left"/>
            </w:pPr>
            <w:r>
              <w:t xml:space="preserve">Información actual</w:t>
            </w:r>
          </w:p>
        </w:tc>
        <w:tc>
          <w:tcPr/>
          <w:p>
            <w:pPr>
              <w:pStyle w:val="Compact"/>
              <w:jc w:val="left"/>
            </w:pPr>
            <w:r>
              <w:t xml:space="preserve">Punto previo / de referencia</w:t>
            </w:r>
          </w:p>
        </w:tc>
      </w:tr>
      <w:tr>
        <w:tc>
          <w:tcPr/>
          <w:p>
            <w:pPr>
              <w:pStyle w:val="Compact"/>
              <w:jc w:val="left"/>
            </w:pPr>
            <w:r>
              <w:t xml:space="preserve">Hemoglobina A1c</w:t>
            </w:r>
          </w:p>
        </w:tc>
        <w:tc>
          <w:tcPr/>
          <w:p>
            <w:pPr>
              <w:pStyle w:val="Compact"/>
              <w:jc w:val="left"/>
            </w:pPr>
            <w:r>
              <w:t xml:space="preserve">9.2%</w:t>
            </w:r>
          </w:p>
        </w:tc>
        <w:tc>
          <w:tcPr/>
          <w:p>
            <w:pPr>
              <w:pStyle w:val="Compact"/>
              <w:jc w:val="left"/>
            </w:pPr>
            <w:r>
              <w:t xml:space="preserve">8.4% seis meses antes</w:t>
            </w:r>
          </w:p>
        </w:tc>
      </w:tr>
      <w:tr>
        <w:tc>
          <w:tcPr/>
          <w:p>
            <w:pPr>
              <w:pStyle w:val="Compact"/>
              <w:jc w:val="left"/>
            </w:pPr>
            <w:r>
              <w:t xml:space="preserve">Glucosa en ayunas de laborato</w:t>
            </w:r>
          </w:p>
        </w:tc>
        <w:tc>
          <w:tcPr/>
          <w:p>
            <w:pPr>
              <w:pStyle w:val="Compact"/>
              <w:jc w:val="left"/>
            </w:pPr>
            <w:r>
              <w:t xml:space="preserve">rio 186 mg/dL</w:t>
            </w:r>
          </w:p>
        </w:tc>
        <w:tc>
          <w:tcPr/>
          <w:p>
            <w:pPr>
              <w:pStyle w:val="Compact"/>
              <w:jc w:val="left"/>
            </w:pPr>
            <w:r>
              <w:t xml:space="preserve">154 mg/dL seis meses antes</w:t>
            </w:r>
          </w:p>
        </w:tc>
      </w:tr>
      <w:tr>
        <w:tc>
          <w:tcPr/>
          <w:p>
            <w:pPr>
              <w:pStyle w:val="Compact"/>
              <w:jc w:val="left"/>
            </w:pPr>
            <w:r>
              <w:t xml:space="preserve">Presión arterial</w:t>
            </w:r>
          </w:p>
        </w:tc>
        <w:tc>
          <w:tcPr/>
          <w:p>
            <w:pPr>
              <w:pStyle w:val="Compact"/>
              <w:jc w:val="left"/>
            </w:pPr>
            <w:r>
              <w:t xml:space="preserve">142/86 mm Hg</w:t>
            </w:r>
          </w:p>
        </w:tc>
        <w:tc>
          <w:tcPr/>
          <w:p>
            <w:pPr>
              <w:pStyle w:val="Compact"/>
              <w:jc w:val="left"/>
            </w:pPr>
            <w:r>
              <w:t xml:space="preserve">Usualmente 134–140 / 80–86</w:t>
            </w:r>
          </w:p>
        </w:tc>
      </w:tr>
      <w:tr>
        <w:tc>
          <w:tcPr/>
          <w:p>
            <w:pPr>
              <w:pStyle w:val="Compact"/>
              <w:jc w:val="left"/>
            </w:pPr>
            <w:r>
              <w:t xml:space="preserve">Peso</w:t>
            </w:r>
          </w:p>
        </w:tc>
        <w:tc>
          <w:tcPr/>
          <w:p>
            <w:pPr>
              <w:pStyle w:val="Compact"/>
              <w:jc w:val="left"/>
            </w:pPr>
            <w:r>
              <w:t xml:space="preserve">226 lb</w:t>
            </w:r>
          </w:p>
        </w:tc>
        <w:tc>
          <w:tcPr/>
          <w:p>
            <w:pPr>
              <w:pStyle w:val="Compact"/>
              <w:jc w:val="left"/>
            </w:pPr>
            <w:r>
              <w:t xml:space="preserve">221 lb tres meses antes</w:t>
            </w:r>
          </w:p>
        </w:tc>
      </w:tr>
      <w:tr>
        <w:tc>
          <w:tcPr/>
          <w:p>
            <w:pPr>
              <w:pStyle w:val="Compact"/>
              <w:jc w:val="left"/>
            </w:pPr>
            <w:r>
              <w:t xml:space="preserve">Función renal</w:t>
            </w:r>
          </w:p>
        </w:tc>
        <w:tc>
          <w:tcPr/>
          <w:p>
            <w:pPr>
              <w:pStyle w:val="Compact"/>
              <w:jc w:val="left"/>
            </w:pPr>
            <w:r>
              <w:t xml:space="preserve">Declive leve; estable en repetición</w:t>
            </w:r>
          </w:p>
        </w:tc>
        <w:tc>
          <w:tcPr/>
          <w:p>
            <w:pPr>
              <w:pStyle w:val="Compact"/>
              <w:jc w:val="left"/>
            </w:pPr>
            <w:r>
              <w:t xml:space="preserve">Normal dos años antes</w:t>
            </w:r>
          </w:p>
        </w:tc>
      </w:tr>
      <w:tr>
        <w:tc>
          <w:tcPr/>
          <w:p>
            <w:pPr>
              <w:pStyle w:val="Compact"/>
              <w:jc w:val="left"/>
            </w:pPr>
            <w:r>
              <w:t xml:space="preserve">Examen de ojos</w:t>
            </w:r>
          </w:p>
        </w:tc>
        <w:tc>
          <w:tcPr/>
          <w:p>
            <w:pPr>
              <w:pStyle w:val="Compact"/>
              <w:jc w:val="left"/>
            </w:pPr>
            <w:r>
              <w:t xml:space="preserve">Vencido por 14 meses</w:t>
            </w:r>
          </w:p>
        </w:tc>
        <w:tc>
          <w:tcPr/>
          <w:p>
            <w:pPr>
              <w:pStyle w:val="Compact"/>
              <w:jc w:val="left"/>
            </w:pPr>
            <w:r>
              <w:t xml:space="preserve">Sin retinopatía en último examen</w:t>
            </w:r>
          </w:p>
        </w:tc>
      </w:tr>
      <w:tr>
        <w:tc>
          <w:tcPr/>
          <w:p>
            <w:pPr>
              <w:pStyle w:val="Compact"/>
              <w:jc w:val="left"/>
            </w:pPr>
            <w:r>
              <w:t xml:space="preserve">Síntomas en los pies</w:t>
            </w:r>
          </w:p>
        </w:tc>
        <w:tc>
          <w:tcPr/>
          <w:p>
            <w:pPr>
              <w:pStyle w:val="Compact"/>
              <w:jc w:val="left"/>
            </w:pPr>
            <w:r>
              <w:t xml:space="preserve">Entumecimiento intermitente</w:t>
            </w:r>
          </w:p>
        </w:tc>
        <w:tc>
          <w:tcPr/>
          <w:p>
            <w:pPr>
              <w:pStyle w:val="Compact"/>
              <w:jc w:val="left"/>
            </w:pPr>
            <w:r>
              <w:t xml:space="preserve">Reportado dos veces en el último año</w:t>
            </w:r>
          </w:p>
        </w:tc>
      </w:tr>
      <w:tr>
        <w:tc>
          <w:tcPr/>
          <w:p>
            <w:pPr>
              <w:pStyle w:val="Compact"/>
              <w:jc w:val="left"/>
            </w:pPr>
            <w:r>
              <w:t xml:space="preserve">Patrón de trabajo</w:t>
            </w:r>
          </w:p>
        </w:tc>
        <w:tc>
          <w:tcPr/>
          <w:p>
            <w:pPr>
              <w:pStyle w:val="Compact"/>
              <w:jc w:val="left"/>
            </w:pPr>
            <w:r>
              <w:t xml:space="preserve">Turnos rotativos de día/noche</w:t>
            </w:r>
          </w:p>
        </w:tc>
        <w:tc>
          <w:tcPr/>
          <w:p>
            <w:pPr>
              <w:pStyle w:val="Compact"/>
              <w:jc w:val="left"/>
            </w:pPr>
            <w:r>
              <w:t xml:space="preserve">El horario cambia semanalmente</w:t>
            </w:r>
          </w:p>
        </w:tc>
      </w:tr>
      <w:tr>
        <w:tc>
          <w:tcPr/>
          <w:p>
            <w:pPr>
              <w:pStyle w:val="Compact"/>
              <w:jc w:val="left"/>
            </w:pPr>
            <w:r>
              <w:t xml:space="preserve">Cobertura de medicamentos</w:t>
            </w:r>
          </w:p>
        </w:tc>
        <w:tc>
          <w:tcPr/>
          <w:p>
            <w:pPr>
              <w:pStyle w:val="Compact"/>
              <w:jc w:val="left"/>
            </w:pPr>
            <w:r>
              <w:t xml:space="preserve">Deducible anual de $2,000</w:t>
            </w:r>
          </w:p>
        </w:tc>
        <w:tc>
          <w:tcPr/>
          <w:p>
            <w:pPr>
              <w:pStyle w:val="Compact"/>
              <w:jc w:val="left"/>
            </w:pPr>
            <w:r>
              <w:t xml:space="preserve">El deducible se reinicia el 1 de enero</w:t>
            </w:r>
          </w:p>
        </w:tc>
      </w:tr>
    </w:tbl>
    <w:p>
      <w:pPr>
        <w:pStyle w:val="BodyText"/>
      </w:pPr>
      <w:r>
        <w:t xml:space="preserve">Park era reacia a interpretar el aumento de la A1c como un simple fracaso de esfuerzo. Este resumía aproximadamente dos a tres meses de exposición a glucosa pero no mostraba cuándo los niveles de Reed eran altos o bajos. Las lecturas de punción digital eran escasas y agrupadas antes de las citas. La prueba del monitor cubrió solo catorce días, incluyendo una semana en que Reed trabajó de noche y una en que estuvo de vacaciones.</w:t>
      </w:r>
    </w:p>
    <w:bookmarkEnd w:id="10"/>
    <w:bookmarkEnd w:id="11"/>
    <w:bookmarkStart w:id="13" w:name="lo-que-el-monitor-revelóy-ocultó"/>
    <w:p>
      <w:pPr>
        <w:pStyle w:val="Heading1"/>
      </w:pPr>
      <w:r>
        <w:t xml:space="preserve">Lo que el Monitor Reveló—y Ocultó</w:t>
      </w:r>
    </w:p>
    <w:p>
      <w:pPr>
        <w:pStyle w:val="FirstParagraph"/>
      </w:pPr>
      <w:r>
        <w:t xml:space="preserve">El monitor continuo había producido más de 1,300 lecturas. El promedio de glucosa de Reed era alto, pero los patrones diarios variaban ampliamente. En los turnos diurnos, el desayuno y el almuerzo eran relativamente predecibles. En los turnos nocturnos, a veces comía una comida grande cerca de la medianoche, se saltaba el desayuno, y dormía hasta primeras horas de la tarde. El ejercicio dependía de si pasaba el día supervisando o reparando equipo él mismo.</w:t>
      </w:r>
    </w:p>
    <w:bookmarkStart w:id="12" w:name="X8fe21e34d1145be3d5bdaa92c3d0556bc497de0"/>
    <w:p>
      <w:pPr>
        <w:pStyle w:val="Heading2"/>
      </w:pPr>
      <w:r>
        <w:t xml:space="preserve">Exhibición 2. Resumen del Monitor de Glucosa de Catorce Días</w:t>
      </w:r>
    </w:p>
    <w:tbl>
      <w:tblPr>
        <w:tblStyle w:val="Table"/>
        <w:tblW w:type="pct" w:w="4896"/>
        <w:tblLayout w:type="fixed"/>
        <w:tblLook w:firstRow="1" w:lastRow="0" w:firstColumn="0" w:lastColumn="0" w:noHBand="0" w:noVBand="0" w:val="0020"/>
      </w:tblPr>
      <w:tblGrid>
        <w:gridCol w:w="2227"/>
        <w:gridCol w:w="1485"/>
        <w:gridCol w:w="4042"/>
      </w:tblGrid>
      <w:tr>
        <w:trPr>
          <w:tblHeader w:val="on"/>
        </w:trPr>
        <w:tc>
          <w:tcPr/>
          <w:p>
            <w:pPr>
              <w:pStyle w:val="Compact"/>
            </w:pPr>
            <w:r>
              <w:t xml:space="preserve">Medida R</w:t>
            </w:r>
          </w:p>
        </w:tc>
        <w:tc>
          <w:tcPr/>
          <w:p>
            <w:pPr>
              <w:pStyle w:val="Compact"/>
            </w:pPr>
            <w:r>
              <w:t xml:space="preserve">esultado observado</w:t>
            </w:r>
          </w:p>
        </w:tc>
        <w:tc>
          <w:tcPr/>
          <w:p>
            <w:pPr>
              <w:pStyle w:val="Compact"/>
              <w:jc w:val="center"/>
            </w:pPr>
            <w:r>
              <w:t xml:space="preserve">Patrón notado por el equipo</w:t>
            </w:r>
          </w:p>
        </w:tc>
      </w:tr>
      <w:tr>
        <w:tc>
          <w:tcPr/>
          <w:p>
            <w:pPr>
              <w:pStyle w:val="Compact"/>
            </w:pPr>
            <w:r>
              <w:t xml:space="preserve">Glucosa promedio</w:t>
            </w:r>
          </w:p>
        </w:tc>
        <w:tc>
          <w:tcPr/>
          <w:p>
            <w:pPr>
              <w:pStyle w:val="Compact"/>
            </w:pPr>
            <w:r>
              <w:t xml:space="preserve">204 mg/dL</w:t>
            </w:r>
          </w:p>
        </w:tc>
        <w:tc>
          <w:tcPr/>
          <w:p>
            <w:pPr>
              <w:pStyle w:val="Compact"/>
              <w:jc w:val="center"/>
            </w:pPr>
            <w:r>
              <w:t xml:space="preserve">Más alta en días de turno nocturno</w:t>
            </w:r>
          </w:p>
        </w:tc>
      </w:tr>
      <w:tr>
        <w:tc>
          <w:tcPr/>
          <w:p>
            <w:pPr>
              <w:pStyle w:val="Compact"/>
            </w:pPr>
            <w:r>
              <w:t xml:space="preserve">Tiempo 70–180 mg/dL</w:t>
            </w:r>
          </w:p>
        </w:tc>
        <w:tc>
          <w:tcPr/>
          <w:p>
            <w:pPr>
              <w:pStyle w:val="Compact"/>
            </w:pPr>
            <w:r>
              <w:t xml:space="preserve">38%</w:t>
            </w:r>
          </w:p>
        </w:tc>
        <w:tc>
          <w:tcPr/>
          <w:p>
            <w:pPr>
              <w:pStyle w:val="Compact"/>
              <w:jc w:val="center"/>
            </w:pPr>
            <w:r>
              <w:t xml:space="preserve">Mejor en fines de semana con comidas regulares</w:t>
            </w:r>
          </w:p>
        </w:tc>
      </w:tr>
      <w:tr>
        <w:tc>
          <w:tcPr/>
          <w:p>
            <w:pPr>
              <w:pStyle w:val="Compact"/>
            </w:pPr>
            <w:r>
              <w:t xml:space="preserve">Tiempo por encima de 180 mg</w:t>
            </w:r>
          </w:p>
        </w:tc>
        <w:tc>
          <w:tcPr/>
          <w:p>
            <w:pPr>
              <w:pStyle w:val="Compact"/>
            </w:pPr>
            <w:r>
              <w:t xml:space="preserve">/dL 59%</w:t>
            </w:r>
          </w:p>
        </w:tc>
        <w:tc>
          <w:tcPr/>
          <w:p>
            <w:pPr>
              <w:pStyle w:val="Compact"/>
              <w:jc w:val="center"/>
            </w:pPr>
            <w:r>
              <w:t xml:space="preserve">Concentrado después de comidas de tarde / noche</w:t>
            </w:r>
          </w:p>
        </w:tc>
      </w:tr>
      <w:tr>
        <w:tc>
          <w:tcPr/>
          <w:p>
            <w:pPr>
              <w:pStyle w:val="Compact"/>
            </w:pPr>
            <w:r>
              <w:t xml:space="preserve">Tiempo por debajo de 70 mg/</w:t>
            </w:r>
          </w:p>
        </w:tc>
        <w:tc>
          <w:tcPr/>
          <w:p>
            <w:pPr>
              <w:pStyle w:val="Compact"/>
            </w:pPr>
            <w:r>
              <w:t xml:space="preserve">dL 3%</w:t>
            </w:r>
          </w:p>
        </w:tc>
        <w:tc>
          <w:tcPr/>
          <w:p>
            <w:pPr>
              <w:pStyle w:val="Compact"/>
              <w:jc w:val="center"/>
            </w:pPr>
            <w:r>
              <w:t xml:space="preserve">Dos episodios nocturnos</w:t>
            </w:r>
          </w:p>
        </w:tc>
      </w:tr>
      <w:tr>
        <w:tc>
          <w:tcPr/>
          <w:p>
            <w:pPr>
              <w:pStyle w:val="Compact"/>
            </w:pPr>
            <w:r>
              <w:t xml:space="preserve">Equivalente de A1c estimado</w:t>
            </w:r>
          </w:p>
        </w:tc>
        <w:tc>
          <w:tcPr/>
          <w:p>
            <w:pPr>
              <w:pStyle w:val="Compact"/>
            </w:pPr>
            <w:r>
              <w:t xml:space="preserve">8.7%</w:t>
            </w:r>
          </w:p>
        </w:tc>
        <w:tc>
          <w:tcPr/>
          <w:p>
            <w:pPr>
              <w:pStyle w:val="Compact"/>
              <w:jc w:val="center"/>
            </w:pPr>
            <w:r>
              <w:t xml:space="preserve">Más bajo que la A1c de laboratorio</w:t>
            </w:r>
          </w:p>
        </w:tc>
      </w:tr>
      <w:tr>
        <w:tc>
          <w:tcPr/>
          <w:p>
            <w:pPr>
              <w:pStyle w:val="Compact"/>
            </w:pPr>
            <w:r>
              <w:t xml:space="preserve">Variabilidad diaria</w:t>
            </w:r>
          </w:p>
        </w:tc>
        <w:tc>
          <w:tcPr/>
          <w:p>
            <w:pPr>
              <w:pStyle w:val="Compact"/>
            </w:pPr>
            <w:r>
              <w:t xml:space="preserve">Alta</w:t>
            </w:r>
          </w:p>
        </w:tc>
        <w:tc>
          <w:tcPr/>
          <w:p>
            <w:pPr>
              <w:pStyle w:val="Compact"/>
              <w:jc w:val="center"/>
            </w:pPr>
            <w:r>
              <w:t xml:space="preserve">Cambiaron tanto el horario de comidas como el de medicación</w:t>
            </w:r>
          </w:p>
        </w:tc>
      </w:tr>
    </w:tbl>
    <w:p>
      <w:pPr>
        <w:pStyle w:val="BodyText"/>
      </w:pPr>
      <w:r>
        <w:t xml:space="preserve">El farmacéutico vio evidencia de que el medicamento actual podría contribuir a bajas nocturnas cuando Reed se saltaba comidas. La educadora vio un problema de horario de comidas. Park vio evidencia de que podría necesitarse un fármaco más eficaz. Reed vio un dispositivo que sonaba durante reuniones, se aflojaba cuando sudaba, y lo hacía sentir ansioso cada vez que la gráfica se movía bruscamente.</w:t>
      </w:r>
    </w:p>
    <w:p>
      <w:pPr>
        <w:pStyle w:val="BodyText"/>
      </w:pPr>
      <w:r>
        <w:t xml:space="preserve">El monitor también generó preguntas sobre la observación en sí misma. Reed reportó cambiar lo que comía porque sabía que el dispositivo estaba registrando. Si el monitoreo mejoraba su comportamiento, este podría ser parte del tratamiento. Si simplemente produjo dos semanas inusualmente disciplinadas, sus pronósticos de control futuro podrían ser engañosos.</w:t>
      </w:r>
    </w:p>
    <w:bookmarkEnd w:id="12"/>
    <w:bookmarkEnd w:id="13"/>
    <w:bookmarkStart w:id="15" w:name="el-camino-de-tratamiento-hasta-ahora"/>
    <w:p>
      <w:pPr>
        <w:pStyle w:val="Heading1"/>
      </w:pPr>
      <w:r>
        <w:t xml:space="preserve">El Camino de Tratamiento Hasta Ahora</w:t>
      </w:r>
    </w:p>
    <w:p>
      <w:pPr>
        <w:pStyle w:val="FirstParagraph"/>
      </w:pPr>
      <w:r>
        <w:t xml:space="preserve">Cuando a Reed se le diagnosticó, su A1c disminuyó después de que cambiara su dieta, caminara regularmente, y comenzara con metformina. Con el tiempo, los beneficios se debilitaron. Aumentar la dosis causó problemas estomacales. Una dosis menor era tolerable pero parecía insuficiente. Un segundo fármaco oral mejoró las lecturas pero introdujo una mayor preocupación por la glucosa baja cuando las comidas se retrasaban. Reed se resistía a las inyecciones, en parte porque las asociaba con la diabetes severa que había experimentado su padre.</w:t>
      </w:r>
    </w:p>
    <w:p>
      <w:pPr>
        <w:pStyle w:val="BodyText"/>
      </w:pPr>
      <w:r>
        <w:t xml:space="preserve">Los clínicos de Lakeside tenían varios caminos amplios de tratamiento disponibles. Los medicamentos más nuevos podían mejorar los niveles de glucosa y a veces ayudar con el peso o el riesgo cardiovascular, pero la aprobación del seguro y el gasto de bolsillo variaban. La insulina podía reducir la glucosa de manera confiable cuando se tomaba y ajustaba adecuadamente, pero requería educación, monitoreo, y atención al riesgo de glucosa baja. La tecnología podía revelar patrones, pero solo si Reed la usaba y el equipo de atención tenía tiempo para interpretar los datos.</w:t>
      </w:r>
    </w:p>
    <w:bookmarkStart w:id="14" w:name="X853e2636ed312aa54c5f3a39d275ef1010a9b77"/>
    <w:p>
      <w:pPr>
        <w:pStyle w:val="Heading2"/>
      </w:pPr>
      <w:r>
        <w:t xml:space="preserve">Exhibición 3. Estimaciones de Planificación para Enfoques Seleccionados</w:t>
      </w:r>
    </w:p>
    <w:tbl>
      <w:tblPr>
        <w:tblStyle w:val="Table"/>
        <w:tblW w:type="pct" w:w="4928"/>
        <w:tblLayout w:type="fixed"/>
        <w:tblLook w:firstRow="1" w:lastRow="0" w:firstColumn="0" w:lastColumn="0" w:noHBand="0" w:noVBand="0" w:val="0020"/>
      </w:tblPr>
      <w:tblGrid>
        <w:gridCol w:w="2180"/>
        <w:gridCol w:w="1549"/>
        <w:gridCol w:w="2008"/>
        <w:gridCol w:w="2066"/>
      </w:tblGrid>
      <w:tr>
        <w:trPr>
          <w:tblHeader w:val="on"/>
        </w:trPr>
        <w:tc>
          <w:tcPr/>
          <w:p>
            <w:pPr>
              <w:pStyle w:val="Compact"/>
            </w:pPr>
            <w:r>
              <w:t xml:space="preserve">Enfoque C</w:t>
            </w:r>
          </w:p>
        </w:tc>
        <w:tc>
          <w:tcPr/>
          <w:p>
            <w:pPr>
              <w:pStyle w:val="Compact"/>
            </w:pPr>
            <w:r>
              <w:t xml:space="preserve">osto estimado del paciente\</w:t>
            </w:r>
          </w:p>
        </w:tc>
        <w:tc>
          <w:tcPr/>
          <w:p>
            <w:pPr>
              <w:pStyle w:val="Compact"/>
            </w:pPr>
            <w:r>
              <w:t xml:space="preserve">* Esfuerzo de la clínica en los p</w:t>
            </w:r>
          </w:p>
        </w:tc>
        <w:tc>
          <w:tcPr/>
          <w:p>
            <w:pPr>
              <w:pStyle w:val="Compact"/>
            </w:pPr>
            <w:r>
              <w:t xml:space="preserve">rimeros 90 días Preocupación principal</w:t>
            </w:r>
          </w:p>
        </w:tc>
      </w:tr>
      <w:tr>
        <w:tc>
          <w:tcPr/>
          <w:p>
            <w:pPr>
              <w:pStyle w:val="Compact"/>
            </w:pPr>
            <w:r>
              <w:t xml:space="preserve">Simplificar régimen oral</w:t>
            </w:r>
          </w:p>
        </w:tc>
        <w:tc>
          <w:tcPr/>
          <w:p>
            <w:pPr>
              <w:pStyle w:val="Compact"/>
            </w:pPr>
            <w:r>
              <w:t xml:space="preserve">$15–$55/mes</w:t>
            </w:r>
          </w:p>
        </w:tc>
        <w:tc>
          <w:tcPr/>
          <w:p>
            <w:pPr>
              <w:pStyle w:val="Compact"/>
            </w:pPr>
            <w:r>
              <w:t xml:space="preserve">2 visitas + seguimiento telefónico</w:t>
            </w:r>
          </w:p>
        </w:tc>
        <w:tc>
          <w:tcPr/>
          <w:p>
            <w:pPr>
              <w:pStyle w:val="Compact"/>
            </w:pPr>
            <w:r>
              <w:t xml:space="preserve">Puede no bajar la glucosa lo suficiente</w:t>
            </w:r>
          </w:p>
        </w:tc>
      </w:tr>
      <w:tr>
        <w:tc>
          <w:tcPr/>
          <w:p>
            <w:pPr>
              <w:pStyle w:val="Compact"/>
            </w:pPr>
            <w:r>
              <w:t xml:space="preserve">Añadir inyectable semanal más nuevo</w:t>
            </w:r>
          </w:p>
        </w:tc>
        <w:tc>
          <w:tcPr/>
          <w:p>
            <w:pPr>
              <w:pStyle w:val="Compact"/>
            </w:pPr>
            <w:r>
              <w:t xml:space="preserve">$90–$550/</w:t>
            </w:r>
          </w:p>
        </w:tc>
        <w:tc>
          <w:tcPr/>
          <w:p>
            <w:pPr>
              <w:pStyle w:val="Compact"/>
            </w:pPr>
            <w:r>
              <w:t xml:space="preserve">mes Autorización previa +</w:t>
            </w:r>
          </w:p>
        </w:tc>
        <w:tc>
          <w:tcPr/>
          <w:p>
            <w:pPr>
              <w:pStyle w:val="Compact"/>
            </w:pPr>
            <w:r>
              <w:t xml:space="preserve">3 contactos Costo, tolerancia, disponibilidad</w:t>
            </w:r>
          </w:p>
        </w:tc>
      </w:tr>
      <w:tr>
        <w:tc>
          <w:tcPr/>
          <w:p>
            <w:pPr>
              <w:pStyle w:val="Compact"/>
            </w:pPr>
            <w:r>
              <w:t xml:space="preserve">Comenzar insulina basal</w:t>
            </w:r>
          </w:p>
        </w:tc>
        <w:tc>
          <w:tcPr/>
          <w:p>
            <w:pPr>
              <w:pStyle w:val="Compact"/>
            </w:pPr>
            <w:r>
              <w:t xml:space="preserve">$35–$140/mes</w:t>
            </w:r>
          </w:p>
        </w:tc>
        <w:tc>
          <w:tcPr/>
          <w:p>
            <w:pPr>
              <w:pStyle w:val="Compact"/>
            </w:pPr>
            <w:r>
              <w:t xml:space="preserve">Capacitación + revisión frecuente</w:t>
            </w:r>
          </w:p>
        </w:tc>
        <w:tc>
          <w:tcPr/>
          <w:p>
            <w:pPr>
              <w:pStyle w:val="Compact"/>
            </w:pPr>
            <w:r>
              <w:t xml:space="preserve">de dosis Glucosa baja; resistencia a inyecciones</w:t>
            </w:r>
          </w:p>
        </w:tc>
      </w:tr>
      <w:tr>
        <w:tc>
          <w:tcPr/>
          <w:p>
            <w:pPr>
              <w:pStyle w:val="Compact"/>
            </w:pPr>
            <w:r>
              <w:t xml:space="preserve">Continuar CGM por 90 días</w:t>
            </w:r>
          </w:p>
        </w:tc>
        <w:tc>
          <w:tcPr/>
          <w:p>
            <w:pPr>
              <w:pStyle w:val="Compact"/>
            </w:pPr>
            <w:r>
              <w:t xml:space="preserve">$0–$180/mes</w:t>
            </w:r>
          </w:p>
        </w:tc>
        <w:tc>
          <w:tcPr/>
          <w:p>
            <w:pPr>
              <w:pStyle w:val="Compact"/>
            </w:pPr>
            <w:r>
              <w:t xml:space="preserve">Revisión de datos cada 2–4 semana</w:t>
            </w:r>
          </w:p>
        </w:tc>
        <w:tc>
          <w:tcPr/>
          <w:p>
            <w:pPr>
              <w:pStyle w:val="Compact"/>
            </w:pPr>
            <w:r>
              <w:t xml:space="preserve">s Cobertura y uso sostenido</w:t>
            </w:r>
          </w:p>
        </w:tc>
      </w:tr>
      <w:tr>
        <w:tc>
          <w:tcPr/>
          <w:p>
            <w:pPr>
              <w:pStyle w:val="Compact"/>
            </w:pPr>
            <w:r>
              <w:t xml:space="preserve">Apoyo intensivo de estilo de vida</w:t>
            </w:r>
          </w:p>
        </w:tc>
        <w:tc>
          <w:tcPr/>
          <w:p>
            <w:pPr>
              <w:pStyle w:val="Compact"/>
            </w:pPr>
            <w:r>
              <w:t xml:space="preserve">$0–$350 total</w:t>
            </w:r>
          </w:p>
        </w:tc>
        <w:tc>
          <w:tcPr/>
          <w:p>
            <w:pPr>
              <w:pStyle w:val="Compact"/>
            </w:pPr>
            <w:r>
              <w:t xml:space="preserve">Dietista + educador + coach</w:t>
            </w:r>
          </w:p>
        </w:tc>
        <w:tc>
          <w:tcPr/>
          <w:p>
            <w:pPr>
              <w:pStyle w:val="Compact"/>
            </w:pPr>
            <w:r>
              <w:t xml:space="preserve">ing Asistencia y horario de trabajo</w:t>
            </w:r>
          </w:p>
        </w:tc>
      </w:tr>
      <w:tr>
        <w:tc>
          <w:tcPr/>
          <w:p>
            <w:pPr>
              <w:pStyle w:val="Compact"/>
            </w:pPr>
            <w:r>
              <w:t xml:space="preserve">Plan combinado de medicación/tecnologí</w:t>
            </w:r>
          </w:p>
        </w:tc>
        <w:tc>
          <w:tcPr/>
          <w:p>
            <w:pPr>
              <w:pStyle w:val="Compact"/>
            </w:pPr>
            <w:r>
              <w:t xml:space="preserve">a $125–$700/mes</w:t>
            </w:r>
          </w:p>
        </w:tc>
        <w:tc>
          <w:tcPr/>
          <w:p>
            <w:pPr>
              <w:pStyle w:val="Compact"/>
            </w:pPr>
            <w:r>
              <w:t xml:space="preserve">Mayor coordinación inicial</w:t>
            </w:r>
          </w:p>
        </w:tc>
        <w:tc>
          <w:tcPr/>
          <w:p>
            <w:pPr>
              <w:pStyle w:val="Compact"/>
            </w:pPr>
            <w:r>
              <w:t xml:space="preserve">Complejidad y abandono</w:t>
            </w:r>
          </w:p>
        </w:tc>
      </w:tr>
    </w:tbl>
    <w:p>
      <w:pPr>
        <w:pStyle w:val="BodyText"/>
      </w:pPr>
      <w:r>
        <w:t xml:space="preserve">*Estimaciones ficticias ilustrativas después del seguro; los costos reales varían ampliamente según el plan, la elegibilidad, la farmacia y el producto.</w:t>
      </w:r>
    </w:p>
    <w:bookmarkEnd w:id="14"/>
    <w:bookmarkEnd w:id="15"/>
    <w:bookmarkStart w:id="16" w:name="X65dd9661168f15b8b1cb45e963fa4633d722b5d"/>
    <w:p>
      <w:pPr>
        <w:pStyle w:val="Heading1"/>
      </w:pPr>
      <w:r>
        <w:t xml:space="preserve">La Versión del Problema Según el Paciente</w:t>
      </w:r>
    </w:p>
    <w:p>
      <w:pPr>
        <w:pStyle w:val="FirstParagraph"/>
      </w:pPr>
      <w:r>
        <w:t xml:space="preserve">Cuando Park le preguntó a Reed qué hacía más difícil el plan, él no comenzó con la glucosa. Describió fatiga, cambios de turno, las citas de su madre, y el temor de que un nuevo medicamento crearía efectos secundarios que no podría manejar en el trabajo. Quería evitar la diálisis y la amputación, que había visto en parientes, pero esos riesgos se sentían distantes comparados con un turno perdido o una cuenta de farmacia de $400.</w:t>
      </w:r>
    </w:p>
    <w:p>
      <w:pPr>
        <w:pStyle w:val="BodyText"/>
      </w:pPr>
      <w:r>
        <w:t xml:space="preserve">Reed dijo que podía caminar después de cenar en turnos diurnos, pero no de manera segura cerca de la planta a las 2:00 a.m. La cafetería de empleados publicaba información nutricional de manera inconsistente. A veces mantenía comida cerca para prevenir la glucosa baja, y luego la comía incluso cuando la lectura no era baja porque tenía hambre. Estaba dispuesto a probar otro monitor pero no quería que sus compañeros de trabajo vieran alertas en su teléfono.</w:t>
      </w:r>
    </w:p>
    <w:p>
      <w:pPr>
        <w:pStyle w:val="BodyText"/>
      </w:pPr>
      <w:r>
        <w:t xml:space="preserve">El consejero financiero encontró que un medicamento requeriría un copago alto hasta que Reed cumpliera su deducible. Un programa de asistencia del fabricante podría reducir el costo, pero la elegibilidad tendría que renovarse y podría cambiar. El monitor podría estar cubierto porque Reed había documentado lecturas bajas, aunque la aseguradora podría solicitar evidencia de ajuste frecuente de medicación. En enero, el deducible se reiniciaría, potencialmente cambiando qué plan podría permitirse Reed justo cuando el equipo aprendiera si funcionaba.</w:t>
      </w:r>
    </w:p>
    <w:bookmarkEnd w:id="16"/>
    <w:bookmarkStart w:id="18" w:name="capacidad-en-lakeside"/>
    <w:p>
      <w:pPr>
        <w:pStyle w:val="Heading1"/>
      </w:pPr>
      <w:r>
        <w:t xml:space="preserve">Capacidad en Lakeside</w:t>
      </w:r>
    </w:p>
    <w:p>
      <w:pPr>
        <w:pStyle w:val="FirstParagraph"/>
      </w:pPr>
      <w:r>
        <w:t xml:space="preserve">Lakeside atendía a 11,800 adultos con diabetes diagnosticada en siete clínicas. Su programa de gestión de atención priorizaba a pacientes con valores altos de A1c, uso hospitalario reciente, embarazo, enfermedad renal, o dificultad para obtener medicamentos. La clínica Northgate tenía un educador compartido con dos ubicaciones y un farmacéutico disponible tres medios días por semana. La demanda de citas excedía la capacidad.</w:t>
      </w:r>
    </w:p>
    <w:p>
      <w:pPr>
        <w:pStyle w:val="BodyText"/>
      </w:pPr>
      <w:r>
        <w:t xml:space="preserve">La gestora de atención propuso chequeos semanales por mensaje de texto y revisión rápida de medicación. El director médico cuestionó si el personal debía dedicar ese nivel de atención a un paciente relativamente estable cuando otros habían visitado recientemente los servicios de urgencias. El director financiero notó que muchas actividades de coordinación estaban mal reembolsadas, aunque previnieran complicaciones costosas años después.</w:t>
      </w:r>
    </w:p>
    <w:bookmarkStart w:id="17" w:name="X6d515570cdc6dfd5fb2e015f449afe461d168f4"/>
    <w:p>
      <w:pPr>
        <w:pStyle w:val="Heading2"/>
      </w:pPr>
      <w:r>
        <w:t xml:space="preserve">Exhibición 4. Programa de Diabetes de Lakeside, Últimos 12 Meses</w:t>
      </w:r>
    </w:p>
    <w:tbl>
      <w:tblPr>
        <w:tblStyle w:val="Table"/>
        <w:tblW w:type="pct" w:w="4792"/>
        <w:tblLayout w:type="fixed"/>
        <w:tblLook w:firstRow="1" w:lastRow="0" w:firstColumn="0" w:lastColumn="0" w:noHBand="0" w:noVBand="0" w:val="0020"/>
      </w:tblPr>
      <w:tblGrid>
        <w:gridCol w:w="5170"/>
        <w:gridCol w:w="2420"/>
      </w:tblGrid>
      <w:tr>
        <w:trPr>
          <w:tblHeader w:val="on"/>
        </w:trPr>
        <w:tc>
          <w:tcPr/>
          <w:p>
            <w:pPr>
              <w:pStyle w:val="Compact"/>
              <w:jc w:val="left"/>
            </w:pPr>
            <w:r>
              <w:t xml:space="preserve">Indicador del programa</w:t>
            </w:r>
          </w:p>
        </w:tc>
        <w:tc>
          <w:tcPr/>
          <w:p>
            <w:pPr>
              <w:pStyle w:val="Compact"/>
              <w:jc w:val="center"/>
            </w:pPr>
            <w:r>
              <w:t xml:space="preserve">Resultado</w:t>
            </w:r>
          </w:p>
        </w:tc>
      </w:tr>
      <w:tr>
        <w:tc>
          <w:tcPr/>
          <w:p>
            <w:pPr>
              <w:pStyle w:val="Compact"/>
              <w:jc w:val="left"/>
            </w:pPr>
            <w:r>
              <w:t xml:space="preserve">Adultos con diabetes diagnosticada</w:t>
            </w:r>
          </w:p>
        </w:tc>
        <w:tc>
          <w:tcPr/>
          <w:p>
            <w:pPr>
              <w:pStyle w:val="Compact"/>
              <w:jc w:val="center"/>
            </w:pPr>
            <w:r>
              <w:t xml:space="preserve">11,800</w:t>
            </w:r>
          </w:p>
        </w:tc>
      </w:tr>
      <w:tr>
        <w:tc>
          <w:tcPr/>
          <w:p>
            <w:pPr>
              <w:pStyle w:val="Compact"/>
              <w:jc w:val="left"/>
            </w:pPr>
            <w:r>
              <w:t xml:space="preserve">Pacientes con la A1c más reciente ≥9%</w:t>
            </w:r>
          </w:p>
        </w:tc>
        <w:tc>
          <w:tcPr/>
          <w:p>
            <w:pPr>
              <w:pStyle w:val="Compact"/>
              <w:jc w:val="center"/>
            </w:pPr>
            <w:r>
              <w:t xml:space="preserve">2,140</w:t>
            </w:r>
          </w:p>
        </w:tc>
      </w:tr>
      <w:tr>
        <w:tc>
          <w:tcPr/>
          <w:p>
            <w:pPr>
              <w:pStyle w:val="Compact"/>
              <w:jc w:val="left"/>
            </w:pPr>
            <w:r>
              <w:t xml:space="preserve">Pacientes sin prueba de A1c en 12 meses 1,</w:t>
            </w:r>
          </w:p>
        </w:tc>
        <w:tc>
          <w:tcPr/>
          <w:p>
            <w:pPr>
              <w:pStyle w:val="Compact"/>
              <w:jc w:val="center"/>
            </w:pPr>
            <w:r>
              <w:t xml:space="preserve">330</w:t>
            </w:r>
          </w:p>
        </w:tc>
      </w:tr>
      <w:tr>
        <w:tc>
          <w:tcPr/>
          <w:p>
            <w:pPr>
              <w:pStyle w:val="Compact"/>
              <w:jc w:val="left"/>
            </w:pPr>
            <w:r>
              <w:t xml:space="preserve">Pacientes con retraso en el examen de retina</w:t>
            </w:r>
          </w:p>
        </w:tc>
        <w:tc>
          <w:tcPr/>
          <w:p>
            <w:pPr>
              <w:pStyle w:val="Compact"/>
              <w:jc w:val="center"/>
            </w:pPr>
            <w:r>
              <w:t xml:space="preserve">3,420</w:t>
            </w:r>
          </w:p>
        </w:tc>
      </w:tr>
      <w:tr>
        <w:tc>
          <w:tcPr/>
          <w:p>
            <w:pPr>
              <w:pStyle w:val="Compact"/>
              <w:jc w:val="left"/>
            </w:pPr>
            <w:r>
              <w:t xml:space="preserve">Visitas de urgencia relacionadas con diabetes</w:t>
            </w:r>
          </w:p>
        </w:tc>
        <w:tc>
          <w:tcPr/>
          <w:p>
            <w:pPr>
              <w:pStyle w:val="Compact"/>
              <w:jc w:val="center"/>
            </w:pPr>
            <w:r>
              <w:t xml:space="preserve">684</w:t>
            </w:r>
          </w:p>
        </w:tc>
      </w:tr>
      <w:tr>
        <w:tc>
          <w:tcPr/>
          <w:p>
            <w:pPr>
              <w:pStyle w:val="Compact"/>
              <w:jc w:val="left"/>
            </w:pPr>
            <w:r>
              <w:t xml:space="preserve">Citas completadas con educador 3,760</w:t>
            </w:r>
          </w:p>
        </w:tc>
        <w:tc>
          <w:tcPr/>
          <w:p>
            <w:pPr>
              <w:pStyle w:val="Compact"/>
            </w:pPr>
          </w:p>
        </w:tc>
      </w:tr>
      <w:tr>
        <w:tc>
          <w:tcPr/>
          <w:p>
            <w:pPr>
              <w:pStyle w:val="Compact"/>
              <w:jc w:val="left"/>
            </w:pPr>
            <w:r>
              <w:t xml:space="preserve">Tasa de inasistencia / cancelación tardía del e</w:t>
            </w:r>
          </w:p>
        </w:tc>
        <w:tc>
          <w:tcPr/>
          <w:p>
            <w:pPr>
              <w:pStyle w:val="Compact"/>
              <w:jc w:val="center"/>
            </w:pPr>
            <w:r>
              <w:t xml:space="preserve">ducador 24%</w:t>
            </w:r>
          </w:p>
        </w:tc>
      </w:tr>
      <w:tr>
        <w:tc>
          <w:tcPr/>
          <w:p>
            <w:pPr>
              <w:pStyle w:val="Compact"/>
              <w:jc w:val="left"/>
            </w:pPr>
            <w:r>
              <w:t xml:space="preserve">Carga promedio de casos del farmacéutico</w:t>
            </w:r>
          </w:p>
        </w:tc>
        <w:tc>
          <w:tcPr/>
          <w:p>
            <w:pPr>
              <w:pStyle w:val="Compact"/>
              <w:jc w:val="center"/>
            </w:pPr>
            <w:r>
              <w:t xml:space="preserve">286 pacientes activos</w:t>
            </w:r>
          </w:p>
        </w:tc>
      </w:tr>
      <w:tr>
        <w:tc>
          <w:tcPr/>
          <w:p>
            <w:pPr>
              <w:pStyle w:val="Compact"/>
              <w:jc w:val="left"/>
            </w:pPr>
            <w:r>
              <w:t xml:space="preserve">Gasto no reembolsado de gestión de atención</w:t>
            </w:r>
          </w:p>
        </w:tc>
        <w:tc>
          <w:tcPr/>
          <w:p>
            <w:pPr>
              <w:pStyle w:val="Compact"/>
              <w:jc w:val="center"/>
            </w:pPr>
            <w:r>
              <w:t xml:space="preserve">$1.18 millones</w:t>
            </w:r>
          </w:p>
        </w:tc>
      </w:tr>
    </w:tbl>
    <w:p>
      <w:pPr>
        <w:pStyle w:val="BodyText"/>
      </w:pPr>
      <w:r>
        <w:t xml:space="preserve">El tablero de calidad de la clínica premiaba el control mejorado de A1c y la finalización de exámenes seleccionados, pero no capturaba completamente episodios severos de glucosa baja evitados, carga de tratamiento, estrés financiero, o si la mejora persistiría. Un plan de medicación que produjera una A1c más baja pero causara lecturas bajas repetidas o dificultades financieras podría verse exitoso en un informe y perjudicial en otro.</w:t>
      </w:r>
    </w:p>
    <w:bookmarkEnd w:id="17"/>
    <w:bookmarkEnd w:id="18"/>
    <w:bookmarkStart w:id="19" w:name="interpretaciones-diferentes"/>
    <w:p>
      <w:pPr>
        <w:pStyle w:val="Heading1"/>
      </w:pPr>
      <w:r>
        <w:t xml:space="preserve">Interpretaciones Diferentes</w:t>
      </w:r>
    </w:p>
    <w:p>
      <w:pPr>
        <w:pStyle w:val="FirstParagraph"/>
      </w:pPr>
      <w:r>
        <w:t xml:space="preserve">Cada miembro del equipo de atención enmarcó el caso de Reed de manera diferente. El farmacéutico favorecía eliminar el medicamento asociado con lecturas bajas y sustituirlo con un fármaco de menor riesgo de hipoglucemia, asumiendo que se pudiera arreglar la cobertura. La educadora quería comenzar con un plan que Reed pudiera ejecutar a través de ambos horarios de turno. La enfermera gestora de atención argumentó que el equipo necesitaba más observaciones frecuentes antes de hacer otro cambio importante. Park se preocupaba de que esperar por mejor información prolongara la exposición a glucosa alta.</w:t>
      </w:r>
    </w:p>
    <w:p>
      <w:pPr>
        <w:pStyle w:val="BodyText"/>
      </w:pPr>
      <w:r>
        <w:t xml:space="preserve">Las prioridades de Reed no encajaban claramente en ninguna propuesta. Quería más energía, menos interrupciones en el trabajo, protección contra complicaciones a largo plazo, y un costo mensual que pudiera predecir. Estaba dispuesto a hacer cambios, pero no todos a la vez. El equipo podía simplificar el plan, intensificarlo, o escalonarlo—pero cada secuencia afectaría lo que aprendieran sobre las causas de la mejora o el fracaso.</w:t>
      </w:r>
    </w:p>
    <w:bookmarkEnd w:id="19"/>
    <w:bookmarkStart w:id="21" w:name="la-decisión-de-los-noventa-días"/>
    <w:p>
      <w:pPr>
        <w:pStyle w:val="Heading1"/>
      </w:pPr>
      <w:r>
        <w:t xml:space="preserve">La Decisión de los Noventa Días</w:t>
      </w:r>
    </w:p>
    <w:p>
      <w:pPr>
        <w:pStyle w:val="FirstParagraph"/>
      </w:pPr>
      <w:r>
        <w:t xml:space="preserve">La conferencia de caso redujo la discusión a tres enfoques amplios.</w:t>
      </w:r>
    </w:p>
    <w:p>
      <w:pPr>
        <w:pStyle w:val="BodyText"/>
      </w:pPr>
      <w:r>
        <w:t xml:space="preserve">Enfoque A: Intensificar ahora. El equipo reemplazaría el segundo medicamento actual, buscaría aprobación para un nuevo inyectable semanal, continuaría el monitoreo continuo, y programaría un seguimiento frecuente. El plan ofrecía la mayor probabilidad de una mejora rápida pero también el costo más alto, la carga de coordinación más alta, y el riesgo de que efectos secundarios o retrasos de autorización causaran que Reed lo abandonara.</w:t>
      </w:r>
    </w:p>
    <w:p>
      <w:pPr>
        <w:pStyle w:val="BodyText"/>
      </w:pPr>
      <w:r>
        <w:t xml:space="preserve">Enfoque B: Simplificar y estabilizar. El equipo diseñaría un régimen de menor costo alrededor de los turnos rotativos de Reed, reduciría el riesgo de glucosa baja, se enfocaría en el horario de comidas y actividad factible, y reevaluaría después de tres meses. El plan podría ser más fácil de sostener pero podría dejar la glucosa elevada mientras la enfermedad progresaba.</w:t>
      </w:r>
    </w:p>
    <w:p>
      <w:pPr>
        <w:pStyle w:val="BodyText"/>
      </w:pPr>
      <w:r>
        <w:t xml:space="preserve">Enfoque C: Aprender antes de comprometerse. El equipo usaría otro período de monitoreo, registros estructurados de comidas y medicación, y contactos remotos breves para identificar patrones antes de seleccionar un cambio importante de terapia. El enfoque podría revelar qué estaba impulsando la variabilidad, pero la información adicional podría estar incompleta, alterada por la observación, o llegar demasiado tarde para justificar la demora.</w:t>
      </w:r>
    </w:p>
    <w:bookmarkStart w:id="20" w:name="X89b10f69b9f5d31b218736de6b0d2d348d738a8"/>
    <w:p>
      <w:pPr>
        <w:pStyle w:val="Heading2"/>
      </w:pPr>
      <w:r>
        <w:t xml:space="preserve">Exhibición 5. Escenarios de Planificación de Noventa Días</w:t>
      </w:r>
    </w:p>
    <w:tbl>
      <w:tblPr>
        <w:tblStyle w:val="Table"/>
        <w:tblW w:type="pct" w:w="4926"/>
        <w:tblLayout w:type="fixed"/>
        <w:tblLook w:firstRow="1" w:lastRow="0" w:firstColumn="0" w:lastColumn="0" w:noHBand="0" w:noVBand="0" w:val="0020"/>
      </w:tblPr>
      <w:tblGrid>
        <w:gridCol w:w="2445"/>
        <w:gridCol w:w="1106"/>
        <w:gridCol w:w="1281"/>
        <w:gridCol w:w="1106"/>
        <w:gridCol w:w="1863"/>
      </w:tblGrid>
      <w:tr>
        <w:trPr>
          <w:tblHeader w:val="on"/>
        </w:trPr>
        <w:tc>
          <w:tcPr/>
          <w:p>
            <w:pPr>
              <w:pStyle w:val="Compact"/>
              <w:jc w:val="left"/>
            </w:pPr>
            <w:r>
              <w:t xml:space="preserve">Escenario</w:t>
            </w:r>
          </w:p>
        </w:tc>
        <w:tc>
          <w:tcPr/>
          <w:p>
            <w:pPr>
              <w:pStyle w:val="Compact"/>
              <w:jc w:val="right"/>
            </w:pPr>
            <w:r>
              <w:t xml:space="preserve">A1c en seguimiento</w:t>
            </w:r>
          </w:p>
        </w:tc>
        <w:tc>
          <w:tcPr/>
          <w:p>
            <w:pPr>
              <w:pStyle w:val="Compact"/>
              <w:jc w:val="right"/>
            </w:pPr>
            <w:r>
              <w:t xml:space="preserve">Riesgo de glucosa b</w:t>
            </w:r>
          </w:p>
        </w:tc>
        <w:tc>
          <w:tcPr/>
          <w:p>
            <w:pPr>
              <w:pStyle w:val="Compact"/>
            </w:pPr>
            <w:r>
              <w:t xml:space="preserve">aja Carga del</w:t>
            </w:r>
          </w:p>
        </w:tc>
        <w:tc>
          <w:tcPr/>
          <w:p>
            <w:pPr>
              <w:pStyle w:val="Compact"/>
            </w:pPr>
            <w:r>
              <w:t xml:space="preserve">paciente Costo estimado del paciente a 90 días</w:t>
            </w:r>
          </w:p>
        </w:tc>
      </w:tr>
      <w:tr>
        <w:tc>
          <w:tcPr/>
          <w:p>
            <w:pPr>
              <w:pStyle w:val="Compact"/>
              <w:jc w:val="left"/>
            </w:pPr>
            <w:r>
              <w:t xml:space="preserve">Respuesta fuerte / uso sostenido</w:t>
            </w:r>
          </w:p>
        </w:tc>
        <w:tc>
          <w:tcPr/>
          <w:p>
            <w:pPr>
              <w:pStyle w:val="Compact"/>
              <w:jc w:val="right"/>
            </w:pPr>
            <w:r>
              <w:t xml:space="preserve">7.4–8.0%</w:t>
            </w:r>
          </w:p>
        </w:tc>
        <w:tc>
          <w:tcPr/>
          <w:p>
            <w:pPr>
              <w:pStyle w:val="Compact"/>
              <w:jc w:val="right"/>
            </w:pPr>
            <w:r>
              <w:t xml:space="preserve">Bajo a moderado</w:t>
            </w:r>
          </w:p>
        </w:tc>
        <w:tc>
          <w:tcPr/>
          <w:p>
            <w:pPr>
              <w:pStyle w:val="Compact"/>
            </w:pPr>
            <w:r>
              <w:t xml:space="preserve">Moderada</w:t>
            </w:r>
          </w:p>
        </w:tc>
        <w:tc>
          <w:tcPr/>
          <w:p>
            <w:pPr>
              <w:pStyle w:val="Compact"/>
            </w:pPr>
            <w:r>
              <w:t xml:space="preserve">$180–$1,600</w:t>
            </w:r>
          </w:p>
        </w:tc>
      </w:tr>
      <w:tr>
        <w:tc>
          <w:tcPr/>
          <w:p>
            <w:pPr>
              <w:pStyle w:val="Compact"/>
              <w:jc w:val="left"/>
            </w:pPr>
            <w:r>
              <w:t xml:space="preserve">Respuesta parcial</w:t>
            </w:r>
          </w:p>
        </w:tc>
        <w:tc>
          <w:tcPr/>
          <w:p>
            <w:pPr>
              <w:pStyle w:val="Compact"/>
              <w:jc w:val="right"/>
            </w:pPr>
            <w:r>
              <w:t xml:space="preserve">8.1–8.7%</w:t>
            </w:r>
          </w:p>
        </w:tc>
        <w:tc>
          <w:tcPr/>
          <w:p>
            <w:pPr>
              <w:pStyle w:val="Compact"/>
              <w:jc w:val="right"/>
            </w:pPr>
            <w:r>
              <w:t xml:space="preserve">Varía según el régime</w:t>
            </w:r>
          </w:p>
        </w:tc>
        <w:tc>
          <w:tcPr/>
          <w:p>
            <w:pPr>
              <w:pStyle w:val="Compact"/>
            </w:pPr>
            <w:r>
              <w:t xml:space="preserve">n Moderada a</w:t>
            </w:r>
          </w:p>
        </w:tc>
        <w:tc>
          <w:tcPr/>
          <w:p>
            <w:pPr>
              <w:pStyle w:val="Compact"/>
            </w:pPr>
            <w:r>
              <w:t xml:space="preserve">alta $120–$1,500</w:t>
            </w:r>
          </w:p>
        </w:tc>
      </w:tr>
      <w:tr>
        <w:tc>
          <w:tcPr/>
          <w:p>
            <w:pPr>
              <w:pStyle w:val="Compact"/>
              <w:jc w:val="left"/>
            </w:pPr>
            <w:r>
              <w:t xml:space="preserve">Efectos secundarios o no adherencia</w:t>
            </w:r>
          </w:p>
        </w:tc>
        <w:tc>
          <w:tcPr/>
          <w:p>
            <w:pPr>
              <w:pStyle w:val="Compact"/>
            </w:pPr>
          </w:p>
        </w:tc>
        <w:tc>
          <w:tcPr/>
          <w:p>
            <w:pPr>
              <w:pStyle w:val="Compact"/>
              <w:jc w:val="right"/>
            </w:pPr>
            <w:r>
              <w:t xml:space="preserve">8.8–9.5% Inc</w:t>
            </w:r>
          </w:p>
        </w:tc>
        <w:tc>
          <w:tcPr/>
          <w:p>
            <w:pPr>
              <w:pStyle w:val="Compact"/>
            </w:pPr>
            <w:r>
              <w:t xml:space="preserve">ierto A</w:t>
            </w:r>
          </w:p>
        </w:tc>
        <w:tc>
          <w:tcPr/>
          <w:p>
            <w:pPr>
              <w:pStyle w:val="Compact"/>
            </w:pPr>
            <w:r>
              <w:t xml:space="preserve">lta $75–$900</w:t>
            </w:r>
          </w:p>
        </w:tc>
      </w:tr>
      <w:tr>
        <w:tc>
          <w:tcPr/>
          <w:p>
            <w:pPr>
              <w:pStyle w:val="Compact"/>
              <w:jc w:val="left"/>
            </w:pPr>
            <w:r>
              <w:t xml:space="preserve">Interrupción de cobertura</w:t>
            </w:r>
          </w:p>
        </w:tc>
        <w:tc>
          <w:tcPr/>
          <w:p>
            <w:pPr>
              <w:pStyle w:val="Compact"/>
              <w:jc w:val="right"/>
            </w:pPr>
            <w:r>
              <w:t xml:space="preserve">8.6–9.4%</w:t>
            </w:r>
          </w:p>
        </w:tc>
        <w:tc>
          <w:tcPr/>
          <w:p>
            <w:pPr>
              <w:pStyle w:val="Compact"/>
              <w:jc w:val="right"/>
            </w:pPr>
            <w:r>
              <w:t xml:space="preserve">Depende de la al</w:t>
            </w:r>
          </w:p>
        </w:tc>
        <w:tc>
          <w:tcPr/>
          <w:p>
            <w:pPr>
              <w:pStyle w:val="Compact"/>
            </w:pPr>
            <w:r>
              <w:t xml:space="preserve">ternativa Alta</w:t>
            </w:r>
          </w:p>
        </w:tc>
        <w:tc>
          <w:tcPr/>
          <w:p>
            <w:pPr>
              <w:pStyle w:val="Compact"/>
            </w:pPr>
            <w:r>
              <w:t xml:space="preserve">$100–$1,200</w:t>
            </w:r>
          </w:p>
        </w:tc>
      </w:tr>
      <w:tr>
        <w:tc>
          <w:tcPr/>
          <w:p>
            <w:pPr>
              <w:pStyle w:val="Compact"/>
              <w:jc w:val="left"/>
            </w:pPr>
            <w:r>
              <w:t xml:space="preserve">Rutina mejorada sin terapia costosa 7.9-</w:t>
            </w:r>
          </w:p>
        </w:tc>
        <w:tc>
          <w:tcPr/>
          <w:p>
            <w:pPr>
              <w:pStyle w:val="Compact"/>
              <w:jc w:val="right"/>
            </w:pPr>
            <w:r>
              <w:t xml:space="preserve">-8.5% Bajo</w:t>
            </w:r>
          </w:p>
        </w:tc>
        <w:tc>
          <w:tcPr/>
          <w:p>
            <w:pPr>
              <w:pStyle w:val="Compact"/>
              <w:jc w:val="right"/>
            </w:pPr>
            <w:r>
              <w:t xml:space="preserve">Mode</w:t>
            </w:r>
          </w:p>
        </w:tc>
        <w:tc>
          <w:tcPr/>
          <w:p>
            <w:pPr>
              <w:pStyle w:val="Compact"/>
            </w:pPr>
            <w:r>
              <w:t xml:space="preserve">rada $45</w:t>
            </w:r>
          </w:p>
        </w:tc>
        <w:tc>
          <w:tcPr/>
          <w:p>
            <w:pPr>
              <w:pStyle w:val="Compact"/>
            </w:pPr>
            <w:r>
              <w:t xml:space="preserve">–$400</w:t>
            </w:r>
          </w:p>
        </w:tc>
      </w:tr>
    </w:tbl>
    <w:p>
      <w:pPr>
        <w:pStyle w:val="BodyText"/>
      </w:pPr>
      <w:r>
        <w:t xml:space="preserve">Los rangos eran estimaciones de planificación, no pronósticos clínicos. Combinaban suposiciones sobre respuesta biológica, acceso a medicamentos, patrones de comida, actividad, adherencia, y la calidad de las mediciones. El mismo resultado observado podría tener varias explicaciones. Una A1c más baja podría reflejar el fármaco, un cambio temporal en el comportamiento, menos turnos nocturnos, o los tres. Un resultado decepcionante podría significar que el tratamiento fue ineficaz—o que nunca se implementó de manera consistente.</w:t>
      </w:r>
    </w:p>
    <w:bookmarkEnd w:id="20"/>
    <w:bookmarkEnd w:id="21"/>
    <w:bookmarkStart w:id="22" w:name="antes-de-que-el-paciente-regresara"/>
    <w:p>
      <w:pPr>
        <w:pStyle w:val="Heading1"/>
      </w:pPr>
      <w:r>
        <w:t xml:space="preserve">Antes de que el Paciente Regresara</w:t>
      </w:r>
    </w:p>
    <w:p>
      <w:pPr>
        <w:pStyle w:val="FirstParagraph"/>
      </w:pPr>
      <w:r>
        <w:t xml:space="preserve">El equipo tenía veinte minutos antes de que Reed regresara a la sala de conferencias. Park necesitaba proponer un plan, decidir qué información recopilar, determinar con qué frecuencia intervendría la clínica, y explicar las compensaciones de una manera que Reed pudiera usar. También necesitaba decidir qué desencadenaría un cambio antes de la visita de noventa días: lecturas bajas repetidas, altos persistentes, efectos secundarios, dosis omitidas, incapacidad de pagar, o simplemente el juicio de Reed de que el plan no encajaba con su vida.</w:t>
      </w:r>
    </w:p>
    <w:p>
      <w:pPr>
        <w:pStyle w:val="BodyText"/>
      </w:pPr>
      <w:r>
        <w:t xml:space="preserve">Mirando la gráfica del monitor, Park se preguntó si la decisión más importante concernía a la medicación, la tecnología de monitoreo, la rutina diaria de Reed, la intensidad del seguimiento, o la secuencia en que estos se introdujeran. Al caso no le faltaban acciones posibles. Le faltaba confianza sobre cómo cada acción interactuaría con un paciente cuya fisiología, horario, recursos, y disposición podrían cambiar antes del siguiente resultado de laboratorio.</w:t>
      </w:r>
    </w:p>
    <w:bookmarkEnd w:id="22"/>
    <w:bookmarkStart w:id="23" w:name="preguntas-de-discusión"/>
    <w:p>
      <w:pPr>
        <w:pStyle w:val="Heading1"/>
      </w:pPr>
      <w:r>
        <w:t xml:space="preserve">Preguntas de Discusión</w:t>
      </w:r>
    </w:p>
    <w:p>
      <w:pPr>
        <w:numPr>
          <w:ilvl w:val="0"/>
          <w:numId w:val="1001"/>
        </w:numPr>
      </w:pPr>
      <w:r>
        <w:t xml:space="preserve">¿Cuál es el problema central que enfrentan Park y el equipo de Lakeside? ¿Qué números reportados son más informativos, y cuáles pueden ocultar variación importante?</w:t>
      </w:r>
    </w:p>
    <w:p>
      <w:pPr>
        <w:numPr>
          <w:ilvl w:val="0"/>
          <w:numId w:val="1001"/>
        </w:numPr>
      </w:pPr>
      <w:r>
        <w:t xml:space="preserve">¿Cómo debería equilibrarse el riesgo inmediato de glucosa alta o baja de Reed contra la posibilidad de complicaciones que puedan desarrollarse durante muchos años?</w:t>
      </w:r>
    </w:p>
    <w:p>
      <w:pPr>
        <w:numPr>
          <w:ilvl w:val="0"/>
          <w:numId w:val="1001"/>
        </w:numPr>
      </w:pPr>
      <w:r>
        <w:t xml:space="preserve">¿Qué información adicional sería más valiosa antes de seleccionar un plan de tratamiento? ¿Cómo debería obtenerla el equipo?</w:t>
      </w:r>
    </w:p>
    <w:p>
      <w:pPr>
        <w:numPr>
          <w:ilvl w:val="0"/>
          <w:numId w:val="1001"/>
        </w:numPr>
      </w:pPr>
      <w:r>
        <w:t xml:space="preserve">¿Debería el equipo intensificar el tratamiento inmediatamente, simplificar el régimen, o recopilar más observaciones primero?</w:t>
      </w:r>
    </w:p>
    <w:p>
      <w:pPr>
        <w:numPr>
          <w:ilvl w:val="0"/>
          <w:numId w:val="1001"/>
        </w:numPr>
      </w:pPr>
      <w:r>
        <w:t xml:space="preserve">¿Cómo debería la asequibilidad y la incertidumbre del seguro influir en un plan que puede ser clínicamente atractivo?</w:t>
      </w:r>
    </w:p>
    <w:p>
      <w:pPr>
        <w:numPr>
          <w:ilvl w:val="0"/>
          <w:numId w:val="1001"/>
        </w:numPr>
      </w:pPr>
      <w:r>
        <w:t xml:space="preserve">¿Qué partes del plan deberían ser determinadas por el clínico, y qué elecciones deberían dejarse principalmente a Reed?</w:t>
      </w:r>
    </w:p>
    <w:p>
      <w:pPr>
        <w:numPr>
          <w:ilvl w:val="0"/>
          <w:numId w:val="1001"/>
        </w:numPr>
      </w:pPr>
      <w:r>
        <w:t xml:space="preserve">¿Cómo debería responder Lakeside si Reed sigue solo algunos elementos del plan?</w:t>
      </w:r>
    </w:p>
    <w:p>
      <w:pPr>
        <w:numPr>
          <w:ilvl w:val="0"/>
          <w:numId w:val="1001"/>
        </w:numPr>
      </w:pPr>
      <w:r>
        <w:t xml:space="preserve">¿Qué condiciones deberían desencadenar un cambio de tratamiento antes de la revisión de noventa días?</w:t>
      </w:r>
    </w:p>
    <w:p>
      <w:pPr>
        <w:numPr>
          <w:ilvl w:val="0"/>
          <w:numId w:val="1001"/>
        </w:numPr>
      </w:pPr>
      <w:r>
        <w:t xml:space="preserve">¿Cómo debería la clínica asignar la capacidad limitada de farmacéutico, educador, y gestor de atención entre Reed y otros pacientes?</w:t>
      </w:r>
    </w:p>
    <w:p>
      <w:pPr>
        <w:numPr>
          <w:ilvl w:val="0"/>
          <w:numId w:val="1001"/>
        </w:numPr>
      </w:pPr>
      <w:r>
        <w:t xml:space="preserve">¿Qué constituiría el éxito después de noventa días si el control de glucosa, el riesgo de glucosa baja, el costo, la carga de tratamiento, y la sostenibilidad apuntan en direcciones diferentes?</w:t>
      </w:r>
    </w:p>
    <w:bookmarkEnd w:id="23"/>
    <w:bookmarkStart w:id="29" w:name="preguntas-de-encuadre-de-decisiones"/>
    <w:p>
      <w:pPr>
        <w:pStyle w:val="Heading1"/>
      </w:pPr>
      <w:r>
        <w:t xml:space="preserve">Preguntas de Encuadre de Decisiones</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4">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minimizar (rojo), un objetivo que es un piso (verde claro) o un techo (rojo claro), o finalmente un objetivo (morado).</w:t>
      </w:r>
    </w:p>
    <w:p>
      <w:pPr>
        <w:numPr>
          <w:ilvl w:val="0"/>
          <w:numId w:val="1002"/>
        </w:numPr>
      </w:pPr>
      <w:r>
        <w:t xml:space="preserve">Use la</w:t>
      </w:r>
      <w:r>
        <w:t xml:space="preserve"> </w:t>
      </w:r>
      <w:hyperlink r:id="rId25">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6">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por la prioridad en la pirámide anterior. Haga clic en cada celda para indicar si el impacto de la decisión en cada métrica es alto (rojo), medio (naranja), bajo (amarillo) o nulo (blanco).</w:t>
      </w:r>
    </w:p>
    <w:p>
      <w:pPr>
        <w:numPr>
          <w:ilvl w:val="0"/>
          <w:numId w:val="1002"/>
        </w:numPr>
      </w:pPr>
      <w:r>
        <w:t xml:space="preserve">Puede tomar el manejador (tres barras) más a la izquierda en cada fila para moverla hacia arriba o hacia abajo. Ordene las filas para que las decisiones con el mayor impacto en las métricas más importantes estén hacia arriba. Las celdas en la esquina superior izquierda deberían tener la mayor concentración de celdas rojas y naranjas. En este punto identifique las decisiones que deberían recibir la mayor atención en su estudio. Si no tiene ninguna decisión con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7">
        <w:r>
          <w:rPr>
            <w:rStyle w:val="Hyperlink"/>
          </w:rPr>
          <w:t xml:space="preserve">herramienta de priorización de incertidumbre</w:t>
        </w:r>
      </w:hyperlink>
      <w:r>
        <w:t xml:space="preserve">. Use las</w:t>
      </w:r>
      <w:r>
        <w:t xml:space="preserve"> </w:t>
      </w:r>
      <w:hyperlink r:id="rId28">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se pueden evaluar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parece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9"/>
    <w:bookmarkStart w:id="30" w:name="nota-de-fuentes"/>
    <w:p>
      <w:pPr>
        <w:pStyle w:val="Heading1"/>
      </w:pPr>
      <w:r>
        <w:t xml:space="preserve">Nota de Fuentes</w:t>
      </w:r>
    </w:p>
    <w:p>
      <w:pPr>
        <w:pStyle w:val="FirstParagraph"/>
      </w:pPr>
      <w:r>
        <w:t xml:space="preserve">El fundamento conceptual de este caso es la sección</w:t>
      </w:r>
      <w:r>
        <w:t xml:space="preserve"> </w:t>
      </w:r>
      <w:r>
        <w:t xml:space="preserve">“Managing Type 2 diabetes”</w:t>
      </w:r>
      <w:r>
        <w:t xml:space="preserve"> </w:t>
      </w:r>
      <w:r>
        <w:t xml:space="preserve">de Warren B. Powell, Bridging Decision Problems, Volume I: Framing the Problem, Capítulo 2. El caso incorpora las medidas clínicas, opciones de tratamiento, acciones del paciente, y respuestas desconocidas de la sección en la narrativa y las exhibiciones sin identificarlas como categorías analíticas separadas.</w:t>
      </w:r>
    </w:p>
    <w:p>
      <w:pPr>
        <w:pStyle w:val="BodyText"/>
      </w:pPr>
      <w:r>
        <w:t xml:space="preserve">Los datos públicos usados para motivar el escenario incluyen los Centers for Disease Control and Prevention, National Diabetes Statistics Report (actualizado en enero de 2026), que estima 40.1 millones de personas con diabetes en los Estados Unidos en 2023 y 115.2 millones de adultos con prediabetes; CDC’s Diabetes Basics, que reporta que la diabetes tipo 2 representa aproximadamente el 90–95 por ciento de los casos diagnosticados; y las estimaciones del National Institute of Diabetes and Digestive and Kidney Diseases que sitúan el costo de 2022 de la diabetes diagnosticada en $412.9 mil millones. El CDC también reporta que los costos médicos relacionados con la diabetes son más del doble de altos para las personas con diabetes que para las personas sin ella. Todos los datos de pacientes, clínica, tratamiento, seguro, y financieros en el caso son ficticios y no están destinados a guiar la atención médica.</w:t>
      </w:r>
    </w:p>
    <w:bookmarkEnd w:id="30"/>
    <w:bookmarkStart w:id="33" w:name="notas-de-chatgpt"/>
    <w:p>
      <w:pPr>
        <w:pStyle w:val="Heading1"/>
      </w:pPr>
      <w:r>
        <w:t xml:space="preserve">Notas de ChatGPT</w:t>
      </w:r>
    </w:p>
    <w:bookmarkStart w:id="31" w:name="prompt"/>
    <w:p>
      <w:pPr>
        <w:pStyle w:val="Heading2"/>
      </w:pPr>
      <w:r>
        <w:t xml:space="preserve">Prompt</w:t>
      </w:r>
    </w:p>
    <w:p>
      <w:pPr>
        <w:pStyle w:val="FirstParagraph"/>
      </w:pPr>
      <w:r>
        <w:t xml:space="preserve">Write a 4-6 page case study based on the material in the section at https://warrenpowell.org/bridging-vol1/chapter-2/#managing-type-2-diabetes. Create a context based on the metrics, decisions and uncertainties in the section, but without explicitly calling attention to them. motivate your case problem with data.</w:t>
      </w:r>
    </w:p>
    <w:bookmarkEnd w:id="31"/>
    <w:bookmarkStart w:id="32" w:name="resumen"/>
    <w:p>
      <w:pPr>
        <w:pStyle w:val="Heading2"/>
      </w:pPr>
      <w:r>
        <w:t xml:space="preserve">Resumen</w:t>
      </w:r>
    </w:p>
    <w:p>
      <w:pPr>
        <w:pStyle w:val="FirstParagraph"/>
      </w:pPr>
      <w:r>
        <w:t xml:space="preserve">El caso sigue a un médico, un equipo de atención, y un paciente enfrentando un problema no resuelto de tratamiento de diabetes tipo 2 que involucra respuesta a medicación, monitoreo de glucosa, dieta y ejercicio, adherencia, costo de tratamiento, cobertura de seguro, capacidad del personal, y la tensión entre la variación de glucosa a corto plazo y las complicaciones a largo plazo.</w:t>
      </w:r>
    </w:p>
    <w:p>
      <w:pPr>
        <w:pStyle w:val="BodyText"/>
      </w:pPr>
      <w:r>
        <w:t xml:space="preserve">El escenario está motivado por estimaciones federales actuales de que 40.1 millones de estadounidenses tenían diabetes en 2023, la diabetes tipo 2 representa aproximadamente el 90–95% de los casos diagnosticados, y el costo estimado de la diabetes diagnosticada en EE.UU. fue de $412.9 mil millones en 2022.</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2026-09-11T15:20:44Z</dcterms:created>
  <dcterms:modified xsi:type="dcterms:W3CDTF">2026-09-11T15:20:44Z</dcterms:modified>
</cp:coreProperties>
</file>

<file path=docProps/custom.xml><?xml version="1.0" encoding="utf-8"?>
<Properties xmlns="http://schemas.openxmlformats.org/officeDocument/2006/custom-properties" xmlns:vt="http://schemas.openxmlformats.org/officeDocument/2006/docPropsVTypes"/>
</file>