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LA CAMPAÑA MERIDIAN</w:t>
      </w:r>
    </w:p>
    <w:p>
      <w:pPr>
        <w:pStyle w:val="BodyText"/>
      </w:pPr>
      <w:r>
        <w:t xml:space="preserve">El Mapa de los Noventa y Tres Votos</w:t>
      </w:r>
    </w:p>
    <w:p>
      <w:pPr>
        <w:pStyle w:val="BodyText"/>
      </w:pPr>
      <w:r>
        <w:t xml:space="preserve">Un caso de elección presidencial sobre la asignación de dinero, tiempo del candidato, información y capacidad de campo a través de un panorama electoral cambiante</w:t>
      </w:r>
    </w:p>
    <w:p>
      <w:pPr>
        <w:pStyle w:val="BodyText"/>
      </w:pPr>
      <w:r>
        <w:t xml:space="preserve">Este caso es ficticio y está destinado a la discusión instructiva. Candidatos, partidos, miembros del personal, eventos, resultados de encuestas y cifras financieras internas fueron creados para el caso. Las estadísticas públicas de elecciones y financiamiento de campañas se resumen en la nota de fuentes.</w:t>
      </w:r>
    </w:p>
    <w:bookmarkStart w:id="10" w:name="Xf0115d894c0681958c94b76da1b1341ed9f43e1"/>
    <w:p>
      <w:pPr>
        <w:pStyle w:val="Heading1"/>
      </w:pPr>
      <w:r>
        <w:t xml:space="preserve">Once Semanas para el Día de las Elecciones</w:t>
      </w:r>
    </w:p>
    <w:p>
      <w:pPr>
        <w:pStyle w:val="FirstParagraph"/>
      </w:pPr>
      <w:r>
        <w:t xml:space="preserve">A las 6:15 de un lunes por la mañana en agosto, la jefa de campaña Maya Chen se paró frente a un mapa electoral de tamaño mural en la sede de la Campaña Meridian. Quedaban once semanas antes de que los votantes eligieran al próximo presidente. El mapa mostraba 226 votos electorales calificados como seguros o probables para la gobernadora Jordan Meridian, 219 para el senador Cameron Reed, y 93 distribuidos entre siete estados que ninguna de las dos campañas podía reclamar con confianza. Ganar requería 270.</w:t>
      </w:r>
    </w:p>
    <w:p>
      <w:pPr>
        <w:pStyle w:val="BodyText"/>
      </w:pPr>
      <w:r>
        <w:t xml:space="preserve">La campaña tenía suficiente dinero para seguir siendo competitiva, pero no suficiente para perseguir todas las oportunidades. El comité de Meridian tenía $138 millones en efectivo. El personal de finanzas esperaba otros $52 millones antes del Día de las Elecciones, pero el pronóstico dependía de la respuesta de los donantes a los mensajes, los debates, los eventos noticiosos y la posición de la campaña en las encuestas nacionales. La nómina existente, los viajes, las obligaciones de convención, los costos legales y las reservas publicitarias ya comprometían $96 millones. Los directores estatales buscaban otros $84 millones para oficinas de campo, organizadores, servicios de datos, encuestas, contacto con votantes y operaciones del día de las elecciones.</w:t>
      </w:r>
    </w:p>
    <w:p>
      <w:pPr>
        <w:pStyle w:val="BodyText"/>
      </w:pPr>
      <w:r>
        <w:t xml:space="preserve">A Chen se le había dicho que presentara un plan de recursos final dentro de cuarenta y ocho horas. La candidata quería hacer campaña en los siete estados en disputa. El equipo de publicidad quería reservar inventario de televisión y transmisión en línea antes de que subieran los precios. El director de campo argumentaba que contratar tarde desperdiciaría la ventaja de los voluntarios que ya se estaban inscribiendo. La directora de encuestas quería muestras más grandes y encuestas más frecuentes después de que las estimaciones internas de la campaña se hubieran movido bruscamente dos veces en tres semanas. El director de finanzas advirtió que la campaña no podía gastar dinero que meramente esperaba recaudar.</w:t>
      </w:r>
    </w:p>
    <w:bookmarkStart w:id="9" w:name="figura-1.-el-mapa-electoral-en-disputa"/>
    <w:p>
      <w:pPr>
        <w:pStyle w:val="Heading2"/>
      </w:pPr>
      <w:r>
        <w:t xml:space="preserve">Figura 1. El Mapa Electoral en Disputa</w:t>
      </w:r>
    </w:p>
    <w:tbl>
      <w:tblPr>
        <w:tblStyle w:val="Table"/>
        <w:tblW w:type="pct" w:w="4903"/>
        <w:tblLayout w:type="fixed"/>
        <w:tblLook w:firstRow="1" w:lastRow="0" w:firstColumn="0" w:lastColumn="0" w:noHBand="0" w:noVBand="0" w:val="0020"/>
      </w:tblPr>
      <w:tblGrid>
        <w:gridCol w:w="1153"/>
        <w:gridCol w:w="1384"/>
        <w:gridCol w:w="1230"/>
        <w:gridCol w:w="922"/>
        <w:gridCol w:w="1537"/>
        <w:gridCol w:w="1537"/>
      </w:tblGrid>
      <w:tr>
        <w:trPr>
          <w:tblHeader w:val="on"/>
        </w:trPr>
        <w:tc>
          <w:tcPr/>
          <w:p>
            <w:pPr>
              <w:pStyle w:val="Compact"/>
              <w:jc w:val="left"/>
            </w:pPr>
            <w:r>
              <w:t xml:space="preserve">Estado</w:t>
            </w:r>
          </w:p>
        </w:tc>
        <w:tc>
          <w:tcPr/>
          <w:p>
            <w:pPr>
              <w:pStyle w:val="Compact"/>
            </w:pPr>
            <w:r>
              <w:t xml:space="preserve">Votos electorales</w:t>
            </w:r>
          </w:p>
        </w:tc>
        <w:tc>
          <w:tcPr/>
          <w:p>
            <w:pPr>
              <w:pStyle w:val="Compact"/>
              <w:jc w:val="right"/>
            </w:pPr>
            <w:r>
              <w:t xml:space="preserve">Encuesta Merid</w:t>
            </w:r>
          </w:p>
        </w:tc>
        <w:tc>
          <w:tcPr/>
          <w:p>
            <w:pPr>
              <w:pStyle w:val="Compact"/>
            </w:pPr>
            <w:r>
              <w:t xml:space="preserve">ian Encues</w:t>
            </w:r>
          </w:p>
        </w:tc>
        <w:tc>
          <w:tcPr/>
          <w:p>
            <w:pPr>
              <w:pStyle w:val="Compact"/>
            </w:pPr>
            <w:r>
              <w:t xml:space="preserve">ta Reed Indecisos</w:t>
            </w:r>
          </w:p>
        </w:tc>
        <w:tc>
          <w:tcPr/>
          <w:p>
            <w:pPr>
              <w:pStyle w:val="Compact"/>
            </w:pPr>
            <w:r>
              <w:t xml:space="preserve">/ otros Participación estimada</w:t>
            </w:r>
          </w:p>
        </w:tc>
      </w:tr>
      <w:tr>
        <w:tc>
          <w:tcPr/>
          <w:p>
            <w:pPr>
              <w:pStyle w:val="Compact"/>
              <w:jc w:val="left"/>
            </w:pPr>
            <w:r>
              <w:t xml:space="preserve">Northlake</w:t>
            </w:r>
          </w:p>
        </w:tc>
        <w:tc>
          <w:tcPr/>
          <w:p>
            <w:pPr>
              <w:pStyle w:val="Compact"/>
            </w:pPr>
            <w:r>
              <w:t xml:space="preserve">19</w:t>
            </w:r>
          </w:p>
        </w:tc>
        <w:tc>
          <w:tcPr/>
          <w:p>
            <w:pPr>
              <w:pStyle w:val="Compact"/>
              <w:jc w:val="right"/>
            </w:pPr>
            <w:r>
              <w:t xml:space="preserve">47.8%</w:t>
            </w:r>
          </w:p>
        </w:tc>
        <w:tc>
          <w:tcPr/>
          <w:p>
            <w:pPr>
              <w:pStyle w:val="Compact"/>
            </w:pPr>
            <w:r>
              <w:t xml:space="preserve">48.6%</w:t>
            </w:r>
          </w:p>
        </w:tc>
        <w:tc>
          <w:tcPr/>
          <w:p>
            <w:pPr>
              <w:pStyle w:val="Compact"/>
            </w:pPr>
            <w:r>
              <w:t xml:space="preserve">3.6%</w:t>
            </w:r>
          </w:p>
        </w:tc>
        <w:tc>
          <w:tcPr/>
          <w:p>
            <w:pPr>
              <w:pStyle w:val="Compact"/>
            </w:pPr>
            <w:r>
              <w:t xml:space="preserve">6.9 millones</w:t>
            </w:r>
          </w:p>
        </w:tc>
      </w:tr>
      <w:tr>
        <w:tc>
          <w:tcPr/>
          <w:p>
            <w:pPr>
              <w:pStyle w:val="Compact"/>
              <w:jc w:val="left"/>
            </w:pPr>
            <w:r>
              <w:t xml:space="preserve">Great Plains</w:t>
            </w:r>
          </w:p>
        </w:tc>
        <w:tc>
          <w:tcPr/>
          <w:p>
            <w:pPr>
              <w:pStyle w:val="Compact"/>
            </w:pPr>
            <w:r>
              <w:t xml:space="preserve">16</w:t>
            </w:r>
          </w:p>
        </w:tc>
        <w:tc>
          <w:tcPr/>
          <w:p>
            <w:pPr>
              <w:pStyle w:val="Compact"/>
              <w:jc w:val="right"/>
            </w:pPr>
            <w:r>
              <w:t xml:space="preserve">48.7%</w:t>
            </w:r>
          </w:p>
        </w:tc>
        <w:tc>
          <w:tcPr/>
          <w:p>
            <w:pPr>
              <w:pStyle w:val="Compact"/>
            </w:pPr>
            <w:r>
              <w:t xml:space="preserve">47.9%</w:t>
            </w:r>
          </w:p>
        </w:tc>
        <w:tc>
          <w:tcPr/>
          <w:p>
            <w:pPr>
              <w:pStyle w:val="Compact"/>
            </w:pPr>
            <w:r>
              <w:t xml:space="preserve">3.4%</w:t>
            </w:r>
          </w:p>
        </w:tc>
        <w:tc>
          <w:tcPr/>
          <w:p>
            <w:pPr>
              <w:pStyle w:val="Compact"/>
            </w:pPr>
            <w:r>
              <w:t xml:space="preserve">5.5 millones</w:t>
            </w:r>
          </w:p>
        </w:tc>
      </w:tr>
      <w:tr>
        <w:tc>
          <w:tcPr/>
          <w:p>
            <w:pPr>
              <w:pStyle w:val="Compact"/>
              <w:jc w:val="left"/>
            </w:pPr>
            <w:r>
              <w:t xml:space="preserve">Piedmont</w:t>
            </w:r>
          </w:p>
        </w:tc>
        <w:tc>
          <w:tcPr/>
          <w:p>
            <w:pPr>
              <w:pStyle w:val="Compact"/>
            </w:pPr>
            <w:r>
              <w:t xml:space="preserve">16</w:t>
            </w:r>
          </w:p>
        </w:tc>
        <w:tc>
          <w:tcPr/>
          <w:p>
            <w:pPr>
              <w:pStyle w:val="Compact"/>
              <w:jc w:val="right"/>
            </w:pPr>
            <w:r>
              <w:t xml:space="preserve">47.2%</w:t>
            </w:r>
          </w:p>
        </w:tc>
        <w:tc>
          <w:tcPr/>
          <w:p>
            <w:pPr>
              <w:pStyle w:val="Compact"/>
            </w:pPr>
            <w:r>
              <w:t xml:space="preserve">49.1%</w:t>
            </w:r>
          </w:p>
        </w:tc>
        <w:tc>
          <w:tcPr/>
          <w:p>
            <w:pPr>
              <w:pStyle w:val="Compact"/>
            </w:pPr>
            <w:r>
              <w:t xml:space="preserve">3.7%</w:t>
            </w:r>
          </w:p>
        </w:tc>
        <w:tc>
          <w:tcPr/>
          <w:p>
            <w:pPr>
              <w:pStyle w:val="Compact"/>
            </w:pPr>
            <w:r>
              <w:t xml:space="preserve">5.8 millones</w:t>
            </w:r>
          </w:p>
        </w:tc>
      </w:tr>
      <w:tr>
        <w:tc>
          <w:tcPr/>
          <w:p>
            <w:pPr>
              <w:pStyle w:val="Compact"/>
              <w:jc w:val="left"/>
            </w:pPr>
            <w:r>
              <w:t xml:space="preserve">Midland</w:t>
            </w:r>
          </w:p>
        </w:tc>
        <w:tc>
          <w:tcPr/>
          <w:p>
            <w:pPr>
              <w:pStyle w:val="Compact"/>
            </w:pPr>
            <w:r>
              <w:t xml:space="preserve">15</w:t>
            </w:r>
          </w:p>
        </w:tc>
        <w:tc>
          <w:tcPr/>
          <w:p>
            <w:pPr>
              <w:pStyle w:val="Compact"/>
              <w:jc w:val="right"/>
            </w:pPr>
            <w:r>
              <w:t xml:space="preserve">48.9%</w:t>
            </w:r>
          </w:p>
        </w:tc>
        <w:tc>
          <w:tcPr/>
          <w:p>
            <w:pPr>
              <w:pStyle w:val="Compact"/>
            </w:pPr>
            <w:r>
              <w:t xml:space="preserve">48.5%</w:t>
            </w:r>
          </w:p>
        </w:tc>
        <w:tc>
          <w:tcPr/>
          <w:p>
            <w:pPr>
              <w:pStyle w:val="Compact"/>
            </w:pPr>
            <w:r>
              <w:t xml:space="preserve">2.6%</w:t>
            </w:r>
          </w:p>
        </w:tc>
        <w:tc>
          <w:tcPr/>
          <w:p>
            <w:pPr>
              <w:pStyle w:val="Compact"/>
            </w:pPr>
            <w:r>
              <w:t xml:space="preserve">5.7 millones</w:t>
            </w:r>
          </w:p>
        </w:tc>
      </w:tr>
      <w:tr>
        <w:tc>
          <w:tcPr/>
          <w:p>
            <w:pPr>
              <w:pStyle w:val="Compact"/>
              <w:jc w:val="left"/>
            </w:pPr>
            <w:r>
              <w:t xml:space="preserve">Sonora</w:t>
            </w:r>
          </w:p>
        </w:tc>
        <w:tc>
          <w:tcPr/>
          <w:p>
            <w:pPr>
              <w:pStyle w:val="Compact"/>
            </w:pPr>
            <w:r>
              <w:t xml:space="preserve">11</w:t>
            </w:r>
          </w:p>
        </w:tc>
        <w:tc>
          <w:tcPr/>
          <w:p>
            <w:pPr>
              <w:pStyle w:val="Compact"/>
              <w:jc w:val="right"/>
            </w:pPr>
            <w:r>
              <w:t xml:space="preserve">46.8%</w:t>
            </w:r>
          </w:p>
        </w:tc>
        <w:tc>
          <w:tcPr/>
          <w:p>
            <w:pPr>
              <w:pStyle w:val="Compact"/>
            </w:pPr>
            <w:r>
              <w:t xml:space="preserve">49.6%</w:t>
            </w:r>
          </w:p>
        </w:tc>
        <w:tc>
          <w:tcPr/>
          <w:p>
            <w:pPr>
              <w:pStyle w:val="Compact"/>
            </w:pPr>
            <w:r>
              <w:t xml:space="preserve">3.6%</w:t>
            </w:r>
          </w:p>
        </w:tc>
        <w:tc>
          <w:tcPr/>
          <w:p>
            <w:pPr>
              <w:pStyle w:val="Compact"/>
            </w:pPr>
            <w:r>
              <w:t xml:space="preserve">3.5 millones</w:t>
            </w:r>
          </w:p>
        </w:tc>
      </w:tr>
      <w:tr>
        <w:tc>
          <w:tcPr/>
          <w:p>
            <w:pPr>
              <w:pStyle w:val="Compact"/>
              <w:jc w:val="left"/>
            </w:pPr>
            <w:r>
              <w:t xml:space="preserve">Lakeland</w:t>
            </w:r>
          </w:p>
        </w:tc>
        <w:tc>
          <w:tcPr/>
          <w:p>
            <w:pPr>
              <w:pStyle w:val="Compact"/>
            </w:pPr>
            <w:r>
              <w:t xml:space="preserve">10</w:t>
            </w:r>
          </w:p>
        </w:tc>
        <w:tc>
          <w:tcPr/>
          <w:p>
            <w:pPr>
              <w:pStyle w:val="Compact"/>
              <w:jc w:val="right"/>
            </w:pPr>
            <w:r>
              <w:t xml:space="preserve">49.3%</w:t>
            </w:r>
          </w:p>
        </w:tc>
        <w:tc>
          <w:tcPr/>
          <w:p>
            <w:pPr>
              <w:pStyle w:val="Compact"/>
            </w:pPr>
            <w:r>
              <w:t xml:space="preserve">48.8%</w:t>
            </w:r>
          </w:p>
        </w:tc>
        <w:tc>
          <w:tcPr/>
          <w:p>
            <w:pPr>
              <w:pStyle w:val="Compact"/>
            </w:pPr>
            <w:r>
              <w:t xml:space="preserve">1.9%</w:t>
            </w:r>
          </w:p>
        </w:tc>
        <w:tc>
          <w:tcPr/>
          <w:p>
            <w:pPr>
              <w:pStyle w:val="Compact"/>
            </w:pPr>
            <w:r>
              <w:t xml:space="preserve">3.4 millones</w:t>
            </w:r>
          </w:p>
        </w:tc>
      </w:tr>
      <w:tr>
        <w:tc>
          <w:tcPr/>
          <w:p>
            <w:pPr>
              <w:pStyle w:val="Compact"/>
              <w:jc w:val="left"/>
            </w:pPr>
            <w:r>
              <w:t xml:space="preserve">Silver Basin</w:t>
            </w:r>
          </w:p>
        </w:tc>
        <w:tc>
          <w:tcPr/>
          <w:p>
            <w:pPr>
              <w:pStyle w:val="Compact"/>
            </w:pPr>
            <w:r>
              <w:t xml:space="preserve">6</w:t>
            </w:r>
          </w:p>
        </w:tc>
        <w:tc>
          <w:tcPr/>
          <w:p>
            <w:pPr>
              <w:pStyle w:val="Compact"/>
              <w:jc w:val="right"/>
            </w:pPr>
            <w:r>
              <w:t xml:space="preserve">47.6%</w:t>
            </w:r>
          </w:p>
        </w:tc>
        <w:tc>
          <w:tcPr/>
          <w:p>
            <w:pPr>
              <w:pStyle w:val="Compact"/>
            </w:pPr>
            <w:r>
              <w:t xml:space="preserve">48.9%</w:t>
            </w:r>
          </w:p>
        </w:tc>
        <w:tc>
          <w:tcPr/>
          <w:p>
            <w:pPr>
              <w:pStyle w:val="Compact"/>
            </w:pPr>
            <w:r>
              <w:t xml:space="preserve">3.5%</w:t>
            </w:r>
          </w:p>
        </w:tc>
        <w:tc>
          <w:tcPr/>
          <w:p>
            <w:pPr>
              <w:pStyle w:val="Compact"/>
            </w:pPr>
            <w:r>
              <w:t xml:space="preserve">1.5 millones</w:t>
            </w:r>
          </w:p>
        </w:tc>
      </w:tr>
    </w:tbl>
    <w:p>
      <w:pPr>
        <w:pStyle w:val="BodyText"/>
      </w:pPr>
      <w:r>
        <w:t xml:space="preserve">Nota: Las estimaciones de encuestas internas son ficticias. Los porcentajes pueden no sumar 100 debido al redondeo.</w:t>
      </w:r>
    </w:p>
    <w:bookmarkEnd w:id="9"/>
    <w:bookmarkEnd w:id="10"/>
    <w:bookmarkStart w:id="11" w:name="X20ee7ec4b353b1cb2506de84a41f37c7adecac7"/>
    <w:p>
      <w:pPr>
        <w:pStyle w:val="Heading1"/>
      </w:pPr>
      <w:r>
        <w:t xml:space="preserve">Una Elección Nacional Decidida Estado por Estado</w:t>
      </w:r>
    </w:p>
    <w:p>
      <w:pPr>
        <w:pStyle w:val="FirstParagraph"/>
      </w:pPr>
      <w:r>
        <w:t xml:space="preserve">El voto popular daba forma a la narrativa pública de la campaña, pero el Colegio Electoral determinaba al ganador. La historia reciente reforzaba la importancia de los estrechos márgenes estatales. En 2020, menos de 43,000 votos en Arizona, Georgia y Wisconsin separaron al ganador de perder esos tres estados. En 2024, los siete estados clave más observados sumaban 93 votos electorales. Seis se decidieron por márgenes de aproximadamente uno a tres puntos porcentuales, mientras que el margen de Arizona fue mayor. Un cambio nacional de un punto podría producir resultados estatales muy diferentes dependiendo de la participación, el atractivo del candidato y los asuntos locales.</w:t>
      </w:r>
    </w:p>
    <w:p>
      <w:pPr>
        <w:pStyle w:val="BodyText"/>
      </w:pPr>
      <w:r>
        <w:t xml:space="preserve">El electorado en sí era grande y heterogéneo. La Oficina del Censo estimó que 174 millones de ciudadanos en edad de votar estaban registrados en 2024 y que 154 millones votaron, una tasa de participación del 65.3 por ciento. Los métodos de votación diferían sustancialmente: cerca del 40 por ciento votó en persona el Día de las Elecciones, 31 por ciento votó anticipadamente en persona y 29 por ciento votó por correo. La participación también variaba según edad, educación, geografía y otras características. Para Chen, esto significaba que la persuasión, el registro, la movilización del voto anticipado, el apoyo al voto por correo y las operaciones del Día de las Elecciones no podían tratarse como una sola actividad.</w:t>
      </w:r>
    </w:p>
    <w:p>
      <w:pPr>
        <w:pStyle w:val="BodyText"/>
      </w:pPr>
      <w:r>
        <w:t xml:space="preserve">La coalición de Meridian combinaba votantes suburbanos con educación universitaria, votantes más jóvenes, hogares sindicalizados y comunidades metropolitanas en crecimiento. Reed lideraba entre votantes rurales, votantes mayores sin educación universitaria y varios grupos concentrados en pueblos más pequeños. Ninguna de las dos coaliciones era uniforme. Meridian tenía buenos resultados entre votantes jóvenes en el tema de costos de vivienda, pero malos en confianza en la economía. Reed lideraba en seguridad fronteriza e inflación, pero enfrentaba calificaciones desfavorables entre mujeres suburbanas. El equipo de investigación de la campaña creía que la población indecisa incluía tanto a votantes genuinamente persuadibles como a personas con poca probabilidad de votar.</w:t>
      </w:r>
    </w:p>
    <w:bookmarkEnd w:id="11"/>
    <w:bookmarkStart w:id="13" w:name="el-calendario-también-era-un-recurso"/>
    <w:p>
      <w:pPr>
        <w:pStyle w:val="Heading1"/>
      </w:pPr>
      <w:r>
        <w:t xml:space="preserve">El Calendario También Era un Recurso</w:t>
      </w:r>
    </w:p>
    <w:p>
      <w:pPr>
        <w:pStyle w:val="FirstParagraph"/>
      </w:pPr>
      <w:r>
        <w:t xml:space="preserve">El candidato solo podía hacer un número limitado de apariciones. La seguridad, el tiempo de vuelo, la preparación, las entrevistas mediáticas y la recaudación de fondos limitaban a Meridian a aproximadamente dieciséis eventos públicos principales por semana. Un mitin podía generar noticias locales y energía entre voluntarios, pero su efecto dependía de la asistencia y la cobertura. Un discurso de política podía cambiar percepciones entre una audiencia reducida mientras atraía poca atención en otros lugares. Una entrevista nacional podía llegar a millones, pero cedía el control sobre las preguntas. Los eventos de recaudación producían efectivo, pero consumían tiempo que de otro modo podría gastarse en estados en disputa.</w:t>
      </w:r>
    </w:p>
    <w:p>
      <w:pPr>
        <w:pStyle w:val="BodyText"/>
      </w:pPr>
      <w:r>
        <w:t xml:space="preserve">El equipo de programación propuso tres enfoques diferentes. Uno concentraba los viajes en Northlake, Midland y Lakeland, donde Meridian ya estaba cerca y donde las visitas podían combinarse de manera eficiente. Un segundo enfatizaba Piedmont, Great Plains y Sonora, argumentando que sus mayores reservas de votantes indecisos creaban más margen para cambiar la contienda. Un tercero reservaba casi un tercio del calendario para medios nacionales, recaudación de fondos y respuesta rápida a eventos que aún no podían anticiparse.</w:t>
      </w:r>
    </w:p>
    <w:bookmarkStart w:id="12" w:name="Xa98f311bfacc356d52470f916a158557b521a2f"/>
    <w:p>
      <w:pPr>
        <w:pStyle w:val="Heading2"/>
      </w:pPr>
      <w:r>
        <w:t xml:space="preserve">Figura 2. Uso Semanal Propuesto del Tiempo del Candidato</w:t>
      </w:r>
    </w:p>
    <w:tbl>
      <w:tblPr>
        <w:tblStyle w:val="Table"/>
        <w:tblW w:type="pct" w:w="4898"/>
        <w:tblLayout w:type="fixed"/>
        <w:tblLook w:firstRow="1" w:lastRow="0" w:firstColumn="0" w:lastColumn="0" w:noHBand="0" w:noVBand="0" w:val="0020"/>
      </w:tblPr>
      <w:tblGrid>
        <w:gridCol w:w="3313"/>
        <w:gridCol w:w="1535"/>
        <w:gridCol w:w="1373"/>
        <w:gridCol w:w="1535"/>
      </w:tblGrid>
      <w:tr>
        <w:trPr>
          <w:tblHeader w:val="on"/>
        </w:trPr>
        <w:tc>
          <w:tcPr/>
          <w:p>
            <w:pPr>
              <w:pStyle w:val="Compact"/>
              <w:jc w:val="left"/>
            </w:pPr>
            <w:r>
              <w:t xml:space="preserve">Actividad</w:t>
            </w:r>
          </w:p>
        </w:tc>
        <w:tc>
          <w:tcPr/>
          <w:p>
            <w:pPr>
              <w:pStyle w:val="Compact"/>
              <w:jc w:val="right"/>
            </w:pPr>
            <w:r>
              <w:t xml:space="preserve">Proteger la ventaj</w:t>
            </w:r>
          </w:p>
        </w:tc>
        <w:tc>
          <w:tcPr/>
          <w:p>
            <w:pPr>
              <w:pStyle w:val="Compact"/>
            </w:pPr>
            <w:r>
              <w:t xml:space="preserve">a Expandir el m</w:t>
            </w:r>
          </w:p>
        </w:tc>
        <w:tc>
          <w:tcPr/>
          <w:p>
            <w:pPr>
              <w:pStyle w:val="Compact"/>
            </w:pPr>
            <w:r>
              <w:t xml:space="preserve">apa Mantener flexibilidad</w:t>
            </w:r>
          </w:p>
        </w:tc>
      </w:tr>
      <w:tr>
        <w:tc>
          <w:tcPr/>
          <w:p>
            <w:pPr>
              <w:pStyle w:val="Compact"/>
              <w:jc w:val="left"/>
            </w:pPr>
            <w:r>
              <w:t xml:space="preserve">Mítines y foros públicos en estados clave</w:t>
            </w:r>
          </w:p>
        </w:tc>
        <w:tc>
          <w:tcPr/>
          <w:p>
            <w:pPr>
              <w:pStyle w:val="Compact"/>
              <w:jc w:val="right"/>
            </w:pPr>
            <w:r>
              <w:t xml:space="preserve">9 eventos</w:t>
            </w:r>
          </w:p>
        </w:tc>
        <w:tc>
          <w:tcPr/>
          <w:p>
            <w:pPr>
              <w:pStyle w:val="Compact"/>
            </w:pPr>
            <w:r>
              <w:t xml:space="preserve">10 eventos</w:t>
            </w:r>
          </w:p>
        </w:tc>
        <w:tc>
          <w:tcPr/>
          <w:p>
            <w:pPr>
              <w:pStyle w:val="Compact"/>
            </w:pPr>
            <w:r>
              <w:t xml:space="preserve">7 eventos</w:t>
            </w:r>
          </w:p>
        </w:tc>
      </w:tr>
      <w:tr>
        <w:tc>
          <w:tcPr/>
          <w:p>
            <w:pPr>
              <w:pStyle w:val="Compact"/>
              <w:jc w:val="left"/>
            </w:pPr>
            <w:r>
              <w:t xml:space="preserve">Discursos de política / eventos de grupos</w:t>
            </w:r>
          </w:p>
        </w:tc>
        <w:tc>
          <w:tcPr/>
          <w:p>
            <w:pPr>
              <w:pStyle w:val="Compact"/>
              <w:jc w:val="right"/>
            </w:pPr>
            <w:r>
              <w:t xml:space="preserve">de interés 2</w:t>
            </w:r>
          </w:p>
        </w:tc>
        <w:tc>
          <w:tcPr/>
          <w:p>
            <w:pPr>
              <w:pStyle w:val="Compact"/>
            </w:pPr>
            <w:r>
              <w:t xml:space="preserve">3</w:t>
            </w:r>
          </w:p>
        </w:tc>
        <w:tc>
          <w:tcPr/>
          <w:p>
            <w:pPr>
              <w:pStyle w:val="Compact"/>
            </w:pPr>
            <w:r>
              <w:t xml:space="preserve">2</w:t>
            </w:r>
          </w:p>
        </w:tc>
      </w:tr>
      <w:tr>
        <w:tc>
          <w:tcPr/>
          <w:p>
            <w:pPr>
              <w:pStyle w:val="Compact"/>
              <w:jc w:val="left"/>
            </w:pPr>
            <w:r>
              <w:t xml:space="preserve">Entrevistas nacionales y eventos digitale</w:t>
            </w:r>
          </w:p>
        </w:tc>
        <w:tc>
          <w:tcPr/>
          <w:p>
            <w:pPr>
              <w:pStyle w:val="Compact"/>
              <w:jc w:val="right"/>
            </w:pPr>
            <w:r>
              <w:t xml:space="preserve">s 1</w:t>
            </w:r>
          </w:p>
        </w:tc>
        <w:tc>
          <w:tcPr/>
          <w:p>
            <w:pPr>
              <w:pStyle w:val="Compact"/>
            </w:pPr>
            <w:r>
              <w:t xml:space="preserve">1</w:t>
            </w:r>
          </w:p>
        </w:tc>
        <w:tc>
          <w:tcPr/>
          <w:p>
            <w:pPr>
              <w:pStyle w:val="Compact"/>
            </w:pPr>
            <w:r>
              <w:t xml:space="preserve">3</w:t>
            </w:r>
          </w:p>
        </w:tc>
      </w:tr>
      <w:tr>
        <w:tc>
          <w:tcPr/>
          <w:p>
            <w:pPr>
              <w:pStyle w:val="Compact"/>
              <w:jc w:val="left"/>
            </w:pPr>
            <w:r>
              <w:t xml:space="preserve">Eventos de recaudación de fondos</w:t>
            </w:r>
          </w:p>
        </w:tc>
        <w:tc>
          <w:tcPr/>
          <w:p>
            <w:pPr>
              <w:pStyle w:val="Compact"/>
              <w:jc w:val="right"/>
            </w:pPr>
            <w:r>
              <w:t xml:space="preserve">3</w:t>
            </w:r>
          </w:p>
        </w:tc>
        <w:tc>
          <w:tcPr/>
          <w:p>
            <w:pPr>
              <w:pStyle w:val="Compact"/>
            </w:pPr>
            <w:r>
              <w:t xml:space="preserve">1</w:t>
            </w:r>
          </w:p>
        </w:tc>
        <w:tc>
          <w:tcPr/>
          <w:p>
            <w:pPr>
              <w:pStyle w:val="Compact"/>
            </w:pPr>
            <w:r>
              <w:t xml:space="preserve">2</w:t>
            </w:r>
          </w:p>
        </w:tc>
      </w:tr>
      <w:tr>
        <w:tc>
          <w:tcPr/>
          <w:p>
            <w:pPr>
              <w:pStyle w:val="Compact"/>
              <w:jc w:val="left"/>
            </w:pPr>
            <w:r>
              <w:t xml:space="preserve">Capacidad de respuesta rápida no comprome</w:t>
            </w:r>
          </w:p>
        </w:tc>
        <w:tc>
          <w:tcPr/>
          <w:p>
            <w:pPr>
              <w:pStyle w:val="Compact"/>
              <w:jc w:val="right"/>
            </w:pPr>
            <w:r>
              <w:t xml:space="preserve">tida 1</w:t>
            </w:r>
          </w:p>
        </w:tc>
        <w:tc>
          <w:tcPr/>
          <w:p>
            <w:pPr>
              <w:pStyle w:val="Compact"/>
            </w:pPr>
            <w:r>
              <w:t xml:space="preserve">1</w:t>
            </w:r>
          </w:p>
        </w:tc>
        <w:tc>
          <w:tcPr/>
          <w:p>
            <w:pPr>
              <w:pStyle w:val="Compact"/>
            </w:pPr>
            <w:r>
              <w:t xml:space="preserve">2</w:t>
            </w:r>
          </w:p>
        </w:tc>
      </w:tr>
    </w:tbl>
    <w:bookmarkEnd w:id="12"/>
    <w:bookmarkEnd w:id="13"/>
    <w:bookmarkStart w:id="15" w:name="dinero-mensajes-y-medios"/>
    <w:p>
      <w:pPr>
        <w:pStyle w:val="Heading1"/>
      </w:pPr>
      <w:r>
        <w:t xml:space="preserve">Dinero, Mensajes y Medios</w:t>
      </w:r>
    </w:p>
    <w:p>
      <w:pPr>
        <w:pStyle w:val="FirstParagraph"/>
      </w:pPr>
      <w:r>
        <w:t xml:space="preserve">El equipo de comunicaciones dividió el resto de la campaña en tres fases: definir el programa económico de Meridian, contrastar a Meridian con Reed, y movilizar a los partidarios. El desacuerdo estaba en el momento y el canal. La televisión aún alcanzaba grandes audiencias, especialmente votantes mayores, pero los precios aumentaban a medida que las campañas y grupos externos reservaban inventario escaso. El video en transmisión en línea permitía una segmentación geográfica y demográfica más precisa, aunque la medición entre plataformas era inconsistente. La publicidad en buscadores llegaba a votantes que buscaban información activamente, pero competía con noticias, oponentes de campaña y grupos independientes. Las redes sociales producían retroalimentación rápida, aunque la interacción no necesariamente se traducía en opiniones o votos cambiados.</w:t>
      </w:r>
    </w:p>
    <w:p>
      <w:pPr>
        <w:pStyle w:val="BodyText"/>
      </w:pPr>
      <w:r>
        <w:t xml:space="preserve">Las pruebas de mensajes no habían producido un tema dominante. Un anuncio sobre los costos del hogar mejoró la calificación de Meridian en empatía económica, pero hizo poco por cambiar la elección de voto. Un anuncio de contraste sobre el historial de Reed aumentó la preocupación por el oponente, pero también elevó las calificaciones desfavorables de ambos candidatos. Un anuncio biográfico aumentó la favorabilidad entre votantes que no conocían a Meridian, aunque esos votantes tenían una probabilidad desproporcionadamente baja de participar. Un mensaje sobre el derecho al aborto movilizó a mujeres suburbanas, pero corría el riesgo de desplazar los temas económicos. Una propuesta de seguridad fronteriza mejoró una calificación débil en ese tema mientras decepcionaba a algunos partidarios centrales.</w:t>
      </w:r>
    </w:p>
    <w:p>
      <w:pPr>
        <w:pStyle w:val="BodyText"/>
      </w:pPr>
      <w:r>
        <w:t xml:space="preserve">La recaudación de fondos complicó aún más la elección de mensajes. Una apelación favorable tras el debate recaudó $4.8 millones en veinticuatro horas. Un mensaje de texto posterior que advertía que la campaña estaba</w:t>
      </w:r>
      <w:r>
        <w:t xml:space="preserve"> </w:t>
      </w:r>
      <w:r>
        <w:t xml:space="preserve">“quedándose atrás en todas partes”</w:t>
      </w:r>
      <w:r>
        <w:t xml:space="preserve"> </w:t>
      </w:r>
      <w:r>
        <w:t xml:space="preserve">recaudó $3.1 millones, pero generó noticias sobre debilidad. Los mensajes podían afectar las donaciones, los voluntarios, la cobertura de prensa y al oponente, además de la opinión de los votantes.</w:t>
      </w:r>
    </w:p>
    <w:bookmarkStart w:id="14" w:name="X80d6540f078412566b55b8027551af4469e5ce9"/>
    <w:p>
      <w:pPr>
        <w:pStyle w:val="Heading2"/>
      </w:pPr>
      <w:r>
        <w:t xml:space="preserve">Figura 3. Presupuesto Propuesto Restante para Medios y Contacto con Votantes</w:t>
      </w:r>
    </w:p>
    <w:tbl>
      <w:tblPr>
        <w:tblStyle w:val="Table"/>
        <w:tblW w:type="pct" w:w="4910"/>
        <w:tblLayout w:type="fixed"/>
        <w:tblLook w:firstRow="1" w:lastRow="0" w:firstColumn="0" w:lastColumn="0" w:noHBand="0" w:noVBand="0" w:val="0020"/>
      </w:tblPr>
      <w:tblGrid>
        <w:gridCol w:w="2711"/>
        <w:gridCol w:w="1070"/>
        <w:gridCol w:w="1212"/>
        <w:gridCol w:w="2782"/>
      </w:tblGrid>
      <w:tr>
        <w:trPr>
          <w:tblHeader w:val="on"/>
        </w:trPr>
        <w:tc>
          <w:tcPr/>
          <w:p>
            <w:pPr>
              <w:pStyle w:val="Compact"/>
              <w:jc w:val="left"/>
            </w:pPr>
            <w:r>
              <w:t xml:space="preserve">Categoría</w:t>
            </w:r>
          </w:p>
        </w:tc>
        <w:tc>
          <w:tcPr/>
          <w:p>
            <w:pPr>
              <w:pStyle w:val="Compact"/>
              <w:jc w:val="center"/>
            </w:pPr>
            <w:r>
              <w:t xml:space="preserve">Plan mínimo</w:t>
            </w:r>
          </w:p>
        </w:tc>
        <w:tc>
          <w:tcPr/>
          <w:p>
            <w:pPr>
              <w:pStyle w:val="Compact"/>
              <w:jc w:val="left"/>
            </w:pPr>
            <w:r>
              <w:t xml:space="preserve">Plan solicitado</w:t>
            </w:r>
          </w:p>
        </w:tc>
        <w:tc>
          <w:tcPr/>
          <w:p>
            <w:pPr>
              <w:pStyle w:val="Compact"/>
              <w:jc w:val="center"/>
            </w:pPr>
            <w:r>
              <w:t xml:space="preserve">Propósito principal</w:t>
            </w:r>
          </w:p>
        </w:tc>
      </w:tr>
      <w:tr>
        <w:tc>
          <w:tcPr/>
          <w:p>
            <w:pPr>
              <w:pStyle w:val="Compact"/>
              <w:jc w:val="left"/>
            </w:pPr>
            <w:r>
              <w:t xml:space="preserve">Televisión abierta y por cable</w:t>
            </w:r>
          </w:p>
        </w:tc>
        <w:tc>
          <w:tcPr/>
          <w:p>
            <w:pPr>
              <w:pStyle w:val="Compact"/>
              <w:jc w:val="center"/>
            </w:pPr>
            <w:r>
              <w:t xml:space="preserve">$46 millones</w:t>
            </w:r>
          </w:p>
        </w:tc>
        <w:tc>
          <w:tcPr/>
          <w:p>
            <w:pPr>
              <w:pStyle w:val="Compact"/>
              <w:jc w:val="left"/>
            </w:pPr>
            <w:r>
              <w:t xml:space="preserve">$72 millones</w:t>
            </w:r>
          </w:p>
        </w:tc>
        <w:tc>
          <w:tcPr/>
          <w:p>
            <w:pPr>
              <w:pStyle w:val="Compact"/>
              <w:jc w:val="center"/>
            </w:pPr>
            <w:r>
              <w:t xml:space="preserve">Persuasión amplia y contraste</w:t>
            </w:r>
          </w:p>
        </w:tc>
      </w:tr>
      <w:tr>
        <w:tc>
          <w:tcPr/>
          <w:p>
            <w:pPr>
              <w:pStyle w:val="Compact"/>
              <w:jc w:val="left"/>
            </w:pPr>
            <w:r>
              <w:t xml:space="preserve">Video en transmisión en línea</w:t>
            </w:r>
          </w:p>
        </w:tc>
        <w:tc>
          <w:tcPr/>
          <w:p>
            <w:pPr>
              <w:pStyle w:val="Compact"/>
              <w:jc w:val="center"/>
            </w:pPr>
            <w:r>
              <w:t xml:space="preserve">$14</w:t>
            </w:r>
          </w:p>
        </w:tc>
        <w:tc>
          <w:tcPr/>
          <w:p>
            <w:pPr>
              <w:pStyle w:val="Compact"/>
              <w:jc w:val="left"/>
            </w:pPr>
            <w:r>
              <w:t xml:space="preserve">millones $26 m</w:t>
            </w:r>
          </w:p>
        </w:tc>
        <w:tc>
          <w:tcPr/>
          <w:p>
            <w:pPr>
              <w:pStyle w:val="Compact"/>
              <w:jc w:val="center"/>
            </w:pPr>
            <w:r>
              <w:t xml:space="preserve">illones Persuasión focalizada</w:t>
            </w:r>
          </w:p>
        </w:tc>
      </w:tr>
      <w:tr>
        <w:tc>
          <w:tcPr/>
          <w:p>
            <w:pPr>
              <w:pStyle w:val="Compact"/>
              <w:jc w:val="left"/>
            </w:pPr>
            <w:r>
              <w:t xml:space="preserve">Búsqueda y redes sociales</w:t>
            </w:r>
          </w:p>
        </w:tc>
        <w:tc>
          <w:tcPr/>
          <w:p>
            <w:pPr>
              <w:pStyle w:val="Compact"/>
              <w:jc w:val="center"/>
            </w:pPr>
            <w:r>
              <w:t xml:space="preserve">$11 mill</w:t>
            </w:r>
          </w:p>
        </w:tc>
        <w:tc>
          <w:tcPr/>
          <w:p>
            <w:pPr>
              <w:pStyle w:val="Compact"/>
              <w:jc w:val="left"/>
            </w:pPr>
            <w:r>
              <w:t xml:space="preserve">ones $19 millo</w:t>
            </w:r>
          </w:p>
        </w:tc>
        <w:tc>
          <w:tcPr/>
          <w:p>
            <w:pPr>
              <w:pStyle w:val="Compact"/>
              <w:jc w:val="center"/>
            </w:pPr>
            <w:r>
              <w:t xml:space="preserve">nes Información, persuasión, recaudación de fondos</w:t>
            </w:r>
          </w:p>
        </w:tc>
      </w:tr>
      <w:tr>
        <w:tc>
          <w:tcPr/>
          <w:p>
            <w:pPr>
              <w:pStyle w:val="Compact"/>
              <w:jc w:val="left"/>
            </w:pPr>
            <w:r>
              <w:t xml:space="preserve">Correo directo y material impreso</w:t>
            </w:r>
          </w:p>
        </w:tc>
        <w:tc>
          <w:tcPr/>
          <w:p>
            <w:pPr>
              <w:pStyle w:val="Compact"/>
              <w:jc w:val="center"/>
            </w:pPr>
            <w:r>
              <w:t xml:space="preserve">$7 millones</w:t>
            </w:r>
          </w:p>
        </w:tc>
        <w:tc>
          <w:tcPr/>
          <w:p>
            <w:pPr>
              <w:pStyle w:val="Compact"/>
              <w:jc w:val="left"/>
            </w:pPr>
            <w:r>
              <w:t xml:space="preserve">$12 millones</w:t>
            </w:r>
          </w:p>
        </w:tc>
        <w:tc>
          <w:tcPr/>
          <w:p>
            <w:pPr>
              <w:pStyle w:val="Compact"/>
              <w:jc w:val="center"/>
            </w:pPr>
            <w:r>
              <w:t xml:space="preserve">Persuasión y movilización focalizada</w:t>
            </w:r>
          </w:p>
        </w:tc>
      </w:tr>
      <w:tr>
        <w:tc>
          <w:tcPr/>
          <w:p>
            <w:pPr>
              <w:pStyle w:val="Compact"/>
              <w:jc w:val="left"/>
            </w:pPr>
            <w:r>
              <w:t xml:space="preserve">Contacto de campo con votantes</w:t>
            </w:r>
          </w:p>
        </w:tc>
        <w:tc>
          <w:tcPr/>
          <w:p>
            <w:pPr>
              <w:pStyle w:val="Compact"/>
              <w:jc w:val="center"/>
            </w:pPr>
            <w:r>
              <w:t xml:space="preserve">$22</w:t>
            </w:r>
          </w:p>
        </w:tc>
        <w:tc>
          <w:tcPr/>
          <w:p>
            <w:pPr>
              <w:pStyle w:val="Compact"/>
              <w:jc w:val="left"/>
            </w:pPr>
            <w:r>
              <w:t xml:space="preserve">millones $38</w:t>
            </w:r>
          </w:p>
        </w:tc>
        <w:tc>
          <w:tcPr/>
          <w:p>
            <w:pPr>
              <w:pStyle w:val="Compact"/>
              <w:jc w:val="center"/>
            </w:pPr>
            <w:r>
              <w:t xml:space="preserve">millones Registro, voto anticipado, movilización</w:t>
            </w:r>
          </w:p>
        </w:tc>
      </w:tr>
      <w:tr>
        <w:tc>
          <w:tcPr/>
          <w:p>
            <w:pPr>
              <w:pStyle w:val="Compact"/>
              <w:jc w:val="left"/>
            </w:pPr>
            <w:r>
              <w:t xml:space="preserve">Encuestas, análisis y experimentos</w:t>
            </w:r>
            <w:r>
              <w:br/>
            </w:r>
          </w:p>
        </w:tc>
        <w:tc>
          <w:tcPr/>
          <w:p>
            <w:pPr>
              <w:pStyle w:val="Compact"/>
              <w:jc w:val="center"/>
            </w:pPr>
            <w:r>
              <w:t xml:space="preserve">$8 millones</w:t>
            </w:r>
          </w:p>
        </w:tc>
        <w:tc>
          <w:tcPr/>
          <w:p>
            <w:pPr>
              <w:pStyle w:val="Compact"/>
              <w:jc w:val="left"/>
            </w:pPr>
            <w:r>
              <w:t xml:space="preserve">$15 millones</w:t>
            </w:r>
          </w:p>
        </w:tc>
        <w:tc>
          <w:tcPr/>
          <w:p>
            <w:pPr>
              <w:pStyle w:val="Compact"/>
              <w:jc w:val="center"/>
            </w:pPr>
            <w:r>
              <w:t xml:space="preserve">Medición y aprendizaje</w:t>
            </w:r>
          </w:p>
        </w:tc>
      </w:tr>
    </w:tbl>
    <w:bookmarkEnd w:id="14"/>
    <w:bookmarkEnd w:id="15"/>
    <w:bookmarkStart w:id="17" w:name="la-organización-de-campo"/>
    <w:p>
      <w:pPr>
        <w:pStyle w:val="Heading1"/>
      </w:pPr>
      <w:r>
        <w:t xml:space="preserve">La Organización de Campo</w:t>
      </w:r>
    </w:p>
    <w:p>
      <w:pPr>
        <w:pStyle w:val="FirstParagraph"/>
      </w:pPr>
      <w:r>
        <w:t xml:space="preserve">El director de campo Luis Ortega veía la campaña como una operación de construcción de capacidad. Las oficinas, organizadores, líderes voluntarios, rutas de tocar puertas, bancos telefónicos, equipos de corrección de boletas y apoyo legal tenían que reunirse antes de que fueran necesarios. Un nuevo organizador requería reclutamiento, capacitación, acceso a datos, supervisión y relaciones locales. Cerrar una oficina más tarde ahorraría menos dinero de lo esperado y podría dañar la moral. Por lo tanto, Ortega quería compromisos tempranos en los siete estados.</w:t>
      </w:r>
    </w:p>
    <w:p>
      <w:pPr>
        <w:pStyle w:val="BodyText"/>
      </w:pPr>
      <w:r>
        <w:t xml:space="preserve">La organización más fuerte estaba en Northlake, donde la campaña tenía 31 oficinas, 420 empleados pagados y más de 18,000 voluntarios que habían completado al menos un turno. Sonora solo tenía 12 oficinas y 135 empleados repartidos en un territorio mucho más grande. Great Plains tenía organizaciones partidarias sólidas en dos áreas metropolitanas, pero cobertura débil en condados industriales más pequeños. Silver Basin tenía pocos votos electorales, sin embargo sus mercados mediáticos eran relativamente económicos y su población estaba concentrada. Piedmont tenía la mayor reserva potencial de nuevos votantes, pero las reglas de registro y el rápido crecimiento poblacional hacían que el padrón electoral fuera menos confiable.</w:t>
      </w:r>
    </w:p>
    <w:bookmarkStart w:id="16" w:name="X14f32deeb0787279bb4471c65331e2ad2131bb8"/>
    <w:p>
      <w:pPr>
        <w:pStyle w:val="Heading2"/>
      </w:pPr>
      <w:r>
        <w:t xml:space="preserve">Figura 4. Capacidad de Campo en los Estados Clave</w:t>
      </w:r>
    </w:p>
    <w:tbl>
      <w:tblPr>
        <w:tblStyle w:val="Table"/>
        <w:tblW w:type="pct" w:w="4877"/>
        <w:tblLayout w:type="fixed"/>
        <w:tblLook w:firstRow="1" w:lastRow="0" w:firstColumn="0" w:lastColumn="0" w:noHBand="0" w:noVBand="0" w:val="0020"/>
      </w:tblPr>
      <w:tblGrid>
        <w:gridCol w:w="1466"/>
        <w:gridCol w:w="977"/>
        <w:gridCol w:w="1271"/>
        <w:gridCol w:w="1955"/>
        <w:gridCol w:w="2053"/>
      </w:tblGrid>
      <w:tr>
        <w:trPr>
          <w:tblHeader w:val="on"/>
        </w:trPr>
        <w:tc>
          <w:tcPr/>
          <w:p>
            <w:pPr>
              <w:pStyle w:val="Compact"/>
              <w:jc w:val="left"/>
            </w:pPr>
            <w:r>
              <w:t xml:space="preserve">Estado</w:t>
            </w:r>
          </w:p>
        </w:tc>
        <w:tc>
          <w:tcPr/>
          <w:p>
            <w:pPr>
              <w:pStyle w:val="Compact"/>
              <w:jc w:val="left"/>
            </w:pPr>
            <w:r>
              <w:t xml:space="preserve">Oficinas</w:t>
            </w:r>
          </w:p>
        </w:tc>
        <w:tc>
          <w:tcPr/>
          <w:p>
            <w:pPr>
              <w:pStyle w:val="Compact"/>
              <w:jc w:val="right"/>
            </w:pPr>
            <w:r>
              <w:t xml:space="preserve">Empleados pa</w:t>
            </w:r>
          </w:p>
        </w:tc>
        <w:tc>
          <w:tcPr/>
          <w:p>
            <w:pPr>
              <w:pStyle w:val="Compact"/>
            </w:pPr>
            <w:r>
              <w:t xml:space="preserve">gados Voluntarios</w:t>
            </w:r>
          </w:p>
        </w:tc>
        <w:tc>
          <w:tcPr/>
          <w:p>
            <w:pPr>
              <w:pStyle w:val="Compact"/>
            </w:pPr>
            <w:r>
              <w:t xml:space="preserve">activos Solicitud adicional</w:t>
            </w:r>
          </w:p>
        </w:tc>
      </w:tr>
      <w:tr>
        <w:tc>
          <w:tcPr/>
          <w:p>
            <w:pPr>
              <w:pStyle w:val="Compact"/>
              <w:jc w:val="left"/>
            </w:pPr>
            <w:r>
              <w:t xml:space="preserve">Northlake</w:t>
            </w:r>
          </w:p>
        </w:tc>
        <w:tc>
          <w:tcPr/>
          <w:p>
            <w:pPr>
              <w:pStyle w:val="Compact"/>
              <w:jc w:val="left"/>
            </w:pPr>
            <w:r>
              <w:t xml:space="preserve">31</w:t>
            </w:r>
          </w:p>
        </w:tc>
        <w:tc>
          <w:tcPr/>
          <w:p>
            <w:pPr>
              <w:pStyle w:val="Compact"/>
              <w:jc w:val="right"/>
            </w:pPr>
            <w:r>
              <w:t xml:space="preserve">420</w:t>
            </w:r>
          </w:p>
        </w:tc>
        <w:tc>
          <w:tcPr/>
          <w:p>
            <w:pPr>
              <w:pStyle w:val="Compact"/>
            </w:pPr>
            <w:r>
              <w:t xml:space="preserve">18,200</w:t>
            </w:r>
          </w:p>
        </w:tc>
        <w:tc>
          <w:tcPr/>
          <w:p>
            <w:pPr>
              <w:pStyle w:val="Compact"/>
            </w:pPr>
            <w:r>
              <w:t xml:space="preserve">$8.5 millones</w:t>
            </w:r>
          </w:p>
        </w:tc>
      </w:tr>
      <w:tr>
        <w:tc>
          <w:tcPr/>
          <w:p>
            <w:pPr>
              <w:pStyle w:val="Compact"/>
              <w:jc w:val="left"/>
            </w:pPr>
            <w:r>
              <w:t xml:space="preserve">Great Plains</w:t>
            </w:r>
          </w:p>
        </w:tc>
        <w:tc>
          <w:tcPr/>
          <w:p>
            <w:pPr>
              <w:pStyle w:val="Compact"/>
              <w:jc w:val="left"/>
            </w:pPr>
            <w:r>
              <w:t xml:space="preserve">22</w:t>
            </w:r>
          </w:p>
        </w:tc>
        <w:tc>
          <w:tcPr/>
          <w:p>
            <w:pPr>
              <w:pStyle w:val="Compact"/>
              <w:jc w:val="right"/>
            </w:pPr>
            <w:r>
              <w:t xml:space="preserve">286</w:t>
            </w:r>
          </w:p>
        </w:tc>
        <w:tc>
          <w:tcPr/>
          <w:p>
            <w:pPr>
              <w:pStyle w:val="Compact"/>
            </w:pPr>
            <w:r>
              <w:t xml:space="preserve">10,400</w:t>
            </w:r>
          </w:p>
        </w:tc>
        <w:tc>
          <w:tcPr/>
          <w:p>
            <w:pPr>
              <w:pStyle w:val="Compact"/>
            </w:pPr>
            <w:r>
              <w:t xml:space="preserve">$7.2 millones</w:t>
            </w:r>
          </w:p>
        </w:tc>
      </w:tr>
      <w:tr>
        <w:tc>
          <w:tcPr/>
          <w:p>
            <w:pPr>
              <w:pStyle w:val="Compact"/>
              <w:jc w:val="left"/>
            </w:pPr>
            <w:r>
              <w:t xml:space="preserve">Piedmont</w:t>
            </w:r>
          </w:p>
        </w:tc>
        <w:tc>
          <w:tcPr/>
          <w:p>
            <w:pPr>
              <w:pStyle w:val="Compact"/>
              <w:jc w:val="left"/>
            </w:pPr>
            <w:r>
              <w:t xml:space="preserve">20</w:t>
            </w:r>
          </w:p>
        </w:tc>
        <w:tc>
          <w:tcPr/>
          <w:p>
            <w:pPr>
              <w:pStyle w:val="Compact"/>
              <w:jc w:val="right"/>
            </w:pPr>
            <w:r>
              <w:t xml:space="preserve">305</w:t>
            </w:r>
          </w:p>
        </w:tc>
        <w:tc>
          <w:tcPr/>
          <w:p>
            <w:pPr>
              <w:pStyle w:val="Compact"/>
            </w:pPr>
            <w:r>
              <w:t xml:space="preserve">9,100</w:t>
            </w:r>
          </w:p>
        </w:tc>
        <w:tc>
          <w:tcPr/>
          <w:p>
            <w:pPr>
              <w:pStyle w:val="Compact"/>
            </w:pPr>
            <w:r>
              <w:t xml:space="preserve">$9.4 millones</w:t>
            </w:r>
          </w:p>
        </w:tc>
      </w:tr>
      <w:tr>
        <w:tc>
          <w:tcPr/>
          <w:p>
            <w:pPr>
              <w:pStyle w:val="Compact"/>
              <w:jc w:val="left"/>
            </w:pPr>
            <w:r>
              <w:t xml:space="preserve">Midland</w:t>
            </w:r>
          </w:p>
        </w:tc>
        <w:tc>
          <w:tcPr/>
          <w:p>
            <w:pPr>
              <w:pStyle w:val="Compact"/>
              <w:jc w:val="left"/>
            </w:pPr>
            <w:r>
              <w:t xml:space="preserve">25</w:t>
            </w:r>
          </w:p>
        </w:tc>
        <w:tc>
          <w:tcPr/>
          <w:p>
            <w:pPr>
              <w:pStyle w:val="Compact"/>
              <w:jc w:val="right"/>
            </w:pPr>
            <w:r>
              <w:t xml:space="preserve">338</w:t>
            </w:r>
          </w:p>
        </w:tc>
        <w:tc>
          <w:tcPr/>
          <w:p>
            <w:pPr>
              <w:pStyle w:val="Compact"/>
            </w:pPr>
            <w:r>
              <w:t xml:space="preserve">13,700</w:t>
            </w:r>
          </w:p>
        </w:tc>
        <w:tc>
          <w:tcPr/>
          <w:p>
            <w:pPr>
              <w:pStyle w:val="Compact"/>
            </w:pPr>
            <w:r>
              <w:t xml:space="preserve">$7.8 millones</w:t>
            </w:r>
          </w:p>
        </w:tc>
      </w:tr>
      <w:tr>
        <w:tc>
          <w:tcPr/>
          <w:p>
            <w:pPr>
              <w:pStyle w:val="Compact"/>
              <w:jc w:val="left"/>
            </w:pPr>
            <w:r>
              <w:t xml:space="preserve">Sonora</w:t>
            </w:r>
          </w:p>
        </w:tc>
        <w:tc>
          <w:tcPr/>
          <w:p>
            <w:pPr>
              <w:pStyle w:val="Compact"/>
              <w:jc w:val="left"/>
            </w:pPr>
            <w:r>
              <w:t xml:space="preserve">12</w:t>
            </w:r>
          </w:p>
        </w:tc>
        <w:tc>
          <w:tcPr/>
          <w:p>
            <w:pPr>
              <w:pStyle w:val="Compact"/>
              <w:jc w:val="right"/>
            </w:pPr>
            <w:r>
              <w:t xml:space="preserve">135</w:t>
            </w:r>
          </w:p>
        </w:tc>
        <w:tc>
          <w:tcPr/>
          <w:p>
            <w:pPr>
              <w:pStyle w:val="Compact"/>
            </w:pPr>
            <w:r>
              <w:t xml:space="preserve">5,300</w:t>
            </w:r>
          </w:p>
        </w:tc>
        <w:tc>
          <w:tcPr/>
          <w:p>
            <w:pPr>
              <w:pStyle w:val="Compact"/>
            </w:pPr>
            <w:r>
              <w:t xml:space="preserve">$8.9 millones</w:t>
            </w:r>
          </w:p>
        </w:tc>
      </w:tr>
      <w:tr>
        <w:tc>
          <w:tcPr/>
          <w:p>
            <w:pPr>
              <w:pStyle w:val="Compact"/>
              <w:jc w:val="left"/>
            </w:pPr>
            <w:r>
              <w:t xml:space="preserve">Lakeland</w:t>
            </w:r>
          </w:p>
        </w:tc>
        <w:tc>
          <w:tcPr/>
          <w:p>
            <w:pPr>
              <w:pStyle w:val="Compact"/>
              <w:jc w:val="left"/>
            </w:pPr>
            <w:r>
              <w:t xml:space="preserve">18</w:t>
            </w:r>
          </w:p>
        </w:tc>
        <w:tc>
          <w:tcPr/>
          <w:p>
            <w:pPr>
              <w:pStyle w:val="Compact"/>
              <w:jc w:val="right"/>
            </w:pPr>
            <w:r>
              <w:t xml:space="preserve">224</w:t>
            </w:r>
          </w:p>
        </w:tc>
        <w:tc>
          <w:tcPr/>
          <w:p>
            <w:pPr>
              <w:pStyle w:val="Compact"/>
            </w:pPr>
            <w:r>
              <w:t xml:space="preserve">8,800</w:t>
            </w:r>
          </w:p>
        </w:tc>
        <w:tc>
          <w:tcPr/>
          <w:p>
            <w:pPr>
              <w:pStyle w:val="Compact"/>
            </w:pPr>
            <w:r>
              <w:t xml:space="preserve">$5.7 millones</w:t>
            </w:r>
          </w:p>
        </w:tc>
      </w:tr>
      <w:tr>
        <w:tc>
          <w:tcPr/>
          <w:p>
            <w:pPr>
              <w:pStyle w:val="Compact"/>
              <w:jc w:val="left"/>
            </w:pPr>
            <w:r>
              <w:t xml:space="preserve">Silver Basin</w:t>
            </w:r>
          </w:p>
        </w:tc>
        <w:tc>
          <w:tcPr/>
          <w:p>
            <w:pPr>
              <w:pStyle w:val="Compact"/>
              <w:jc w:val="left"/>
            </w:pPr>
            <w:r>
              <w:t xml:space="preserve">9</w:t>
            </w:r>
          </w:p>
        </w:tc>
        <w:tc>
          <w:tcPr/>
          <w:p>
            <w:pPr>
              <w:pStyle w:val="Compact"/>
              <w:jc w:val="right"/>
            </w:pPr>
            <w:r>
              <w:t xml:space="preserve">96</w:t>
            </w:r>
          </w:p>
        </w:tc>
        <w:tc>
          <w:tcPr/>
          <w:p>
            <w:pPr>
              <w:pStyle w:val="Compact"/>
            </w:pPr>
            <w:r>
              <w:t xml:space="preserve">3,900</w:t>
            </w:r>
          </w:p>
        </w:tc>
        <w:tc>
          <w:tcPr/>
          <w:p>
            <w:pPr>
              <w:pStyle w:val="Compact"/>
            </w:pPr>
            <w:r>
              <w:t xml:space="preserve">$3.4 millones</w:t>
            </w:r>
          </w:p>
        </w:tc>
      </w:tr>
    </w:tbl>
    <w:bookmarkEnd w:id="16"/>
    <w:bookmarkEnd w:id="17"/>
    <w:bookmarkStart w:id="19" w:name="qué-decían-realmente-las-encuestas"/>
    <w:p>
      <w:pPr>
        <w:pStyle w:val="Heading1"/>
      </w:pPr>
      <w:r>
        <w:t xml:space="preserve">¿Qué Decían Realmente las Encuestas?</w:t>
      </w:r>
    </w:p>
    <w:p>
      <w:pPr>
        <w:pStyle w:val="FirstParagraph"/>
      </w:pPr>
      <w:r>
        <w:t xml:space="preserve">La directora de encuestas Priya Shah advirtió contra tratar la Figura 1 como algo preciso. Cada estimación combinaba encuestas, supuestos de participación, ajustes por no respuesta y juicios sobre votantes probables. En varios estados, cambiar el modelo de votante probable movía el margen más de lo que indicaba el error muestral reportado. Los encuestados también podían cambiar de opinión o no votar.</w:t>
      </w:r>
    </w:p>
    <w:p>
      <w:pPr>
        <w:pStyle w:val="BodyText"/>
      </w:pPr>
      <w:r>
        <w:t xml:space="preserve">Shah propuso experimentos de mensajes controlados, entrevistas y encuestas rápidas en lugar de otra ronda completa de encuestas estatales. Los directores estatales querían orientación a nivel de condado, mientras que los donantes y funcionarios del partido esperaban cifras generales. Chen se preguntaba si la campaña estaba comprando información para mejorar las decisiones o cifras que los departamentos pudieran usar para defender preferencias existentes.</w:t>
      </w:r>
    </w:p>
    <w:bookmarkStart w:id="18" w:name="X0ddeb1800d6692e46058c9f2bbd5de0ad2812b0"/>
    <w:p>
      <w:pPr>
        <w:pStyle w:val="Heading2"/>
      </w:pPr>
      <w:r>
        <w:t xml:space="preserve">Figura 5. Alternativas de Encuestas Internas</w:t>
      </w:r>
    </w:p>
    <w:tbl>
      <w:tblPr>
        <w:tblStyle w:val="Table"/>
        <w:tblW w:type="pct" w:w="4919"/>
        <w:tblLayout w:type="fixed"/>
        <w:tblLook w:firstRow="1" w:lastRow="0" w:firstColumn="0" w:lastColumn="0" w:noHBand="0" w:noVBand="0" w:val="0020"/>
      </w:tblPr>
      <w:tblGrid>
        <w:gridCol w:w="2768"/>
        <w:gridCol w:w="1030"/>
        <w:gridCol w:w="1674"/>
        <w:gridCol w:w="2318"/>
      </w:tblGrid>
      <w:tr>
        <w:trPr>
          <w:tblHeader w:val="on"/>
        </w:trPr>
        <w:tc>
          <w:tcPr/>
          <w:p>
            <w:pPr>
              <w:pStyle w:val="Compact"/>
              <w:jc w:val="left"/>
            </w:pPr>
            <w:r>
              <w:t xml:space="preserve">Programa</w:t>
            </w:r>
          </w:p>
        </w:tc>
        <w:tc>
          <w:tcPr/>
          <w:p>
            <w:pPr>
              <w:pStyle w:val="Compact"/>
              <w:jc w:val="center"/>
            </w:pPr>
            <w:r>
              <w:t xml:space="preserve">Costo</w:t>
            </w:r>
          </w:p>
        </w:tc>
        <w:tc>
          <w:tcPr/>
          <w:p>
            <w:pPr>
              <w:pStyle w:val="Compact"/>
              <w:jc w:val="center"/>
            </w:pPr>
            <w:r>
              <w:t xml:space="preserve">Momento</w:t>
            </w:r>
          </w:p>
        </w:tc>
        <w:tc>
          <w:tcPr/>
          <w:p>
            <w:pPr>
              <w:pStyle w:val="Compact"/>
              <w:jc w:val="center"/>
            </w:pPr>
            <w:r>
              <w:t xml:space="preserve">Qué podría aclarar</w:t>
            </w:r>
          </w:p>
        </w:tc>
      </w:tr>
      <w:tr>
        <w:tc>
          <w:tcPr/>
          <w:p>
            <w:pPr>
              <w:pStyle w:val="Compact"/>
              <w:jc w:val="left"/>
            </w:pPr>
            <w:r>
              <w:t xml:space="preserve">Encuestas completas en estados clave, dos v</w:t>
            </w:r>
          </w:p>
        </w:tc>
        <w:tc>
          <w:tcPr/>
          <w:p>
            <w:pPr>
              <w:pStyle w:val="Compact"/>
              <w:jc w:val="center"/>
            </w:pPr>
            <w:r>
              <w:t xml:space="preserve">eces al mes $</w:t>
            </w:r>
          </w:p>
        </w:tc>
        <w:tc>
          <w:tcPr/>
          <w:p>
            <w:pPr>
              <w:pStyle w:val="Compact"/>
              <w:jc w:val="center"/>
            </w:pPr>
            <w:r>
              <w:t xml:space="preserve">6.8 millones Resultados</w:t>
            </w:r>
          </w:p>
        </w:tc>
        <w:tc>
          <w:tcPr/>
          <w:p>
            <w:pPr>
              <w:pStyle w:val="Compact"/>
              <w:jc w:val="center"/>
            </w:pPr>
            <w:r>
              <w:t xml:space="preserve">en 5-7 días Márgenes estatales y subgrupos principales</w:t>
            </w:r>
          </w:p>
        </w:tc>
      </w:tr>
      <w:tr>
        <w:tc>
          <w:tcPr/>
          <w:p>
            <w:pPr>
              <w:pStyle w:val="Compact"/>
              <w:jc w:val="left"/>
            </w:pPr>
            <w:r>
              <w:t xml:space="preserve">Encuesta de seguimiento diaria multiestatal</w:t>
            </w:r>
          </w:p>
        </w:tc>
        <w:tc>
          <w:tcPr/>
          <w:p>
            <w:pPr>
              <w:pStyle w:val="Compact"/>
              <w:jc w:val="center"/>
            </w:pPr>
            <w:r>
              <w:t xml:space="preserve">$4.</w:t>
            </w:r>
          </w:p>
        </w:tc>
        <w:tc>
          <w:tcPr/>
          <w:p>
            <w:pPr>
              <w:pStyle w:val="Compact"/>
              <w:jc w:val="center"/>
            </w:pPr>
            <w:r>
              <w:t xml:space="preserve">9 millones Estimaciones</w:t>
            </w:r>
          </w:p>
        </w:tc>
        <w:tc>
          <w:tcPr/>
          <w:p>
            <w:pPr>
              <w:pStyle w:val="Compact"/>
              <w:jc w:val="center"/>
            </w:pPr>
            <w:r>
              <w:t xml:space="preserve">móviles de 3 días Dirección y velocidad del cambio</w:t>
            </w:r>
          </w:p>
        </w:tc>
      </w:tr>
      <w:tr>
        <w:tc>
          <w:tcPr/>
          <w:p>
            <w:pPr>
              <w:pStyle w:val="Compact"/>
              <w:jc w:val="left"/>
            </w:pPr>
            <w:r>
              <w:t xml:space="preserve">Experimentos de mensajes y entrevistas</w:t>
            </w:r>
          </w:p>
        </w:tc>
        <w:tc>
          <w:tcPr/>
          <w:p>
            <w:pPr>
              <w:pStyle w:val="Compact"/>
              <w:jc w:val="center"/>
            </w:pPr>
            <w:r>
              <w:t xml:space="preserve">$3.2 millon</w:t>
            </w:r>
          </w:p>
        </w:tc>
        <w:tc>
          <w:tcPr/>
          <w:p>
            <w:pPr>
              <w:pStyle w:val="Compact"/>
              <w:jc w:val="center"/>
            </w:pPr>
            <w:r>
              <w:t xml:space="preserve">es 2-10 días</w:t>
            </w:r>
          </w:p>
        </w:tc>
        <w:tc>
          <w:tcPr/>
          <w:p>
            <w:pPr>
              <w:pStyle w:val="Compact"/>
              <w:jc w:val="center"/>
            </w:pPr>
            <w:r>
              <w:t xml:space="preserve">Respuesta a temas y lenguaje</w:t>
            </w:r>
          </w:p>
        </w:tc>
      </w:tr>
      <w:tr>
        <w:tc>
          <w:tcPr/>
          <w:p>
            <w:pPr>
              <w:pStyle w:val="Compact"/>
              <w:jc w:val="left"/>
            </w:pPr>
            <w:r>
              <w:t xml:space="preserve">Actualización del modelado del padrón elect</w:t>
            </w:r>
          </w:p>
        </w:tc>
        <w:tc>
          <w:tcPr/>
          <w:p>
            <w:pPr>
              <w:pStyle w:val="Compact"/>
              <w:jc w:val="center"/>
            </w:pPr>
            <w:r>
              <w:t xml:space="preserve">oral a nivel de</w:t>
            </w:r>
          </w:p>
        </w:tc>
        <w:tc>
          <w:tcPr/>
          <w:p>
            <w:pPr>
              <w:pStyle w:val="Compact"/>
              <w:jc w:val="center"/>
            </w:pPr>
            <w:r>
              <w:t xml:space="preserve">condado $2.6 millones</w:t>
            </w:r>
          </w:p>
        </w:tc>
        <w:tc>
          <w:tcPr/>
          <w:p>
            <w:pPr>
              <w:pStyle w:val="Compact"/>
              <w:jc w:val="center"/>
            </w:pPr>
            <w:r>
              <w:t xml:space="preserve">3 semanas Segmentación geográfica y movilización</w:t>
            </w:r>
          </w:p>
        </w:tc>
      </w:tr>
      <w:tr>
        <w:tc>
          <w:tcPr/>
          <w:p>
            <w:pPr>
              <w:pStyle w:val="Compact"/>
              <w:jc w:val="left"/>
            </w:pPr>
            <w:r>
              <w:t xml:space="preserve">Encuestas mínimas de cumplimiento y referen</w:t>
            </w:r>
          </w:p>
        </w:tc>
        <w:tc>
          <w:tcPr/>
          <w:p>
            <w:pPr>
              <w:pStyle w:val="Compact"/>
              <w:jc w:val="center"/>
            </w:pPr>
            <w:r>
              <w:t xml:space="preserve">cia $1.1 mill</w:t>
            </w:r>
          </w:p>
        </w:tc>
        <w:tc>
          <w:tcPr/>
          <w:p>
            <w:pPr>
              <w:pStyle w:val="Compact"/>
              <w:jc w:val="center"/>
            </w:pPr>
            <w:r>
              <w:t xml:space="preserve">ones Según sea necesario</w:t>
            </w:r>
          </w:p>
        </w:tc>
        <w:tc>
          <w:tcPr/>
          <w:p>
            <w:pPr>
              <w:pStyle w:val="Compact"/>
              <w:jc w:val="center"/>
            </w:pPr>
            <w:r>
              <w:t xml:space="preserve">Monitoreo básico de la campaña</w:t>
            </w:r>
          </w:p>
        </w:tc>
      </w:tr>
    </w:tbl>
    <w:bookmarkEnd w:id="18"/>
    <w:bookmarkEnd w:id="19"/>
    <w:bookmarkStart w:id="20" w:name="X08bc51484703a6ded3053c840efe48a7f6f12d9"/>
    <w:p>
      <w:pPr>
        <w:pStyle w:val="Heading1"/>
      </w:pPr>
      <w:r>
        <w:t xml:space="preserve">Eventos que la Campaña No Podía Programar</w:t>
      </w:r>
    </w:p>
    <w:p>
      <w:pPr>
        <w:pStyle w:val="FirstParagraph"/>
      </w:pPr>
      <w:r>
        <w:t xml:space="preserve">El plan operaría en un entorno que la campaña no controlaba. Un informe económico, una crisis internacional, un desastre natural, una decisión judicial, un error del candidato, una filtración, una preocupación de salud o un anuncio del oponente podían redirigir la atención en cuestión de horas. Los grupos externos podían gastar sin coordinar con la campaña, reforzando el mensaje de Meridian u obligando a defender un estado considerado seguro.</w:t>
      </w:r>
    </w:p>
    <w:p>
      <w:pPr>
        <w:pStyle w:val="BodyText"/>
      </w:pPr>
      <w:r>
        <w:t xml:space="preserve">El pronóstico financiero también era incierto. Las donaciones de pequeña cuantía respondían rápidamente a los eventos, pero la fatiga de los donantes había aumentado. La recaudación de fondos de grandes donantes dependía de un número limitado de eventos. Los grupos externos podían remodelar el entorno mediático. Durante el ciclo 2023-2024, los comités políticos federales manejaron colectivamente miles de millones de dólares; la campaña de Meridian era solo un actor en un sistema mucho más grande.</w:t>
      </w:r>
    </w:p>
    <w:bookmarkEnd w:id="20"/>
    <w:bookmarkStart w:id="22" w:name="X1456a917e94e60bdb3e94efe5df96d9d15f7a00"/>
    <w:p>
      <w:pPr>
        <w:pStyle w:val="Heading1"/>
      </w:pPr>
      <w:r>
        <w:t xml:space="preserve">Una Decisión que en Realidad Era una Secuencia de Decisiones</w:t>
      </w:r>
    </w:p>
    <w:p>
      <w:pPr>
        <w:pStyle w:val="FirstParagraph"/>
      </w:pPr>
      <w:r>
        <w:t xml:space="preserve">El personal de Chen presentó cuatro planes: concentrarse en Northlake, Midland y Lakeland; invertir plenamente en los siete estados; enfatizar la organización de campo y el voto anticipado; o proteger una gran reserva para el último mes. Cada plan implicaba una visión diferente de dónde podían cambiarse los votos y cuánto importarían los futuros eventos.</w:t>
      </w:r>
    </w:p>
    <w:p>
      <w:pPr>
        <w:pStyle w:val="BodyText"/>
      </w:pPr>
      <w:r>
        <w:t xml:space="preserve">A las 7:40 a.m., Chen se enteró de que un grupo opositor había reservado $18 millones en tiempo de televisión en Northlake, las donaciones del fin de semana estaban un 22 por ciento por debajo del pronóstico, y la candidata quería un discurso importante en Sonora. Cada solicitud parecía razonable por sí sola; juntas, excedían la capacidad de la campaña.</w:t>
      </w:r>
    </w:p>
    <w:bookmarkStart w:id="21" w:name="figura-6.-cuatro-estrategias-de-recursos"/>
    <w:p>
      <w:pPr>
        <w:pStyle w:val="Heading2"/>
      </w:pPr>
      <w:r>
        <w:t xml:space="preserve">Figura 6. Cuatro Estrategias de Recursos</w:t>
      </w:r>
    </w:p>
    <w:tbl>
      <w:tblPr>
        <w:tblStyle w:val="Table"/>
        <w:tblW w:type="pct" w:w="4923"/>
        <w:tblLayout w:type="fixed"/>
        <w:tblLook w:firstRow="1" w:lastRow="0" w:firstColumn="0" w:lastColumn="0" w:noHBand="0" w:noVBand="0" w:val="0020"/>
      </w:tblPr>
      <w:tblGrid>
        <w:gridCol w:w="1340"/>
        <w:gridCol w:w="1401"/>
        <w:gridCol w:w="1705"/>
        <w:gridCol w:w="3350"/>
      </w:tblGrid>
      <w:tr>
        <w:trPr>
          <w:tblHeader w:val="on"/>
        </w:trPr>
        <w:tc>
          <w:tcPr/>
          <w:p>
            <w:pPr>
              <w:pStyle w:val="Compact"/>
              <w:jc w:val="left"/>
            </w:pPr>
            <w:r>
              <w:t xml:space="preserve">Estrategia</w:t>
            </w:r>
          </w:p>
        </w:tc>
        <w:tc>
          <w:tcPr/>
          <w:p>
            <w:pPr>
              <w:pStyle w:val="Compact"/>
              <w:jc w:val="right"/>
            </w:pPr>
            <w:r>
              <w:t xml:space="preserve">Compromiso inmediato</w:t>
            </w:r>
          </w:p>
        </w:tc>
        <w:tc>
          <w:tcPr/>
          <w:p>
            <w:pPr>
              <w:pStyle w:val="Compact"/>
              <w:jc w:val="right"/>
            </w:pPr>
            <w:r>
              <w:t xml:space="preserve">Efectivo reservado para el</w:t>
            </w:r>
          </w:p>
        </w:tc>
        <w:tc>
          <w:tcPr/>
          <w:p>
            <w:pPr>
              <w:pStyle w:val="Compact"/>
              <w:jc w:val="center"/>
            </w:pPr>
            <w:r>
              <w:t xml:space="preserve">último mes Premisa central</w:t>
            </w:r>
          </w:p>
        </w:tc>
      </w:tr>
      <w:tr>
        <w:tc>
          <w:tcPr/>
          <w:p>
            <w:pPr>
              <w:pStyle w:val="Compact"/>
              <w:jc w:val="left"/>
            </w:pPr>
            <w:r>
              <w:t xml:space="preserve">Ruta más corta</w:t>
            </w:r>
          </w:p>
        </w:tc>
        <w:tc>
          <w:tcPr/>
          <w:p>
            <w:pPr>
              <w:pStyle w:val="Compact"/>
              <w:jc w:val="right"/>
            </w:pPr>
            <w:r>
              <w:t xml:space="preserve">$151 millones</w:t>
            </w:r>
          </w:p>
        </w:tc>
        <w:tc>
          <w:tcPr/>
          <w:p>
            <w:pPr>
              <w:pStyle w:val="Compact"/>
              <w:jc w:val="right"/>
            </w:pPr>
            <w:r>
              <w:t xml:space="preserve">$39 millones</w:t>
            </w:r>
          </w:p>
        </w:tc>
        <w:tc>
          <w:tcPr/>
          <w:p>
            <w:pPr>
              <w:pStyle w:val="Compact"/>
              <w:jc w:val="center"/>
            </w:pPr>
            <w:r>
              <w:t xml:space="preserve">Proteger la ruta más plausible hacia 270</w:t>
            </w:r>
          </w:p>
        </w:tc>
      </w:tr>
      <w:tr>
        <w:tc>
          <w:tcPr/>
          <w:p>
            <w:pPr>
              <w:pStyle w:val="Compact"/>
              <w:jc w:val="left"/>
            </w:pPr>
            <w:r>
              <w:t xml:space="preserve">Contienda en siete est</w:t>
            </w:r>
          </w:p>
        </w:tc>
        <w:tc>
          <w:tcPr/>
          <w:p>
            <w:pPr>
              <w:pStyle w:val="Compact"/>
              <w:jc w:val="right"/>
            </w:pPr>
            <w:r>
              <w:t xml:space="preserve">ados $178 millones</w:t>
            </w:r>
          </w:p>
        </w:tc>
        <w:tc>
          <w:tcPr/>
          <w:p>
            <w:pPr>
              <w:pStyle w:val="Compact"/>
              <w:jc w:val="right"/>
            </w:pPr>
            <w:r>
              <w:t xml:space="preserve">$12 millones</w:t>
            </w:r>
          </w:p>
        </w:tc>
        <w:tc>
          <w:tcPr/>
          <w:p>
            <w:pPr>
              <w:pStyle w:val="Compact"/>
              <w:jc w:val="center"/>
            </w:pPr>
            <w:r>
              <w:t xml:space="preserve">Mantener cada estado clave plenamente competitivo</w:t>
            </w:r>
          </w:p>
        </w:tc>
      </w:tr>
      <w:tr>
        <w:tc>
          <w:tcPr/>
          <w:p>
            <w:pPr>
              <w:pStyle w:val="Compact"/>
              <w:jc w:val="left"/>
            </w:pPr>
            <w:r>
              <w:t xml:space="preserve">Organización primero</w:t>
            </w:r>
          </w:p>
        </w:tc>
        <w:tc>
          <w:tcPr/>
          <w:p>
            <w:pPr>
              <w:pStyle w:val="Compact"/>
              <w:jc w:val="right"/>
            </w:pPr>
            <w:r>
              <w:t xml:space="preserve">$159 millon</w:t>
            </w:r>
          </w:p>
        </w:tc>
        <w:tc>
          <w:tcPr/>
          <w:p>
            <w:pPr>
              <w:pStyle w:val="Compact"/>
              <w:jc w:val="right"/>
            </w:pPr>
            <w:r>
              <w:t xml:space="preserve">es $31 millones</w:t>
            </w:r>
          </w:p>
        </w:tc>
        <w:tc>
          <w:tcPr/>
          <w:p>
            <w:pPr>
              <w:pStyle w:val="Compact"/>
              <w:jc w:val="center"/>
            </w:pPr>
            <w:r>
              <w:t xml:space="preserve">La capacidad de campo y el voto anticipado serán decisivos</w:t>
            </w:r>
          </w:p>
        </w:tc>
      </w:tr>
      <w:tr>
        <w:tc>
          <w:tcPr/>
          <w:p>
            <w:pPr>
              <w:pStyle w:val="Compact"/>
              <w:jc w:val="left"/>
            </w:pPr>
            <w:r>
              <w:t xml:space="preserve">Reserva adaptativa</w:t>
            </w:r>
          </w:p>
        </w:tc>
        <w:tc>
          <w:tcPr/>
          <w:p>
            <w:pPr>
              <w:pStyle w:val="Compact"/>
              <w:jc w:val="right"/>
            </w:pPr>
            <w:r>
              <w:t xml:space="preserve">$132 millone</w:t>
            </w:r>
          </w:p>
        </w:tc>
        <w:tc>
          <w:tcPr/>
          <w:p>
            <w:pPr>
              <w:pStyle w:val="Compact"/>
              <w:jc w:val="right"/>
            </w:pPr>
            <w:r>
              <w:t xml:space="preserve">s $58 millones</w:t>
            </w:r>
          </w:p>
        </w:tc>
        <w:tc>
          <w:tcPr/>
          <w:p>
            <w:pPr>
              <w:pStyle w:val="Compact"/>
              <w:jc w:val="center"/>
            </w:pPr>
            <w:r>
              <w:t xml:space="preserve">Los eventos futuros y la información cambiarán las prioridades</w:t>
            </w:r>
          </w:p>
        </w:tc>
      </w:tr>
    </w:tbl>
    <w:bookmarkEnd w:id="21"/>
    <w:bookmarkEnd w:id="22"/>
    <w:bookmarkStart w:id="23" w:name="preguntas-de-discusión"/>
    <w:p>
      <w:pPr>
        <w:pStyle w:val="Heading1"/>
      </w:pPr>
      <w:r>
        <w:t xml:space="preserve">Preguntas de Discusión</w:t>
      </w:r>
    </w:p>
    <w:p>
      <w:pPr>
        <w:numPr>
          <w:ilvl w:val="0"/>
          <w:numId w:val="1001"/>
        </w:numPr>
      </w:pPr>
      <w:r>
        <w:t xml:space="preserve">¿Cuál es el problema central que enfrenta Maya Chen, y por qué es más difícil que seleccionar el estado con la encuesta más cerrada?</w:t>
      </w:r>
    </w:p>
    <w:p>
      <w:pPr>
        <w:numPr>
          <w:ilvl w:val="0"/>
          <w:numId w:val="1001"/>
        </w:numPr>
      </w:pPr>
      <w:r>
        <w:t xml:space="preserve">¿Cómo debería la campaña evaluar estados que difieren en votos electorales, márgenes de encuestas, participación, costos de medios y capacidad organizativa?</w:t>
      </w:r>
    </w:p>
    <w:p>
      <w:pPr>
        <w:numPr>
          <w:ilvl w:val="0"/>
          <w:numId w:val="1001"/>
        </w:numPr>
      </w:pPr>
      <w:r>
        <w:t xml:space="preserve">¿Cuánto dinero debería comprometerse de inmediato, y cuánto debería permanecer disponible para el último mes?</w:t>
      </w:r>
    </w:p>
    <w:p>
      <w:pPr>
        <w:numPr>
          <w:ilvl w:val="0"/>
          <w:numId w:val="1001"/>
        </w:numPr>
      </w:pPr>
      <w:r>
        <w:t xml:space="preserve">¿Cómo debería dividirse el tiempo de viaje del candidato entre persuasión, movilización, recaudación de fondos, medios nacionales y respuesta rápida?</w:t>
      </w:r>
    </w:p>
    <w:p>
      <w:pPr>
        <w:numPr>
          <w:ilvl w:val="0"/>
          <w:numId w:val="1001"/>
        </w:numPr>
      </w:pPr>
      <w:r>
        <w:t xml:space="preserve">¿Qué canales de publicidad y contacto con votantes merecen prioridad? ¿Qué evidencia respaldaría trasladar dinero entre ellos?</w:t>
      </w:r>
    </w:p>
    <w:p>
      <w:pPr>
        <w:numPr>
          <w:ilvl w:val="0"/>
          <w:numId w:val="1001"/>
        </w:numPr>
      </w:pPr>
      <w:r>
        <w:t xml:space="preserve">¿Qué información debería recopilar la campaña durante las próximas tres semanas? ¿Cuáles actividades de encuestas o investigación propuestas parecen más valiosas?</w:t>
      </w:r>
    </w:p>
    <w:p>
      <w:pPr>
        <w:numPr>
          <w:ilvl w:val="0"/>
          <w:numId w:val="1001"/>
        </w:numPr>
      </w:pPr>
      <w:r>
        <w:t xml:space="preserve">¿Cómo debería la campaña distinguir un cambio real en las actitudes de los votantes de ruido en las encuestas o un cambio en los supuestos sobre la participación?</w:t>
      </w:r>
    </w:p>
    <w:p>
      <w:pPr>
        <w:numPr>
          <w:ilvl w:val="0"/>
          <w:numId w:val="1001"/>
        </w:numPr>
      </w:pPr>
      <w:r>
        <w:t xml:space="preserve">¿Debería la campaña concentrarse en una ruta estrecha hacia 270 o mantener operaciones creíbles en los siete estados en disputa?</w:t>
      </w:r>
    </w:p>
    <w:p>
      <w:pPr>
        <w:numPr>
          <w:ilvl w:val="0"/>
          <w:numId w:val="1001"/>
        </w:numPr>
      </w:pPr>
      <w:r>
        <w:t xml:space="preserve">¿Qué indicadores deberían desencadenar la expansión, reducción o cierre de una operación estatal?</w:t>
      </w:r>
    </w:p>
    <w:p>
      <w:pPr>
        <w:numPr>
          <w:ilvl w:val="0"/>
          <w:numId w:val="1001"/>
        </w:numPr>
      </w:pPr>
      <w:r>
        <w:t xml:space="preserve">¿Cómo debería la campaña prepararse para grandes eventos noticiosos, gasto del oponente, preocupaciones de salud del candidato, desinformación o interrupciones en la administración electoral?</w:t>
      </w:r>
    </w:p>
    <w:bookmarkEnd w:id="23"/>
    <w:bookmarkStart w:id="29" w:name="preguntas-de-encuadre-de-decisiones"/>
    <w:p>
      <w:pPr>
        <w:pStyle w:val="Heading1"/>
      </w:pPr>
      <w:r>
        <w:t xml:space="preserve">Preguntas de Encuadre de Decisiones</w:t>
      </w:r>
    </w:p>
    <w:p>
      <w:pPr>
        <w:numPr>
          <w:ilvl w:val="0"/>
          <w:numId w:val="1002"/>
        </w:numPr>
      </w:pPr>
      <w:r>
        <w:t xml:space="preserve">Identifique y describa las responsabilidades del tomador de decisiones. Esto debería establecer el alcance del problema.</w:t>
      </w:r>
    </w:p>
    <w:p>
      <w:pPr>
        <w:numPr>
          <w:ilvl w:val="0"/>
          <w:numId w:val="1002"/>
        </w:numPr>
      </w:pPr>
      <w:r>
        <w:t xml:space="preserve">Use la</w:t>
      </w:r>
      <w:r>
        <w:t xml:space="preserve"> </w:t>
      </w:r>
      <w:hyperlink r:id="rId24">
        <w:r>
          <w:rPr>
            <w:rStyle w:val="Hyperlink"/>
          </w:rPr>
          <w:t xml:space="preserve">herramienta de pirámide de métricas</w:t>
        </w:r>
      </w:hyperlink>
      <w:r>
        <w:t xml:space="preserve"> </w:t>
      </w:r>
      <w:r>
        <w:t xml:space="preserve">para identificar y priorizar las diferentes métricas de desempeño. Haga clic en el óvalo que contiene la métrica para identificar si es una métrica a maximizar (verde), a minimizar (rojo), un objetivo que es un piso (verde claro) o un techo (rojo claro), o finalmente un objetivo (morado).</w:t>
      </w:r>
    </w:p>
    <w:p>
      <w:pPr>
        <w:numPr>
          <w:ilvl w:val="0"/>
          <w:numId w:val="1002"/>
        </w:numPr>
      </w:pPr>
      <w:r>
        <w:t xml:space="preserve">Use la</w:t>
      </w:r>
      <w:r>
        <w:t xml:space="preserve"> </w:t>
      </w:r>
      <w:hyperlink r:id="rId25">
        <w:r>
          <w:rPr>
            <w:rStyle w:val="Hyperlink"/>
          </w:rPr>
          <w:t xml:space="preserve">herramienta de priorización de decisiones</w:t>
        </w:r>
      </w:hyperlink>
      <w:r>
        <w:t xml:space="preserve"> </w:t>
      </w:r>
      <w:r>
        <w:t xml:space="preserve">para primero listar los diferentes tipos de decisiones (use los</w:t>
      </w:r>
      <w:r>
        <w:t xml:space="preserve"> </w:t>
      </w:r>
      <w:hyperlink r:id="rId26">
        <w:r>
          <w:rPr>
            <w:rStyle w:val="Hyperlink"/>
          </w:rPr>
          <w:t xml:space="preserve">tipos de decisiones</w:t>
        </w:r>
      </w:hyperlink>
      <w:r>
        <w:t xml:space="preserve"> </w:t>
      </w:r>
      <w:r>
        <w:t xml:space="preserve">como guía). Estas luego poblarán las filas de la matriz a la derecha, donde las columnas son las métricas de desempeño ordenadas de izquierda a derecha según la prioridad en la pirámide anterior. Haga clic en cada celda para indicar si el impacto de la decisión en cada métrica es alto (rojo), medio (naranja), bajo (amarillo) o ninguno (blanco).</w:t>
      </w:r>
    </w:p>
    <w:p>
      <w:pPr>
        <w:numPr>
          <w:ilvl w:val="0"/>
          <w:numId w:val="1002"/>
        </w:numPr>
      </w:pPr>
      <w:r>
        <w:t xml:space="preserve">Puede tomar el asa (tres barras) más a la izquierda en cada fila para moverla hacia arriba o hacia abajo. Ordene las filas de manera que las decisiones con mayor impacto en las métricas más importantes queden hacia arriba. Las celdas en la esquina superior izquierda deberían tener la mayor concentración de celdas rojas y naranjas. En este punto, identifique las decisiones que deberían recibir más atención en su estudio. Si no tiene decisiones con impacto medio o alto en las métricas más importantes, revise su lista de decisiones.</w:t>
      </w:r>
    </w:p>
    <w:p>
      <w:pPr>
        <w:numPr>
          <w:ilvl w:val="0"/>
          <w:numId w:val="1002"/>
        </w:numPr>
      </w:pPr>
      <w:r>
        <w:t xml:space="preserve">Repita el proceso para listar y priorizar las incertidumbres usando la</w:t>
      </w:r>
      <w:r>
        <w:t xml:space="preserve"> </w:t>
      </w:r>
      <w:hyperlink r:id="rId27">
        <w:r>
          <w:rPr>
            <w:rStyle w:val="Hyperlink"/>
          </w:rPr>
          <w:t xml:space="preserve">herramienta de priorización de incertidumbres</w:t>
        </w:r>
      </w:hyperlink>
      <w:r>
        <w:t xml:space="preserve">. Use las</w:t>
      </w:r>
      <w:r>
        <w:t xml:space="preserve"> </w:t>
      </w:r>
      <w:hyperlink r:id="rId28">
        <w:r>
          <w:rPr>
            <w:rStyle w:val="Hyperlink"/>
          </w:rPr>
          <w:t xml:space="preserve">categorías de incertidumbre</w:t>
        </w:r>
      </w:hyperlink>
      <w:r>
        <w:t xml:space="preserve"> </w:t>
      </w:r>
      <w:r>
        <w:t xml:space="preserve">para ayudarle a identificarlas.</w:t>
      </w:r>
    </w:p>
    <w:p>
      <w:pPr>
        <w:numPr>
          <w:ilvl w:val="0"/>
          <w:numId w:val="1002"/>
        </w:numPr>
      </w:pPr>
      <w:r>
        <w:t xml:space="preserve">Es importante diferenciar las incertidumbres que pueden evaluarse en promedio, o como eventos de riesgo:</w:t>
      </w:r>
    </w:p>
    <w:p>
      <w:pPr>
        <w:numPr>
          <w:ilvl w:val="1"/>
          <w:numId w:val="1003"/>
        </w:numPr>
      </w:pPr>
      <w:r>
        <w:t xml:space="preserve">¿Qué fuentes de incertidumbre se capturarían usando el desempeño promedio a lo largo del tiempo?</w:t>
      </w:r>
    </w:p>
    <w:p>
      <w:pPr>
        <w:numPr>
          <w:ilvl w:val="1"/>
          <w:numId w:val="1003"/>
        </w:numPr>
      </w:pPr>
      <w:r>
        <w:t xml:space="preserve">¿Qué fuentes de incertidumbre representan formas de riesgo que no se capturan adecuadamente usando promedios?</w:t>
      </w:r>
    </w:p>
    <w:p>
      <w:pPr>
        <w:numPr>
          <w:ilvl w:val="0"/>
          <w:numId w:val="1002"/>
        </w:numPr>
      </w:pPr>
      <w:r>
        <w:t xml:space="preserve">Elija la única decisión que parezca tener el mayor impacto en la métrica más importante.</w:t>
      </w:r>
    </w:p>
    <w:p>
      <w:pPr>
        <w:numPr>
          <w:ilvl w:val="1"/>
          <w:numId w:val="1004"/>
        </w:numPr>
      </w:pPr>
      <w:r>
        <w:t xml:space="preserve">¿Qué enfoque cree que usaría para tomar esta decisión?</w:t>
      </w:r>
    </w:p>
    <w:p>
      <w:pPr>
        <w:numPr>
          <w:ilvl w:val="1"/>
          <w:numId w:val="1004"/>
        </w:numPr>
      </w:pPr>
      <w:r>
        <w:t xml:space="preserve">¿Qué datos parecen ser necesarios para tomar esta decisión, incluido el cálculo de cualquier métrica de desempeño donde la decisión tendría un impacto alto o medio?</w:t>
      </w:r>
    </w:p>
    <w:p>
      <w:pPr>
        <w:numPr>
          <w:ilvl w:val="0"/>
          <w:numId w:val="1002"/>
        </w:numPr>
      </w:pPr>
      <w:r>
        <w:t xml:space="preserve">Usando la misma decisión que identificó en (7), identifique a las personas, departamentos, grupos u organizaciones con los que necesitaría trabajar para implementar la decisión.</w:t>
      </w:r>
    </w:p>
    <w:bookmarkEnd w:id="29"/>
    <w:bookmarkStart w:id="30" w:name="nota-de-fuentes"/>
    <w:p>
      <w:pPr>
        <w:pStyle w:val="Heading1"/>
      </w:pPr>
      <w:r>
        <w:t xml:space="preserve">Nota de Fuentes</w:t>
      </w:r>
    </w:p>
    <w:p>
      <w:pPr>
        <w:pStyle w:val="FirstParagraph"/>
      </w:pPr>
      <w:r>
        <w:t xml:space="preserve">La campaña, los candidatos, los partidos, el personal, las estimaciones de encuestas, los pronósticos financieros y las figuras son ficticios. El fundamento conceptual es la sección</w:t>
      </w:r>
      <w:r>
        <w:t xml:space="preserve"> </w:t>
      </w:r>
      <w:r>
        <w:t xml:space="preserve">“Running a presidential election”</w:t>
      </w:r>
      <w:r>
        <w:t xml:space="preserve"> </w:t>
      </w:r>
      <w:r>
        <w:t xml:space="preserve">de Warren B. Powell, Bridging Decision Problems, Volume I, Capítulo 2. Esa sección describe la campaña presidencial como un problema operativo restringido por presupuesto que involucra el despliegue del candidato y el personal, la recopilación de información, la difusión de mensajes, la publicidad, las oficinas de campo, las encuestas, las donaciones, los gastos, la favorabilidad cambiante, el sesgo de las encuestas, los eventos noticiosos, los ataques del oponente, el gasto externo y la salud del candidato.</w:t>
      </w:r>
    </w:p>
    <w:p>
      <w:pPr>
        <w:pStyle w:val="BodyText"/>
      </w:pPr>
      <w:r>
        <w:t xml:space="preserve">Contexto público: La Oficina del Censo de los EE. UU. informó que 174 millones de ciudadanos en edad de votar estaban registrados y que 154 millones votaron en la elección presidencial de 2024, para una tasa de participación del 65.3 por ciento; el 39.6 por ciento votó en persona el Día de las Elecciones, el 30.7 por ciento votó anticipadamente en persona y el 29.0 por ciento votó por correo. La Comisión Federal de Elecciones informó un resultado oficial de 2024 de 312 a 226 votos electorales y 155,238,302 votos totales emitidos para candidatos presidenciales. Los resúmenes de la FEC también muestran que los candidatos, partidos y comités políticos federales manejaron muchos miles de millones de dólares durante el ciclo 2023-2024. Fuentes: Oficina del Censo de los EE. UU.,</w:t>
      </w:r>
      <w:r>
        <w:t xml:space="preserve"> </w:t>
      </w:r>
      <w:r>
        <w:t xml:space="preserve">“2024 Presidential Election Voting and Registration Tables Now Available”</w:t>
      </w:r>
      <w:r>
        <w:t xml:space="preserve"> </w:t>
      </w:r>
      <w:r>
        <w:t xml:space="preserve">(30 de abril de 2025); Comisión Federal de Elecciones,</w:t>
      </w:r>
      <w:r>
        <w:t xml:space="preserve"> </w:t>
      </w:r>
      <w:r>
        <w:t xml:space="preserve">“Official 2024 Presidential General Election Results”</w:t>
      </w:r>
      <w:r>
        <w:t xml:space="preserve">; y FEC,</w:t>
      </w:r>
      <w:r>
        <w:t xml:space="preserve"> </w:t>
      </w:r>
      <w:r>
        <w:t xml:space="preserve">“Statistical Summary of 24-Month Campaign Activity of the 2023-2024 Election Cycle”</w:t>
      </w:r>
      <w:r>
        <w:t xml:space="preserve"> </w:t>
      </w:r>
      <w:r>
        <w:t xml:space="preserve">(23 de abril de 2025).</w:t>
      </w:r>
    </w:p>
    <w:bookmarkEnd w:id="30"/>
    <w:bookmarkStart w:id="33" w:name="notas-de-chatgpt"/>
    <w:p>
      <w:pPr>
        <w:pStyle w:val="Heading1"/>
      </w:pPr>
      <w:r>
        <w:t xml:space="preserve">Notas de ChatGPT</w:t>
      </w:r>
    </w:p>
    <w:bookmarkStart w:id="31" w:name="prompt"/>
    <w:p>
      <w:pPr>
        <w:pStyle w:val="Heading2"/>
      </w:pPr>
      <w:r>
        <w:t xml:space="preserve">Prompt</w:t>
      </w:r>
    </w:p>
    <w:p>
      <w:pPr>
        <w:pStyle w:val="FirstParagraph"/>
      </w:pPr>
      <w:r>
        <w:t xml:space="preserve">Escriba un estudio de caso de 4 a 6 páginas basado en el material de la sección en https://warrenpowell.org/bridging-vol1/chapter-2/#presidentialelection. Cree un contexto basado en las métricas, decisiones e incertidumbres de la sección, pero sin llamar explícitamente la atención sobre ellas. Motive su problema de caso con datos.</w:t>
      </w:r>
    </w:p>
    <w:bookmarkEnd w:id="31"/>
    <w:bookmarkStart w:id="32" w:name="resumen"/>
    <w:p>
      <w:pPr>
        <w:pStyle w:val="Heading2"/>
      </w:pPr>
      <w:r>
        <w:t xml:space="preserve">Resumen</w:t>
      </w:r>
    </w:p>
    <w:p>
      <w:pPr>
        <w:pStyle w:val="FirstParagraph"/>
      </w:pPr>
      <w:r>
        <w:t xml:space="preserve">El caso ubica a una campaña presidencial ficticia once semanas antes del Día de las Elecciones, con 93 votos electorales repartidos entre siete estados en disputa. Explora las demandas competidoras por el tiempo de viaje del candidato, la publicidad, las oficinas de campo, las encuestas, la recaudación de fondos, la movilización de votantes y las reservas financieras sin identificar una estrategia preferida.</w:t>
      </w:r>
    </w:p>
    <w:bookmarkEnd w:id="32"/>
    <w:bookmarkEnd w:id="3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711">
    <w:nsid w:val="00A9971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25" Target="https://warrenpowell.org/decision-framing-tool/#decision-prioritization-tool" TargetMode="External" /><Relationship Type="http://schemas.openxmlformats.org/officeDocument/2006/relationships/hyperlink" Id="rId24" Target="https://warrenpowell.org/decision-framing-tool/#metrics-pyramid-tool" TargetMode="External" /><Relationship Type="http://schemas.openxmlformats.org/officeDocument/2006/relationships/hyperlink" Id="rId27" Target="https://warrenpowell.org/decision-framing-tool/#uncertainty-prioritization-tool" TargetMode="External" /><Relationship Type="http://schemas.openxmlformats.org/officeDocument/2006/relationships/hyperlink" Id="rId26" Target="https://warrenpowell.org/decisionsdecisions/#types-of-decision-settings" TargetMode="External" /><Relationship Type="http://schemas.openxmlformats.org/officeDocument/2006/relationships/hyperlink" Id="rId28" Target="https://warrenpowell.org/modeling-uncertainty/#categories" TargetMode="External" /></Relationships>
</file>

<file path=word/_rels/footnotes.xml.rels><?xml version="1.0" encoding="UTF-8"?><Relationships xmlns="http://schemas.openxmlformats.org/package/2006/relationships"><Relationship Type="http://schemas.openxmlformats.org/officeDocument/2006/relationships/hyperlink" Id="rId25" Target="https://warrenpowell.org/decision-framing-tool/#decision-prioritization-tool" TargetMode="External" /><Relationship Type="http://schemas.openxmlformats.org/officeDocument/2006/relationships/hyperlink" Id="rId24" Target="https://warrenpowell.org/decision-framing-tool/#metrics-pyramid-tool" TargetMode="External" /><Relationship Type="http://schemas.openxmlformats.org/officeDocument/2006/relationships/hyperlink" Id="rId27" Target="https://warrenpowell.org/decision-framing-tool/#uncertainty-prioritization-tool" TargetMode="External" /><Relationship Type="http://schemas.openxmlformats.org/officeDocument/2006/relationships/hyperlink" Id="rId26" Target="https://warrenpowell.org/decisionsdecisions/#types-of-decision-settings" TargetMode="External" /><Relationship Type="http://schemas.openxmlformats.org/officeDocument/2006/relationships/hyperlink" Id="rId28" Target="https://warrenpowell.org/modeling-uncertainty/#categorie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2026-09-11T15:22:06Z</dcterms:created>
  <dcterms:modified xsi:type="dcterms:W3CDTF">2026-09-11T15:22:06Z</dcterms:modified>
</cp:coreProperties>
</file>

<file path=docProps/custom.xml><?xml version="1.0" encoding="utf-8"?>
<Properties xmlns="http://schemas.openxmlformats.org/officeDocument/2006/custom-properties" xmlns:vt="http://schemas.openxmlformats.org/officeDocument/2006/docPropsVTypes"/>
</file>