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NORTHBRIDGE INDUSTRIAL SYSTEMS</w:t>
      </w:r>
    </w:p>
    <w:p>
      <w:pPr>
        <w:pStyle w:val="BodyText"/>
      </w:pPr>
      <w:r>
        <w:t xml:space="preserve">La Decisión de Pago a Noventa Días</w:t>
      </w:r>
    </w:p>
    <w:p>
      <w:pPr>
        <w:pStyle w:val="BodyText"/>
      </w:pPr>
      <w:r>
        <w:t xml:space="preserve">Un caso de finanzas de cadena de suministro sobre proteger la liquidez sin desestabilizar a proveedores críticos</w:t>
      </w:r>
    </w:p>
    <w:p>
      <w:pPr>
        <w:pStyle w:val="BodyText"/>
      </w:pPr>
      <w:r>
        <w:t xml:space="preserve">Este caso es ficticio y está destinado a la discusión instructiva. Los nombres, eventos, organizaciones y datos operativos son inventados, aunque el contexto industrial está informado por fuentes públicas.</w:t>
      </w:r>
    </w:p>
    <w:tbl>
      <w:tblPr>
        <w:tblStyle w:val="Table"/>
        <w:tblW w:type="auto" w:w="0"/>
        <w:tblLook w:firstRow="0" w:lastRow="0" w:firstColumn="0" w:lastColumn="0" w:noHBand="0" w:noVBand="0" w:val="0000"/>
      </w:tblPr>
      <w:tblGrid>
        <w:gridCol w:w="7920"/>
      </w:tblGrid>
      <w:tr>
        <w:tc>
          <w:tcPr/>
          <w:p>
            <w:pPr>
              <w:pStyle w:val="Compact"/>
            </w:pPr>
            <w:r>
              <w:t xml:space="preserve">Northbridge tiene suficiente efectivo para cumplir con sus propias obligaciones a corto plazo, pero no suficiente para absorber las compras de inventario impulsadas por aranceles, preservar su calificación crediticia y acelerar el pago a cada proveedor que dice estar bajo tensión. Un programa propuesto de financiamiento a proveedores podría ayudar, pero también extendería los términos de pago de Northbridge y crearía nuevas dependencias con bancos, aseguradoras y datos de transacciones.</w:t>
            </w:r>
          </w:p>
        </w:tc>
      </w:tr>
    </w:tbl>
    <w:p>
      <w:r>
        <w:pict>
          <v:rect style="width:0;height:1.5pt" o:hralign="center" o:hrstd="t" o:hr="t"/>
        </w:pict>
      </w:r>
    </w:p>
    <w:bookmarkStart w:id="10" w:name="X4142b66a5ec2cff81a5811207fd221882296114"/>
    <w:p>
      <w:pPr>
        <w:pStyle w:val="Heading1"/>
      </w:pPr>
      <w:r>
        <w:t xml:space="preserve">Una Cartera de Pedidos Sólida, un Ciclo de Efectivo que se Estrecha</w:t>
      </w:r>
    </w:p>
    <w:p>
      <w:pPr>
        <w:pStyle w:val="FirstParagraph"/>
      </w:pPr>
      <w:r>
        <w:t xml:space="preserve">A las 7:10 de la mañana de un martes de septiembre de 2026, Maya Chen, directora financiera de Northbridge Industrial Systems, abrió un correo electrónico del propietario de AlloyWorks Precision, un proveedor de mecanizado familiar en Ohio. AlloyWorks producía una carcasa de válvula pequeña pero esencial utilizada en los sistemas de enfriamiento industrial de Northbridge. El mensaje del proveedor era breve: a menos que Northbridge pudiera acortar el pago de 75 días a 30 días, AlloyWorks tendría que reducir la producción o buscar un comprador.</w:t>
      </w:r>
    </w:p>
    <w:p>
      <w:pPr>
        <w:pStyle w:val="BodyText"/>
      </w:pPr>
      <w:r>
        <w:t xml:space="preserve">Northbridge fabricaba bombas, controles y conjuntos de gestión térmica para centros de datos, procesadoras de alimentos, hospitales y plantas de manufactura avanzada. Los ingresos anuales habían alcanzado los $2.8 mil millones, y su cartera de pedidos pendientes era la más alta en la historia de la empresa. Sin embargo, la conversión de efectivo se había deteriorado. Los clientes solicitaban plazos de pago más largos, los inventarios habían aumentado para protegerse contra interrupciones en el envío, y los nuevos aranceles habían elevado el costo de los motores importados, controles electrónicos y metales especiales. La empresa se había mantenido rentable, pero el efectivo se estaba absorbiendo más rápido de lo que sugerían las ganancias.</w:t>
      </w:r>
    </w:p>
    <w:p>
      <w:pPr>
        <w:pStyle w:val="BodyText"/>
      </w:pPr>
      <w:r>
        <w:t xml:space="preserve">El problema se extendía más allá de un solo proveedor. El área de adquisiciones había identificado 47 proveedores como operativamente críticos y financieramente vulnerables. En conjunto, representaban solo el 18% de las compras anuales, pero suministraban piezas para el 63% de los productos terminados de Northbridge. Varios carecían de acceso a crédito bancario barato. Otros utilizaban líneas revolventes con tasas variables, garantías personales o prestamistas en línea. Cuando Northbridge extendió sus términos estándar de 60 a 75 días el año anterior, muchos proveedores aceptaron el cambio sin protestar. Ahora los gerentes de adquisiciones reportaban compras de herramental retrasadas, horas extra reducidas y solicitudes de aumentos de precios.</w:t>
      </w:r>
    </w:p>
    <w:p>
      <w:pPr>
        <w:pStyle w:val="BodyText"/>
      </w:pPr>
      <w:r>
        <w:t xml:space="preserve">El mercado en general ofrecía poco consuelo. La encuesta de 2026 de los Bancos de la Reserva Federal sobre pequeñas empresas reportó que el 60% de las empresas había solicitado financiamiento durante el año anterior, a menudo para cubrir gastos operativos, y solo el 42% de los solicitantes recibió el monto completo que buscaba. Las empresas manufactureras también estaban entre las más propensas a reportar presión de costos relacionada con aranceles. Al mismo tiempo, el financiamiento de cadena de suministro se estaba expandiendo rápidamente: un estudio de 2025 de la Secured Finance Network estimó que aproximadamente el 12% de las cuentas por cobrar comerciales de EE. UU. se financiaban a través de este tipo de arreglos, lo que representaba aproximadamente $2.56 billones en actividad anual.</w:t>
      </w:r>
    </w:p>
    <w:bookmarkStart w:id="9" w:name="Xac5a73f57c7a42179cc2c1a19b9c793e9ca0dfc"/>
    <w:p>
      <w:pPr>
        <w:pStyle w:val="Heading2"/>
      </w:pPr>
      <w:r>
        <w:t xml:space="preserve">Figura 1. Posición de Capital de Trabajo de Northbridge</w:t>
      </w:r>
    </w:p>
    <w:tbl>
      <w:tblPr>
        <w:tblStyle w:val="Table"/>
        <w:tblW w:type="pct" w:w="4872"/>
        <w:tblLayout w:type="fixed"/>
        <w:tblLook w:firstRow="1" w:lastRow="0" w:firstColumn="0" w:lastColumn="0" w:noHBand="0" w:noVBand="0" w:val="0020"/>
      </w:tblPr>
      <w:tblGrid>
        <w:gridCol w:w="2944"/>
        <w:gridCol w:w="1421"/>
        <w:gridCol w:w="1421"/>
        <w:gridCol w:w="1929"/>
      </w:tblGrid>
      <w:tr>
        <w:trPr>
          <w:tblHeader w:val="on"/>
        </w:trPr>
        <w:tc>
          <w:tcPr/>
          <w:p>
            <w:pPr>
              <w:pStyle w:val="Compact"/>
              <w:jc w:val="left"/>
            </w:pPr>
            <w:r>
              <w:t xml:space="preserve">Medida</w:t>
            </w:r>
          </w:p>
        </w:tc>
        <w:tc>
          <w:tcPr/>
          <w:p>
            <w:pPr>
              <w:pStyle w:val="Compact"/>
              <w:jc w:val="center"/>
            </w:pPr>
            <w:r>
              <w:t xml:space="preserve">AF2024</w:t>
            </w:r>
          </w:p>
        </w:tc>
        <w:tc>
          <w:tcPr/>
          <w:p>
            <w:pPr>
              <w:pStyle w:val="Compact"/>
              <w:jc w:val="center"/>
            </w:pPr>
            <w:r>
              <w:t xml:space="preserve">AF2025</w:t>
            </w:r>
          </w:p>
        </w:tc>
        <w:tc>
          <w:tcPr/>
          <w:p>
            <w:pPr>
              <w:pStyle w:val="Compact"/>
              <w:jc w:val="right"/>
            </w:pPr>
            <w:r>
              <w:t xml:space="preserve">Pronóstico actual</w:t>
            </w:r>
          </w:p>
        </w:tc>
      </w:tr>
      <w:tr>
        <w:tc>
          <w:tcPr/>
          <w:p>
            <w:pPr>
              <w:pStyle w:val="Compact"/>
              <w:jc w:val="left"/>
            </w:pPr>
            <w:r>
              <w:t xml:space="preserve">Ingresos</w:t>
            </w:r>
          </w:p>
        </w:tc>
        <w:tc>
          <w:tcPr/>
          <w:p>
            <w:pPr>
              <w:pStyle w:val="Compact"/>
              <w:jc w:val="center"/>
            </w:pPr>
            <w:r>
              <w:t xml:space="preserve">$2.42B</w:t>
            </w:r>
          </w:p>
        </w:tc>
        <w:tc>
          <w:tcPr/>
          <w:p>
            <w:pPr>
              <w:pStyle w:val="Compact"/>
              <w:jc w:val="center"/>
            </w:pPr>
            <w:r>
              <w:t xml:space="preserve">$2.61B</w:t>
            </w:r>
          </w:p>
        </w:tc>
        <w:tc>
          <w:tcPr/>
          <w:p>
            <w:pPr>
              <w:pStyle w:val="Compact"/>
              <w:jc w:val="right"/>
            </w:pPr>
            <w:r>
              <w:t xml:space="preserve">$2.80B</w:t>
            </w:r>
          </w:p>
        </w:tc>
      </w:tr>
      <w:tr>
        <w:tc>
          <w:tcPr/>
          <w:p>
            <w:pPr>
              <w:pStyle w:val="Compact"/>
              <w:jc w:val="left"/>
            </w:pPr>
            <w:r>
              <w:t xml:space="preserve">Margen EBITDA</w:t>
            </w:r>
          </w:p>
        </w:tc>
        <w:tc>
          <w:tcPr/>
          <w:p>
            <w:pPr>
              <w:pStyle w:val="Compact"/>
              <w:jc w:val="center"/>
            </w:pPr>
            <w:r>
              <w:t xml:space="preserve">13.8%</w:t>
            </w:r>
          </w:p>
        </w:tc>
        <w:tc>
          <w:tcPr/>
          <w:p>
            <w:pPr>
              <w:pStyle w:val="Compact"/>
              <w:jc w:val="center"/>
            </w:pPr>
            <w:r>
              <w:t xml:space="preserve">13.2%</w:t>
            </w:r>
          </w:p>
        </w:tc>
        <w:tc>
          <w:tcPr/>
          <w:p>
            <w:pPr>
              <w:pStyle w:val="Compact"/>
              <w:jc w:val="right"/>
            </w:pPr>
            <w:r>
              <w:t xml:space="preserve">12.6%</w:t>
            </w:r>
          </w:p>
        </w:tc>
      </w:tr>
      <w:tr>
        <w:tc>
          <w:tcPr/>
          <w:p>
            <w:pPr>
              <w:pStyle w:val="Compact"/>
              <w:jc w:val="left"/>
            </w:pPr>
            <w:r>
              <w:t xml:space="preserve">Días de ventas pendientes</w:t>
            </w:r>
          </w:p>
        </w:tc>
        <w:tc>
          <w:tcPr/>
          <w:p>
            <w:pPr>
              <w:pStyle w:val="Compact"/>
              <w:jc w:val="center"/>
            </w:pPr>
            <w:r>
              <w:t xml:space="preserve">51</w:t>
            </w:r>
          </w:p>
        </w:tc>
        <w:tc>
          <w:tcPr/>
          <w:p>
            <w:pPr>
              <w:pStyle w:val="Compact"/>
              <w:jc w:val="center"/>
            </w:pPr>
            <w:r>
              <w:t xml:space="preserve">57</w:t>
            </w:r>
          </w:p>
        </w:tc>
        <w:tc>
          <w:tcPr/>
          <w:p>
            <w:pPr>
              <w:pStyle w:val="Compact"/>
              <w:jc w:val="right"/>
            </w:pPr>
            <w:r>
              <w:t xml:space="preserve">64</w:t>
            </w:r>
          </w:p>
        </w:tc>
      </w:tr>
      <w:tr>
        <w:tc>
          <w:tcPr/>
          <w:p>
            <w:pPr>
              <w:pStyle w:val="Compact"/>
              <w:jc w:val="left"/>
            </w:pPr>
            <w:r>
              <w:t xml:space="preserve">Días de inventario disponible</w:t>
            </w:r>
          </w:p>
        </w:tc>
        <w:tc>
          <w:tcPr/>
          <w:p>
            <w:pPr>
              <w:pStyle w:val="Compact"/>
              <w:jc w:val="center"/>
            </w:pPr>
            <w:r>
              <w:t xml:space="preserve">72</w:t>
            </w:r>
          </w:p>
        </w:tc>
        <w:tc>
          <w:tcPr/>
          <w:p>
            <w:pPr>
              <w:pStyle w:val="Compact"/>
              <w:jc w:val="center"/>
            </w:pPr>
            <w:r>
              <w:t xml:space="preserve">84</w:t>
            </w:r>
          </w:p>
        </w:tc>
        <w:tc>
          <w:tcPr/>
          <w:p>
            <w:pPr>
              <w:pStyle w:val="Compact"/>
              <w:jc w:val="right"/>
            </w:pPr>
            <w:r>
              <w:t xml:space="preserve">96</w:t>
            </w:r>
          </w:p>
        </w:tc>
      </w:tr>
      <w:tr>
        <w:tc>
          <w:tcPr/>
          <w:p>
            <w:pPr>
              <w:pStyle w:val="Compact"/>
              <w:jc w:val="left"/>
            </w:pPr>
            <w:r>
              <w:t xml:space="preserve">Días de cuentas por pagar</w:t>
            </w:r>
          </w:p>
        </w:tc>
        <w:tc>
          <w:tcPr/>
          <w:p>
            <w:pPr>
              <w:pStyle w:val="Compact"/>
              <w:jc w:val="center"/>
            </w:pPr>
            <w:r>
              <w:t xml:space="preserve">58</w:t>
            </w:r>
          </w:p>
        </w:tc>
        <w:tc>
          <w:tcPr/>
          <w:p>
            <w:pPr>
              <w:pStyle w:val="Compact"/>
              <w:jc w:val="center"/>
            </w:pPr>
            <w:r>
              <w:t xml:space="preserve">69</w:t>
            </w:r>
          </w:p>
        </w:tc>
        <w:tc>
          <w:tcPr/>
          <w:p>
            <w:pPr>
              <w:pStyle w:val="Compact"/>
              <w:jc w:val="right"/>
            </w:pPr>
            <w:r>
              <w:t xml:space="preserve">75</w:t>
            </w:r>
          </w:p>
        </w:tc>
      </w:tr>
      <w:tr>
        <w:tc>
          <w:tcPr/>
          <w:p>
            <w:pPr>
              <w:pStyle w:val="Compact"/>
              <w:jc w:val="left"/>
            </w:pPr>
            <w:r>
              <w:t xml:space="preserve">Flujo de caja libre</w:t>
            </w:r>
          </w:p>
        </w:tc>
        <w:tc>
          <w:tcPr/>
          <w:p>
            <w:pPr>
              <w:pStyle w:val="Compact"/>
              <w:jc w:val="center"/>
            </w:pPr>
            <w:r>
              <w:t xml:space="preserve">$146M</w:t>
            </w:r>
          </w:p>
        </w:tc>
        <w:tc>
          <w:tcPr/>
          <w:p>
            <w:pPr>
              <w:pStyle w:val="Compact"/>
              <w:jc w:val="center"/>
            </w:pPr>
            <w:r>
              <w:t xml:space="preserve">$82M</w:t>
            </w:r>
          </w:p>
        </w:tc>
        <w:tc>
          <w:tcPr/>
          <w:p>
            <w:pPr>
              <w:pStyle w:val="Compact"/>
              <w:jc w:val="right"/>
            </w:pPr>
            <w:r>
              <w:t xml:space="preserve">$31M</w:t>
            </w:r>
          </w:p>
        </w:tc>
      </w:tr>
      <w:tr>
        <w:tc>
          <w:tcPr/>
          <w:p>
            <w:pPr>
              <w:pStyle w:val="Compact"/>
              <w:jc w:val="left"/>
            </w:pPr>
            <w:r>
              <w:t xml:space="preserve">Efectivo y equivalentes</w:t>
            </w:r>
          </w:p>
        </w:tc>
        <w:tc>
          <w:tcPr/>
          <w:p>
            <w:pPr>
              <w:pStyle w:val="Compact"/>
              <w:jc w:val="center"/>
            </w:pPr>
            <w:r>
              <w:t xml:space="preserve">$238M</w:t>
            </w:r>
          </w:p>
        </w:tc>
        <w:tc>
          <w:tcPr/>
          <w:p>
            <w:pPr>
              <w:pStyle w:val="Compact"/>
              <w:jc w:val="center"/>
            </w:pPr>
            <w:r>
              <w:t xml:space="preserve">$201M</w:t>
            </w:r>
          </w:p>
        </w:tc>
        <w:tc>
          <w:tcPr/>
          <w:p>
            <w:pPr>
              <w:pStyle w:val="Compact"/>
              <w:jc w:val="right"/>
            </w:pPr>
            <w:r>
              <w:t xml:space="preserve">$167M</w:t>
            </w:r>
          </w:p>
        </w:tc>
      </w:tr>
      <w:tr>
        <w:tc>
          <w:tcPr/>
          <w:p>
            <w:pPr>
              <w:pStyle w:val="Compact"/>
              <w:jc w:val="left"/>
            </w:pPr>
            <w:r>
              <w:t xml:space="preserve">Crédito revolvente disponible</w:t>
            </w:r>
          </w:p>
        </w:tc>
        <w:tc>
          <w:tcPr/>
          <w:p>
            <w:pPr>
              <w:pStyle w:val="Compact"/>
              <w:jc w:val="center"/>
            </w:pPr>
            <w:r>
              <w:t xml:space="preserve">$420M</w:t>
            </w:r>
          </w:p>
        </w:tc>
        <w:tc>
          <w:tcPr/>
          <w:p>
            <w:pPr>
              <w:pStyle w:val="Compact"/>
              <w:jc w:val="center"/>
            </w:pPr>
            <w:r>
              <w:t xml:space="preserve">$335M</w:t>
            </w:r>
          </w:p>
        </w:tc>
        <w:tc>
          <w:tcPr/>
          <w:p>
            <w:pPr>
              <w:pStyle w:val="Compact"/>
              <w:jc w:val="right"/>
            </w:pPr>
            <w:r>
              <w:t xml:space="preserve">$280M</w:t>
            </w:r>
          </w:p>
        </w:tc>
      </w:tr>
    </w:tbl>
    <w:bookmarkEnd w:id="9"/>
    <w:bookmarkEnd w:id="10"/>
    <w:bookmarkStart w:id="12" w:name="el-programa-propuesto"/>
    <w:p>
      <w:pPr>
        <w:pStyle w:val="Heading1"/>
      </w:pPr>
      <w:r>
        <w:t xml:space="preserve">El Programa Propuesto</w:t>
      </w:r>
    </w:p>
    <w:p>
      <w:pPr>
        <w:pStyle w:val="FirstParagraph"/>
      </w:pPr>
      <w:r>
        <w:t xml:space="preserve">El banco principal de Northbridge propuso un programa de financiamiento a proveedores dirigido por el comprador. Después de que Northbridge aprobara una factura en su sistema empresarial, un proveedor elegible podía solicitar el pago anticipado al banco. El banco pagaría al proveedor con un descuento basado principalmente en la calidad crediticia de Northbridge; Northbridge pagaría al banco en el vencimiento contractual de la factura. La participación sería voluntaria.</w:t>
      </w:r>
    </w:p>
    <w:p>
      <w:pPr>
        <w:pStyle w:val="BodyText"/>
      </w:pPr>
      <w:r>
        <w:t xml:space="preserve">El banco argumentó que el programa podría mejorar ambos lados de la relación. Los proveedores podrían recibir efectivo en cuestión de días en lugar de esperar 75 o 90 días. Northbridge podría preservar o incluso alargar sus plazos de pago sin obligar a los proveedores a financiar el retraso a sus propias tasas de préstamo. La aprobación automatizada de facturas también podría reducir las disputas y el esfuerzo administrativo. El banco propuso un límite inicial de $350 millones en facturas aprobadas y estimó comisiones anuales del programa para Northbridge de $2.4 millones, sin incluir el descuento pagado por los proveedores participantes.</w:t>
      </w:r>
    </w:p>
    <w:p>
      <w:pPr>
        <w:pStyle w:val="BodyText"/>
      </w:pPr>
      <w:r>
        <w:t xml:space="preserve">Chen vio varias complicaciones. El banco solo aceptaría proveedores que pasaran los controles de conocimiento del cliente, sanciones, fraude y crédito. Los proveedores pequeños con historiales débiles podrían quedar excluidos incluso cuando fueran los más necesitados. Los proveedores podrían interpretar el programa como presión para aceptar plazos más largos. Northbridge tendría que proporcionar datos de facturas y proveedores a través de una nueva plataforma, creando riesgos de ciberseguridad e implementación. Las normas contables requerían divulgación adicional de las obligaciones de financiamiento a proveedores, y los analistas podrían ver un programa creciente como similar a deuda incluso si permanecía clasificado dentro de las cuentas por pagar comerciales.</w:t>
      </w:r>
    </w:p>
    <w:p>
      <w:pPr>
        <w:pStyle w:val="BodyText"/>
      </w:pPr>
      <w:r>
        <w:t xml:space="preserve">También había una pregunta sobre quién debía pagar. Bajo la propuesta del banco, un proveedor que solicitara el pago 60 días antes pagaría un descuento equivalente a una tasa anualizada de aproximadamente 6.4%. Para algunos proveedores esto estaba muy por debajo de su costo de crédito existente. Para otros, especialmente proveedores multinacionales más grandes, era poco atractivo. Northbridge podría subsidiar total o parcialmente el descuento para proveedores seleccionados, pero hacerlo reduciría el beneficio de capital de trabajo e invitaría a argumentos sobre equidad.</w:t>
      </w:r>
    </w:p>
    <w:bookmarkStart w:id="11" w:name="X4427bbcce3d247fbe01606397a46398629cd60d"/>
    <w:p>
      <w:pPr>
        <w:pStyle w:val="Heading2"/>
      </w:pPr>
      <w:r>
        <w:t xml:space="preserve">Figura 2. Economía Ilustrativa de Proveedores</w:t>
      </w:r>
    </w:p>
    <w:tbl>
      <w:tblPr>
        <w:tblStyle w:val="Table"/>
        <w:tblW w:type="pct" w:w="4942"/>
        <w:tblLayout w:type="fixed"/>
        <w:tblLook w:firstRow="1" w:lastRow="0" w:firstColumn="0" w:lastColumn="0" w:noHBand="0" w:noVBand="0" w:val="0020"/>
      </w:tblPr>
      <w:tblGrid>
        <w:gridCol w:w="1510"/>
        <w:gridCol w:w="1419"/>
        <w:gridCol w:w="824"/>
        <w:gridCol w:w="1236"/>
        <w:gridCol w:w="1739"/>
        <w:gridCol w:w="1098"/>
      </w:tblGrid>
      <w:tr>
        <w:trPr>
          <w:tblHeader w:val="on"/>
        </w:trPr>
        <w:tc>
          <w:tcPr/>
          <w:p>
            <w:pPr>
              <w:pStyle w:val="Compact"/>
              <w:jc w:val="left"/>
            </w:pPr>
            <w:r>
              <w:t xml:space="preserve">Grupo de proveedores</w:t>
            </w:r>
          </w:p>
        </w:tc>
        <w:tc>
          <w:tcPr/>
          <w:p>
            <w:pPr>
              <w:pStyle w:val="Compact"/>
              <w:jc w:val="center"/>
            </w:pPr>
            <w:r>
              <w:t xml:space="preserve">Ventas anuales a Northbridge</w:t>
            </w:r>
          </w:p>
        </w:tc>
        <w:tc>
          <w:tcPr/>
          <w:p>
            <w:pPr>
              <w:pStyle w:val="Compact"/>
              <w:jc w:val="center"/>
            </w:pPr>
            <w:r>
              <w:t xml:space="preserve">Pago actual</w:t>
            </w:r>
          </w:p>
        </w:tc>
        <w:tc>
          <w:tcPr/>
          <w:p>
            <w:pPr>
              <w:pStyle w:val="Compact"/>
              <w:jc w:val="center"/>
            </w:pPr>
            <w:r>
              <w:t xml:space="preserve">Costo de préstamo típico</w:t>
            </w:r>
          </w:p>
        </w:tc>
        <w:tc>
          <w:tcPr/>
          <w:p>
            <w:pPr>
              <w:pStyle w:val="Compact"/>
              <w:jc w:val="center"/>
            </w:pPr>
            <w:r>
              <w:t xml:space="preserve">Costo propuesto de pago anticipado</w:t>
            </w:r>
          </w:p>
        </w:tc>
        <w:tc>
          <w:tcPr/>
          <w:p>
            <w:pPr>
              <w:pStyle w:val="Compact"/>
              <w:jc w:val="left"/>
            </w:pPr>
            <w:r>
              <w:t xml:space="preserve">Criticidad operativa</w:t>
            </w:r>
          </w:p>
        </w:tc>
      </w:tr>
      <w:tr>
        <w:tc>
          <w:tcPr/>
          <w:p>
            <w:pPr>
              <w:pStyle w:val="Compact"/>
              <w:jc w:val="left"/>
            </w:pPr>
            <w:r>
              <w:t xml:space="preserve">Electrónica estratégica</w:t>
            </w:r>
          </w:p>
        </w:tc>
        <w:tc>
          <w:tcPr/>
          <w:p>
            <w:pPr>
              <w:pStyle w:val="Compact"/>
              <w:jc w:val="center"/>
            </w:pPr>
            <w:r>
              <w:t xml:space="preserve">$310M</w:t>
            </w:r>
          </w:p>
        </w:tc>
        <w:tc>
          <w:tcPr/>
          <w:p>
            <w:pPr>
              <w:pStyle w:val="Compact"/>
              <w:jc w:val="center"/>
            </w:pPr>
            <w:r>
              <w:t xml:space="preserve">75 días</w:t>
            </w:r>
          </w:p>
        </w:tc>
        <w:tc>
          <w:tcPr/>
          <w:p>
            <w:pPr>
              <w:pStyle w:val="Compact"/>
              <w:jc w:val="center"/>
            </w:pPr>
            <w:r>
              <w:t xml:space="preserve">7%–9%</w:t>
            </w:r>
          </w:p>
        </w:tc>
        <w:tc>
          <w:tcPr/>
          <w:p>
            <w:pPr>
              <w:pStyle w:val="Compact"/>
              <w:jc w:val="center"/>
            </w:pPr>
            <w:r>
              <w:t xml:space="preserve">6.0%–6.8%</w:t>
            </w:r>
          </w:p>
        </w:tc>
        <w:tc>
          <w:tcPr/>
          <w:p>
            <w:pPr>
              <w:pStyle w:val="Compact"/>
              <w:jc w:val="left"/>
            </w:pPr>
            <w:r>
              <w:t xml:space="preserve">Alta</w:t>
            </w:r>
          </w:p>
        </w:tc>
      </w:tr>
      <w:tr>
        <w:tc>
          <w:tcPr/>
          <w:p>
            <w:pPr>
              <w:pStyle w:val="Compact"/>
              <w:jc w:val="left"/>
            </w:pPr>
            <w:r>
              <w:t xml:space="preserve">Mecanizado regional</w:t>
            </w:r>
          </w:p>
        </w:tc>
        <w:tc>
          <w:tcPr/>
          <w:p>
            <w:pPr>
              <w:pStyle w:val="Compact"/>
              <w:jc w:val="center"/>
            </w:pPr>
            <w:r>
              <w:t xml:space="preserve">$185M</w:t>
            </w:r>
          </w:p>
        </w:tc>
        <w:tc>
          <w:tcPr/>
          <w:p>
            <w:pPr>
              <w:pStyle w:val="Compact"/>
              <w:jc w:val="center"/>
            </w:pPr>
            <w:r>
              <w:t xml:space="preserve">75 días</w:t>
            </w:r>
          </w:p>
        </w:tc>
        <w:tc>
          <w:tcPr/>
          <w:p>
            <w:pPr>
              <w:pStyle w:val="Compact"/>
              <w:jc w:val="center"/>
            </w:pPr>
            <w:r>
              <w:t xml:space="preserve">10%–15%</w:t>
            </w:r>
          </w:p>
        </w:tc>
        <w:tc>
          <w:tcPr/>
          <w:p>
            <w:pPr>
              <w:pStyle w:val="Compact"/>
              <w:jc w:val="center"/>
            </w:pPr>
            <w:r>
              <w:t xml:space="preserve">6.0%–6.8%</w:t>
            </w:r>
          </w:p>
        </w:tc>
        <w:tc>
          <w:tcPr/>
          <w:p>
            <w:pPr>
              <w:pStyle w:val="Compact"/>
              <w:jc w:val="left"/>
            </w:pPr>
            <w:r>
              <w:t xml:space="preserve">Muy alta</w:t>
            </w:r>
          </w:p>
        </w:tc>
      </w:tr>
      <w:tr>
        <w:tc>
          <w:tcPr/>
          <w:p>
            <w:pPr>
              <w:pStyle w:val="Compact"/>
              <w:jc w:val="left"/>
            </w:pPr>
            <w:r>
              <w:t xml:space="preserve">Empaque e indirecto</w:t>
            </w:r>
          </w:p>
        </w:tc>
        <w:tc>
          <w:tcPr/>
          <w:p>
            <w:pPr>
              <w:pStyle w:val="Compact"/>
              <w:jc w:val="center"/>
            </w:pPr>
            <w:r>
              <w:t xml:space="preserve">$92M</w:t>
            </w:r>
          </w:p>
        </w:tc>
        <w:tc>
          <w:tcPr/>
          <w:p>
            <w:pPr>
              <w:pStyle w:val="Compact"/>
              <w:jc w:val="center"/>
            </w:pPr>
            <w:r>
              <w:t xml:space="preserve">60 días</w:t>
            </w:r>
          </w:p>
        </w:tc>
        <w:tc>
          <w:tcPr/>
          <w:p>
            <w:pPr>
              <w:pStyle w:val="Compact"/>
              <w:jc w:val="center"/>
            </w:pPr>
            <w:r>
              <w:t xml:space="preserve">9%–18%</w:t>
            </w:r>
          </w:p>
        </w:tc>
        <w:tc>
          <w:tcPr/>
          <w:p>
            <w:pPr>
              <w:pStyle w:val="Compact"/>
              <w:jc w:val="center"/>
            </w:pPr>
            <w:r>
              <w:t xml:space="preserve">5.8%–6.5%</w:t>
            </w:r>
          </w:p>
        </w:tc>
        <w:tc>
          <w:tcPr/>
          <w:p>
            <w:pPr>
              <w:pStyle w:val="Compact"/>
              <w:jc w:val="left"/>
            </w:pPr>
            <w:r>
              <w:t xml:space="preserve">Media</w:t>
            </w:r>
          </w:p>
        </w:tc>
      </w:tr>
      <w:tr>
        <w:tc>
          <w:tcPr/>
          <w:p>
            <w:pPr>
              <w:pStyle w:val="Compact"/>
              <w:jc w:val="left"/>
            </w:pPr>
            <w:r>
              <w:t xml:space="preserve">Motores globales</w:t>
            </w:r>
          </w:p>
        </w:tc>
        <w:tc>
          <w:tcPr/>
          <w:p>
            <w:pPr>
              <w:pStyle w:val="Compact"/>
              <w:jc w:val="center"/>
            </w:pPr>
            <w:r>
              <w:t xml:space="preserve">$420M</w:t>
            </w:r>
          </w:p>
        </w:tc>
        <w:tc>
          <w:tcPr/>
          <w:p>
            <w:pPr>
              <w:pStyle w:val="Compact"/>
              <w:jc w:val="center"/>
            </w:pPr>
            <w:r>
              <w:t xml:space="preserve">90 días</w:t>
            </w:r>
          </w:p>
        </w:tc>
        <w:tc>
          <w:tcPr/>
          <w:p>
            <w:pPr>
              <w:pStyle w:val="Compact"/>
              <w:jc w:val="center"/>
            </w:pPr>
            <w:r>
              <w:t xml:space="preserve">4%–6%</w:t>
            </w:r>
          </w:p>
        </w:tc>
        <w:tc>
          <w:tcPr/>
          <w:p>
            <w:pPr>
              <w:pStyle w:val="Compact"/>
              <w:jc w:val="center"/>
            </w:pPr>
            <w:r>
              <w:t xml:space="preserve">6.2%–7.0%</w:t>
            </w:r>
          </w:p>
        </w:tc>
        <w:tc>
          <w:tcPr/>
          <w:p>
            <w:pPr>
              <w:pStyle w:val="Compact"/>
              <w:jc w:val="left"/>
            </w:pPr>
            <w:r>
              <w:t xml:space="preserve">Alta</w:t>
            </w:r>
          </w:p>
        </w:tc>
      </w:tr>
      <w:tr>
        <w:tc>
          <w:tcPr/>
          <w:p>
            <w:pPr>
              <w:pStyle w:val="Compact"/>
              <w:jc w:val="left"/>
            </w:pPr>
            <w:r>
              <w:t xml:space="preserve">Proveedores pequeños de minorías</w:t>
            </w:r>
          </w:p>
        </w:tc>
        <w:tc>
          <w:tcPr/>
          <w:p>
            <w:pPr>
              <w:pStyle w:val="Compact"/>
              <w:jc w:val="center"/>
            </w:pPr>
            <w:r>
              <w:t xml:space="preserve">$76M</w:t>
            </w:r>
          </w:p>
        </w:tc>
        <w:tc>
          <w:tcPr/>
          <w:p>
            <w:pPr>
              <w:pStyle w:val="Compact"/>
              <w:jc w:val="center"/>
            </w:pPr>
            <w:r>
              <w:t xml:space="preserve">60–75 días</w:t>
            </w:r>
          </w:p>
        </w:tc>
        <w:tc>
          <w:tcPr/>
          <w:p>
            <w:pPr>
              <w:pStyle w:val="Compact"/>
              <w:jc w:val="center"/>
            </w:pPr>
            <w:r>
              <w:t xml:space="preserve">12%–24%</w:t>
            </w:r>
          </w:p>
        </w:tc>
        <w:tc>
          <w:tcPr/>
          <w:p>
            <w:pPr>
              <w:pStyle w:val="Compact"/>
              <w:jc w:val="center"/>
            </w:pPr>
            <w:r>
              <w:t xml:space="preserve">6.0%–7.2%</w:t>
            </w:r>
          </w:p>
        </w:tc>
        <w:tc>
          <w:tcPr/>
          <w:p>
            <w:pPr>
              <w:pStyle w:val="Compact"/>
              <w:jc w:val="left"/>
            </w:pPr>
            <w:r>
              <w:t xml:space="preserve">Mixta</w:t>
            </w:r>
          </w:p>
        </w:tc>
      </w:tr>
    </w:tbl>
    <w:bookmarkEnd w:id="11"/>
    <w:bookmarkEnd w:id="12"/>
    <w:bookmarkStart w:id="14" w:name="el-efectivo-no-era-la-única-exposición"/>
    <w:p>
      <w:pPr>
        <w:pStyle w:val="Heading1"/>
      </w:pPr>
      <w:r>
        <w:t xml:space="preserve">El Efectivo No Era la Única Exposición</w:t>
      </w:r>
    </w:p>
    <w:p>
      <w:pPr>
        <w:pStyle w:val="FirstParagraph"/>
      </w:pPr>
      <w:r>
        <w:t xml:space="preserve">Tesorería veía la propuesta de financiamiento a proveedores como un elemento de un problema de riesgo financiero más amplio. Northbridge compraba componentes en euros, yenes, pesos mexicanos y dólares estadounidenses. Tenía aproximadamente $410 millones de inventario en tránsito o en almacenes de terceros. Las ventas a dos grandes clientes internacionales estaban aseguradas contra impago, pero la mayoría de las cuentas por cobrar nacionales no lo estaban. La empresa contaba con cobertura de carga marítima, cobertura de propiedad, y una póliza limitada de riesgo político para un corredor de abastecimiento asiático. La cobertura se había ensamblado con el tiempo por diferentes unidades de negocio, y nadie podía demostrar si la cartera coincidía con la exposición actual de la empresa.</w:t>
      </w:r>
    </w:p>
    <w:p>
      <w:pPr>
        <w:pStyle w:val="BodyText"/>
      </w:pPr>
      <w:r>
        <w:t xml:space="preserve">Los recientes cambios arancelarios habían alterado el perfil de efectivo de las compras importadas. Los derechos aduaneros debían pagarse cuando las mercancías ingresaban al país, a menudo semanas antes de que Northbridge cobrara efectivo de los clientes. Adquisiciones podía trasladar algunas compras a México o a proveedores nacionales, pero la calificación podía tardar de seis a dieciocho meses y podría requerir nuevo herramental. Comprar inventario adicional antes de futuros aumentos arancelarios podría proteger los márgenes y la producción, pero consumiría efectivo y aumentaría el riesgo de obsolescencia.</w:t>
      </w:r>
    </w:p>
    <w:p>
      <w:pPr>
        <w:pStyle w:val="BodyText"/>
      </w:pPr>
      <w:r>
        <w:t xml:space="preserve">Las coberturas cambiarias crearon otro debate. Tesorería típicamente cubría el 60% de las compras en moneda extranjera previstas para los próximos seis meses y el 30% para los meses del séptimo al duodécimo. Adquisiciones ahora quería mayor cobertura porque movimientos súbitos en el tipo de cambio podrían amplificar los aumentos arancelarios. Los ejecutivos de ventas objetaron que una cobertura agresiva podría fijar costos justo cuando la demanda se debilitara. Las ventas europeas de la empresa también creaban una cobertura natural parcial, pero el momento y el monto de esos ingresos eran inciertos.</w:t>
      </w:r>
    </w:p>
    <w:bookmarkStart w:id="13" w:name="Xd3473a56eea190862e4ae16ae184af1f3a16141"/>
    <w:p>
      <w:pPr>
        <w:pStyle w:val="Heading2"/>
      </w:pPr>
      <w:r>
        <w:t xml:space="preserve">Figura 3. Exposiciones Financieras Seleccionadas</w:t>
      </w:r>
    </w:p>
    <w:tbl>
      <w:tblPr>
        <w:tblStyle w:val="Table"/>
        <w:tblW w:type="pct" w:w="4928"/>
        <w:tblLayout w:type="fixed"/>
        <w:tblLook w:firstRow="1" w:lastRow="0" w:firstColumn="0" w:lastColumn="0" w:noHBand="0" w:noVBand="0" w:val="0020"/>
      </w:tblPr>
      <w:tblGrid>
        <w:gridCol w:w="2677"/>
        <w:gridCol w:w="1082"/>
        <w:gridCol w:w="1652"/>
        <w:gridCol w:w="2393"/>
      </w:tblGrid>
      <w:tr>
        <w:trPr>
          <w:tblHeader w:val="on"/>
        </w:trPr>
        <w:tc>
          <w:tcPr/>
          <w:p>
            <w:pPr>
              <w:pStyle w:val="Compact"/>
            </w:pPr>
            <w:r>
              <w:t xml:space="preserve">Exposición M</w:t>
            </w:r>
          </w:p>
        </w:tc>
        <w:tc>
          <w:tcPr/>
          <w:p>
            <w:pPr>
              <w:pStyle w:val="Compact"/>
            </w:pPr>
            <w:r>
              <w:t xml:space="preserve">onto estimado P</w:t>
            </w:r>
          </w:p>
        </w:tc>
        <w:tc>
          <w:tcPr/>
          <w:p>
            <w:pPr>
              <w:pStyle w:val="Compact"/>
              <w:jc w:val="left"/>
            </w:pPr>
            <w:r>
              <w:t xml:space="preserve">rotección actual</w:t>
            </w:r>
          </w:p>
        </w:tc>
        <w:tc>
          <w:tcPr/>
          <w:p>
            <w:pPr>
              <w:pStyle w:val="Compact"/>
              <w:jc w:val="left"/>
            </w:pPr>
            <w:r>
              <w:t xml:space="preserve">Preocupación de gestión</w:t>
            </w:r>
          </w:p>
        </w:tc>
      </w:tr>
      <w:tr>
        <w:tc>
          <w:tcPr/>
          <w:p>
            <w:pPr>
              <w:pStyle w:val="Compact"/>
            </w:pPr>
            <w:r>
              <w:t xml:space="preserve">Facturas de proveedores aprobadas</w:t>
            </w:r>
          </w:p>
        </w:tc>
        <w:tc>
          <w:tcPr/>
          <w:p>
            <w:pPr>
              <w:pStyle w:val="Compact"/>
            </w:pPr>
            <w:r>
              <w:t xml:space="preserve">$485M</w:t>
            </w:r>
          </w:p>
        </w:tc>
        <w:tc>
          <w:tcPr/>
          <w:p>
            <w:pPr>
              <w:pStyle w:val="Compact"/>
              <w:jc w:val="left"/>
            </w:pPr>
            <w:r>
              <w:t xml:space="preserve">Sin programa dedicado</w:t>
            </w:r>
          </w:p>
        </w:tc>
        <w:tc>
          <w:tcPr/>
          <w:p>
            <w:pPr>
              <w:pStyle w:val="Compact"/>
              <w:jc w:val="left"/>
            </w:pPr>
            <w:r>
              <w:t xml:space="preserve">Liquidez del proveedor y momento del pago</w:t>
            </w:r>
          </w:p>
        </w:tc>
      </w:tr>
      <w:tr>
        <w:tc>
          <w:tcPr/>
          <w:p>
            <w:pPr>
              <w:pStyle w:val="Compact"/>
            </w:pPr>
            <w:r>
              <w:t xml:space="preserve">Compras en moneda extranjera, próximos 12 meses</w:t>
            </w:r>
          </w:p>
        </w:tc>
        <w:tc>
          <w:tcPr/>
          <w:p>
            <w:pPr>
              <w:pStyle w:val="Compact"/>
            </w:pPr>
            <w:r>
              <w:t xml:space="preserve">$690M</w:t>
            </w:r>
          </w:p>
        </w:tc>
        <w:tc>
          <w:tcPr/>
          <w:p>
            <w:pPr>
              <w:pStyle w:val="Compact"/>
              <w:jc w:val="left"/>
            </w:pPr>
            <w:r>
              <w:t xml:space="preserve">47% cubierto</w:t>
            </w:r>
          </w:p>
        </w:tc>
        <w:tc>
          <w:tcPr/>
          <w:p>
            <w:pPr>
              <w:pStyle w:val="Compact"/>
              <w:jc w:val="left"/>
            </w:pPr>
            <w:r>
              <w:t xml:space="preserve">Tasas, error de pronóstico, costo de cobertura</w:t>
            </w:r>
          </w:p>
        </w:tc>
      </w:tr>
      <w:tr>
        <w:tc>
          <w:tcPr/>
          <w:p>
            <w:pPr>
              <w:pStyle w:val="Compact"/>
            </w:pPr>
            <w:r>
              <w:t xml:space="preserve">Inventario en tránsito y en sitios de terceros</w:t>
            </w:r>
          </w:p>
        </w:tc>
        <w:tc>
          <w:tcPr/>
          <w:p>
            <w:pPr>
              <w:pStyle w:val="Compact"/>
            </w:pPr>
            <w:r>
              <w:t xml:space="preserve">$410M</w:t>
            </w:r>
          </w:p>
        </w:tc>
        <w:tc>
          <w:tcPr/>
          <w:p>
            <w:pPr>
              <w:pStyle w:val="Compact"/>
              <w:jc w:val="left"/>
            </w:pPr>
            <w:r>
              <w:t xml:space="preserve">Seguro de carga/propiedad</w:t>
            </w:r>
          </w:p>
        </w:tc>
        <w:tc>
          <w:tcPr/>
          <w:p>
            <w:pPr>
              <w:pStyle w:val="Compact"/>
              <w:jc w:val="left"/>
            </w:pPr>
            <w:r>
              <w:t xml:space="preserve">Pérdida, retraso, deducible, brechas de cobertura</w:t>
            </w:r>
          </w:p>
        </w:tc>
      </w:tr>
      <w:tr>
        <w:tc>
          <w:tcPr/>
          <w:p>
            <w:pPr>
              <w:pStyle w:val="Compact"/>
            </w:pPr>
            <w:r>
              <w:t xml:space="preserve">Cuentas por cobrar comerciales</w:t>
            </w:r>
          </w:p>
        </w:tc>
        <w:tc>
          <w:tcPr/>
          <w:p>
            <w:pPr>
              <w:pStyle w:val="Compact"/>
            </w:pPr>
            <w:r>
              <w:t xml:space="preserve">$612M</w:t>
            </w:r>
          </w:p>
        </w:tc>
        <w:tc>
          <w:tcPr/>
          <w:p>
            <w:pPr>
              <w:pStyle w:val="Compact"/>
              <w:jc w:val="left"/>
            </w:pPr>
            <w:r>
              <w:t xml:space="preserve">Seguro de crédito selectivo</w:t>
            </w:r>
          </w:p>
        </w:tc>
        <w:tc>
          <w:tcPr/>
          <w:p>
            <w:pPr>
              <w:pStyle w:val="Compact"/>
              <w:jc w:val="left"/>
            </w:pPr>
            <w:r>
              <w:t xml:space="preserve">Incumplimiento del cliente y pago retrasado</w:t>
            </w:r>
          </w:p>
        </w:tc>
      </w:tr>
      <w:tr>
        <w:tc>
          <w:tcPr/>
          <w:p>
            <w:pPr>
              <w:pStyle w:val="Compact"/>
            </w:pPr>
            <w:r>
              <w:t xml:space="preserve">Desembolso de efectivo por aranceles, próx. 12</w:t>
            </w:r>
          </w:p>
        </w:tc>
        <w:tc>
          <w:tcPr/>
          <w:p>
            <w:pPr>
              <w:pStyle w:val="Compact"/>
            </w:pPr>
            <w:r>
              <w:t xml:space="preserve">meses $96M</w:t>
            </w:r>
          </w:p>
        </w:tc>
        <w:tc>
          <w:tcPr/>
          <w:p>
            <w:pPr>
              <w:pStyle w:val="Compact"/>
              <w:jc w:val="left"/>
            </w:pPr>
            <w:r>
              <w:t xml:space="preserve">Ninguna</w:t>
            </w:r>
          </w:p>
        </w:tc>
        <w:tc>
          <w:tcPr/>
          <w:p>
            <w:pPr>
              <w:pStyle w:val="Compact"/>
              <w:jc w:val="left"/>
            </w:pPr>
            <w:r>
              <w:t xml:space="preserve">Momento, cambios de política, precio del producto</w:t>
            </w:r>
          </w:p>
        </w:tc>
      </w:tr>
    </w:tbl>
    <w:bookmarkEnd w:id="13"/>
    <w:bookmarkEnd w:id="14"/>
    <w:bookmarkStart w:id="16" w:name="X6afcc0685034f378ff3d4c802df0e0642035956"/>
    <w:p>
      <w:pPr>
        <w:pStyle w:val="Heading1"/>
      </w:pPr>
      <w:r>
        <w:t xml:space="preserve">Diferentes Funciones, Diferentes Definiciones de Éxito</w:t>
      </w:r>
    </w:p>
    <w:p>
      <w:pPr>
        <w:pStyle w:val="FirstParagraph"/>
      </w:pPr>
      <w:r>
        <w:t xml:space="preserve">Adquisiciones favorecía la implementación rápida. Sus líderes argumentaban que el costo de un solo fallo de proveedor podría exceder años de comisiones del programa. Un cierre en AlloyWorks, por ejemplo, podría interrumpir la producción de una familia de productos que generaba $8.6 millones de ingresos semanales. Adquisiciones propuso inscribir primero a los 100 proveedores más grandes, y luego extender la elegibilidad a empresas más pequeñas una vez que la plataforma se estabilizara.</w:t>
      </w:r>
    </w:p>
    <w:p>
      <w:pPr>
        <w:pStyle w:val="BodyText"/>
      </w:pPr>
      <w:r>
        <w:t xml:space="preserve">Operaciones discrepaba con un despliegue basado en el tamaño. Algunos de los proveedores más grandes tenían muchos clientes y acceso fácil a capital, mientras que las empresas pequeñas y especializadas creaban el riesgo de continuidad más grave. Operaciones quería una puntuación de vulnerabilidad que combinara salud financiera, singularidad de la pieza, cobertura de inventario, tiempo de calificación e ingresos en riesgo. También quería que Northbridge mantuviera un fondo de emergencia separado para herramental, materias primas o pagos anticipados temporales cuando un proveedor crítico no pudiera calificar para el programa bancario.</w:t>
      </w:r>
    </w:p>
    <w:p>
      <w:pPr>
        <w:pStyle w:val="BodyText"/>
      </w:pPr>
      <w:r>
        <w:t xml:space="preserve">Tesorería quería proteger la propia liquidez de Northbridge. La empresa estaba planeando una expansión de planta de $240 millones y había prometido a la junta directiva que la deuda neta se mantendría por debajo de 2.0 veces el EBITDA. Tesorería propuso extender los términos estándar a 90 días para todos los proveedores elegibles para el pago anticipado, mientras mantenía términos de 45 o 60 días para los proveedores vulnerables que no pudieran participar. Esto maximizaría la retención de efectivo, pero adquisiciones advirtió que los proveedores podrían verlo como el uso del banco para imponer plazos aún más largos.</w:t>
      </w:r>
    </w:p>
    <w:p>
      <w:pPr>
        <w:pStyle w:val="BodyText"/>
      </w:pPr>
      <w:r>
        <w:t xml:space="preserve">Los equipos de sostenibilidad y diversidad de proveedores plantearon otra preocupación. Un filtro puramente financiero podría excluir sistemáticamente a empresas jóvenes, rurales, propiedad de minorías o de reciente creación. Esos proveedores a menudo carecían de estados financieros auditados o historiales crediticios largos, incluso cuando su desempeño operativo era sólido. Un programa diseñado para estabilizar la red podría, por lo tanto, dirigir el financiamiento más barato a los proveedores que ya tenían el mejor acceso al capital.</w:t>
      </w:r>
    </w:p>
    <w:bookmarkStart w:id="15" w:name="Xecacda6ace7ab607caf1237b1340df081851c48"/>
    <w:p>
      <w:pPr>
        <w:pStyle w:val="Heading2"/>
      </w:pPr>
      <w:r>
        <w:t xml:space="preserve">Figura 4. Tres Diseños de Programa en Discusión</w:t>
      </w:r>
    </w:p>
    <w:tbl>
      <w:tblPr>
        <w:tblStyle w:val="Table"/>
        <w:tblW w:type="pct" w:w="4952"/>
        <w:tblLayout w:type="fixed"/>
        <w:tblLook w:firstRow="1" w:lastRow="0" w:firstColumn="0" w:lastColumn="0" w:noHBand="0" w:noVBand="0" w:val="0020"/>
      </w:tblPr>
      <w:tblGrid>
        <w:gridCol w:w="829"/>
        <w:gridCol w:w="1244"/>
        <w:gridCol w:w="1621"/>
        <w:gridCol w:w="1320"/>
        <w:gridCol w:w="1357"/>
        <w:gridCol w:w="1470"/>
      </w:tblGrid>
      <w:tr>
        <w:trPr>
          <w:tblHeader w:val="on"/>
        </w:trPr>
        <w:tc>
          <w:tcPr/>
          <w:p>
            <w:pPr>
              <w:pStyle w:val="Compact"/>
              <w:jc w:val="left"/>
            </w:pPr>
            <w:r>
              <w:t xml:space="preserve">Diseño</w:t>
            </w:r>
          </w:p>
        </w:tc>
        <w:tc>
          <w:tcPr/>
          <w:p>
            <w:pPr>
              <w:pStyle w:val="Compact"/>
              <w:jc w:val="center"/>
            </w:pPr>
            <w:r>
              <w:t xml:space="preserve">Términos de pago</w:t>
            </w:r>
          </w:p>
        </w:tc>
        <w:tc>
          <w:tcPr/>
          <w:p>
            <w:pPr>
              <w:pStyle w:val="Compact"/>
              <w:jc w:val="center"/>
            </w:pPr>
            <w:r>
              <w:t xml:space="preserve">Financiamiento de pago anticipado</w:t>
            </w:r>
          </w:p>
        </w:tc>
        <w:tc>
          <w:tcPr/>
          <w:p>
            <w:pPr>
              <w:pStyle w:val="Compact"/>
              <w:jc w:val="left"/>
            </w:pPr>
            <w:r>
              <w:t xml:space="preserve">Alcance inicial</w:t>
            </w:r>
          </w:p>
        </w:tc>
        <w:tc>
          <w:tcPr/>
          <w:p>
            <w:pPr>
              <w:pStyle w:val="Compact"/>
              <w:jc w:val="right"/>
            </w:pPr>
            <w:r>
              <w:t xml:space="preserve">Beneficio de efectivo estimado del</w:t>
            </w:r>
          </w:p>
        </w:tc>
        <w:tc>
          <w:tcPr/>
          <w:p>
            <w:pPr>
              <w:pStyle w:val="Compact"/>
              <w:jc w:val="left"/>
            </w:pPr>
            <w:r>
              <w:t xml:space="preserve">primer año Preocupación principal</w:t>
            </w:r>
          </w:p>
        </w:tc>
      </w:tr>
      <w:tr>
        <w:tc>
          <w:tcPr/>
          <w:p>
            <w:pPr>
              <w:pStyle w:val="Compact"/>
              <w:jc w:val="left"/>
            </w:pPr>
            <w:r>
              <w:t xml:space="preserve">Extensión amplia</w:t>
            </w:r>
          </w:p>
        </w:tc>
        <w:tc>
          <w:tcPr/>
          <w:p>
            <w:pPr>
              <w:pStyle w:val="Compact"/>
              <w:jc w:val="center"/>
            </w:pPr>
            <w:r>
              <w:t xml:space="preserve">90 días para proveedores elegibl</w:t>
            </w:r>
          </w:p>
        </w:tc>
        <w:tc>
          <w:tcPr/>
          <w:p>
            <w:pPr>
              <w:pStyle w:val="Compact"/>
              <w:jc w:val="center"/>
            </w:pPr>
            <w:r>
              <w:t xml:space="preserve">es Financiado por el banco; el proveedor pa</w:t>
            </w:r>
          </w:p>
        </w:tc>
        <w:tc>
          <w:tcPr/>
          <w:p>
            <w:pPr>
              <w:pStyle w:val="Compact"/>
              <w:jc w:val="left"/>
            </w:pPr>
            <w:r>
              <w:t xml:space="preserve">ga el descuento Los 250 prin</w:t>
            </w:r>
          </w:p>
        </w:tc>
        <w:tc>
          <w:tcPr/>
          <w:p>
            <w:pPr>
              <w:pStyle w:val="Compact"/>
              <w:jc w:val="right"/>
            </w:pPr>
            <w:r>
              <w:t xml:space="preserve">cipales proveedores $118M</w:t>
            </w:r>
          </w:p>
        </w:tc>
        <w:tc>
          <w:tcPr/>
          <w:p>
            <w:pPr>
              <w:pStyle w:val="Compact"/>
              <w:jc w:val="left"/>
            </w:pPr>
            <w:r>
              <w:t xml:space="preserve">Resistencia del proveedor y percepción</w:t>
            </w:r>
          </w:p>
        </w:tc>
      </w:tr>
      <w:tr>
        <w:tc>
          <w:tcPr/>
          <w:p>
            <w:pPr>
              <w:pStyle w:val="Compact"/>
              <w:jc w:val="left"/>
            </w:pPr>
            <w:r>
              <w:t xml:space="preserve">Resiliencia focalizada</w:t>
            </w:r>
          </w:p>
        </w:tc>
        <w:tc>
          <w:tcPr/>
          <w:p>
            <w:pPr>
              <w:pStyle w:val="Compact"/>
              <w:jc w:val="center"/>
            </w:pPr>
            <w:r>
              <w:t xml:space="preserve">Se mantienen los términos actual</w:t>
            </w:r>
          </w:p>
        </w:tc>
        <w:tc>
          <w:tcPr/>
          <w:p>
            <w:pPr>
              <w:pStyle w:val="Compact"/>
              <w:jc w:val="center"/>
            </w:pPr>
            <w:r>
              <w:t xml:space="preserve">es Banco más subsidio limitado de la empres</w:t>
            </w:r>
          </w:p>
        </w:tc>
        <w:tc>
          <w:tcPr/>
          <w:p>
            <w:pPr>
              <w:pStyle w:val="Compact"/>
              <w:jc w:val="left"/>
            </w:pPr>
            <w:r>
              <w:t xml:space="preserve">a 47 proveedores críticos vulner</w:t>
            </w:r>
          </w:p>
        </w:tc>
        <w:tc>
          <w:tcPr/>
          <w:p>
            <w:pPr>
              <w:pStyle w:val="Compact"/>
              <w:jc w:val="right"/>
            </w:pPr>
            <w:r>
              <w:t xml:space="preserve">ables $34M</w:t>
            </w:r>
          </w:p>
        </w:tc>
        <w:tc>
          <w:tcPr/>
          <w:p>
            <w:pPr>
              <w:pStyle w:val="Compact"/>
              <w:jc w:val="left"/>
            </w:pPr>
            <w:r>
              <w:t xml:space="preserve">Menor beneficio de efectivo; selección compleja</w:t>
            </w:r>
          </w:p>
        </w:tc>
      </w:tr>
      <w:tr>
        <w:tc>
          <w:tcPr/>
          <w:p>
            <w:pPr>
              <w:pStyle w:val="Compact"/>
              <w:jc w:val="left"/>
            </w:pPr>
            <w:r>
              <w:t xml:space="preserve">Cartera escalonada</w:t>
            </w:r>
          </w:p>
        </w:tc>
        <w:tc>
          <w:tcPr/>
          <w:p>
            <w:pPr>
              <w:pStyle w:val="Compact"/>
              <w:jc w:val="center"/>
            </w:pPr>
            <w:r>
              <w:t xml:space="preserve">60–90 días según segmento</w:t>
            </w:r>
          </w:p>
        </w:tc>
        <w:tc>
          <w:tcPr/>
          <w:p>
            <w:pPr>
              <w:pStyle w:val="Compact"/>
              <w:jc w:val="center"/>
            </w:pPr>
            <w:r>
              <w:t xml:space="preserve">Banco, efectivo de la empresa o apoyo de</w:t>
            </w:r>
          </w:p>
        </w:tc>
        <w:tc>
          <w:tcPr/>
          <w:p>
            <w:pPr>
              <w:pStyle w:val="Compact"/>
              <w:jc w:val="left"/>
            </w:pPr>
            <w:r>
              <w:t xml:space="preserve">emergencia Aproximadamente 160 pr</w:t>
            </w:r>
          </w:p>
        </w:tc>
        <w:tc>
          <w:tcPr/>
          <w:p>
            <w:pPr>
              <w:pStyle w:val="Compact"/>
              <w:jc w:val="right"/>
            </w:pPr>
            <w:r>
              <w:t xml:space="preserve">oveedores $72M</w:t>
            </w:r>
          </w:p>
        </w:tc>
        <w:tc>
          <w:tcPr/>
          <w:p>
            <w:pPr>
              <w:pStyle w:val="Compact"/>
              <w:jc w:val="left"/>
            </w:pPr>
            <w:r>
              <w:t xml:space="preserve">Carga de gobernanza y administrativa</w:t>
            </w:r>
          </w:p>
        </w:tc>
      </w:tr>
    </w:tbl>
    <w:bookmarkEnd w:id="15"/>
    <w:bookmarkEnd w:id="16"/>
    <w:bookmarkStart w:id="18" w:name="el-problema-de-la-información"/>
    <w:p>
      <w:pPr>
        <w:pStyle w:val="Heading1"/>
      </w:pPr>
      <w:r>
        <w:t xml:space="preserve">El Problema de la Información</w:t>
      </w:r>
    </w:p>
    <w:p>
      <w:pPr>
        <w:pStyle w:val="FirstParagraph"/>
      </w:pPr>
      <w:r>
        <w:t xml:space="preserve">El programa dependía de las facturas aprobadas, pero el proceso de facturación de Northbridge era inconsistente. La factura mediana se aprobaba en ocho días, mientras que el 17% tardaba más de 20 días. Las causas comunes incluían disputas de cantidad, registros de recepción faltantes, discrepancias de precio, y facturas enviadas a la entidad equivocada. Un proveedor no podía solicitar el pago anticipado hasta la aprobación, por lo que un proceso lento podía anular gran parte del beneficio.</w:t>
      </w:r>
    </w:p>
    <w:p>
      <w:pPr>
        <w:pStyle w:val="BodyText"/>
      </w:pPr>
      <w:r>
        <w:t xml:space="preserve">La empresa tampoco contaba con una medida confiable de la salud financiera de los proveedores. Adquisiciones recopilaba cuestionarios anuales, puntuaciones de crédito comercial, resultados de calidad, desempeño de entrega, y observaciones informales de los compradores. Estas fuentes a veces entraban en conflicto. Un proveedor con una puntuación de crédito débil nunca había perdido un envío en doce años. Otro con estados financieros sólidos había perdido recientemente a su gerente de planta y luchaba con la rotación de personal. Chen se preguntaba si Northbridge debía preguntar directamente a los proveedores sobre sus necesidades de efectivo, pero adquisiciones temía que los proveedores ocultaran la angustia o la exageraran para obtener un trato favorable.</w:t>
      </w:r>
    </w:p>
    <w:p>
      <w:pPr>
        <w:pStyle w:val="BodyText"/>
      </w:pPr>
      <w:r>
        <w:t xml:space="preserve">El banco propuso integrar datos de cuentas, historial de facturas, registros de envío, y puntuaciones de riesgo externas. La plataforma podría señalar facturas duplicadas inusuales, concentración, o cambios rápidos en el comportamiento de pago. El asesor legal advirtió que las falsas alarmas podrían dañar las relaciones con los proveedores, mientras que las advertencias omitidas podrían crear una falsa sensación de seguridad. El personal de ciberseguridad estimó una implementación de nueve meses si el programa utilizaba integración completa, frente a cuatro meses para un lanzamiento más limitado basado en archivos.</w:t>
      </w:r>
    </w:p>
    <w:bookmarkStart w:id="17" w:name="Xba84566586a7fc5f7b94d06f6385bbc4d541580"/>
    <w:p>
      <w:pPr>
        <w:pStyle w:val="Heading2"/>
      </w:pPr>
      <w:r>
        <w:t xml:space="preserve">Figura 5. Indicadores de Facturas y Riesgo de Proveedores</w:t>
      </w:r>
    </w:p>
    <w:tbl>
      <w:tblPr>
        <w:tblStyle w:val="Table"/>
        <w:tblW w:type="pct" w:w="4898"/>
        <w:tblLayout w:type="fixed"/>
        <w:tblLook w:firstRow="1" w:lastRow="0" w:firstColumn="0" w:lastColumn="0" w:noHBand="0" w:noVBand="0" w:val="0020"/>
      </w:tblPr>
      <w:tblGrid>
        <w:gridCol w:w="4202"/>
        <w:gridCol w:w="1373"/>
        <w:gridCol w:w="2182"/>
      </w:tblGrid>
      <w:tr>
        <w:trPr>
          <w:tblHeader w:val="on"/>
        </w:trPr>
        <w:tc>
          <w:tcPr/>
          <w:p>
            <w:pPr>
              <w:pStyle w:val="Compact"/>
              <w:jc w:val="left"/>
            </w:pPr>
            <w:r>
              <w:t xml:space="preserve">Indicador</w:t>
            </w:r>
          </w:p>
        </w:tc>
        <w:tc>
          <w:tcPr/>
          <w:p>
            <w:pPr>
              <w:pStyle w:val="Compact"/>
              <w:jc w:val="right"/>
            </w:pPr>
            <w:r>
              <w:t xml:space="preserve">Resultado actual</w:t>
            </w:r>
          </w:p>
        </w:tc>
        <w:tc>
          <w:tcPr/>
          <w:p>
            <w:pPr>
              <w:pStyle w:val="Compact"/>
              <w:jc w:val="right"/>
            </w:pPr>
            <w:r>
              <w:t xml:space="preserve">Objetivo propuesto para el año uno</w:t>
            </w:r>
          </w:p>
        </w:tc>
      </w:tr>
      <w:tr>
        <w:tc>
          <w:tcPr/>
          <w:p>
            <w:pPr>
              <w:pStyle w:val="Compact"/>
              <w:jc w:val="left"/>
            </w:pPr>
            <w:r>
              <w:t xml:space="preserve">Tiempo mediano de aprobación de facturas</w:t>
            </w:r>
          </w:p>
        </w:tc>
        <w:tc>
          <w:tcPr/>
          <w:p>
            <w:pPr>
              <w:pStyle w:val="Compact"/>
              <w:jc w:val="right"/>
            </w:pPr>
            <w:r>
              <w:t xml:space="preserve">8 días</w:t>
            </w:r>
          </w:p>
        </w:tc>
        <w:tc>
          <w:tcPr/>
          <w:p>
            <w:pPr>
              <w:pStyle w:val="Compact"/>
              <w:jc w:val="right"/>
            </w:pPr>
            <w:r>
              <w:t xml:space="preserve">3 días</w:t>
            </w:r>
          </w:p>
        </w:tc>
      </w:tr>
      <w:tr>
        <w:tc>
          <w:tcPr/>
          <w:p>
            <w:pPr>
              <w:pStyle w:val="Compact"/>
              <w:jc w:val="left"/>
            </w:pPr>
            <w:r>
              <w:t xml:space="preserve">Facturas aprobadas después de 20 días</w:t>
            </w:r>
          </w:p>
        </w:tc>
        <w:tc>
          <w:tcPr/>
          <w:p>
            <w:pPr>
              <w:pStyle w:val="Compact"/>
              <w:jc w:val="right"/>
            </w:pPr>
            <w:r>
              <w:t xml:space="preserve">17%</w:t>
            </w:r>
          </w:p>
        </w:tc>
        <w:tc>
          <w:tcPr/>
          <w:p>
            <w:pPr>
              <w:pStyle w:val="Compact"/>
              <w:jc w:val="right"/>
            </w:pPr>
            <w:r>
              <w:t xml:space="preserve">Por debajo del 5%</w:t>
            </w:r>
          </w:p>
        </w:tc>
      </w:tr>
      <w:tr>
        <w:tc>
          <w:tcPr/>
          <w:p>
            <w:pPr>
              <w:pStyle w:val="Compact"/>
              <w:jc w:val="left"/>
            </w:pPr>
            <w:r>
              <w:t xml:space="preserve">Facturas disputadas después de la aprobación</w:t>
            </w:r>
          </w:p>
        </w:tc>
        <w:tc>
          <w:tcPr/>
          <w:p>
            <w:pPr>
              <w:pStyle w:val="Compact"/>
              <w:jc w:val="right"/>
            </w:pPr>
            <w:r>
              <w:t xml:space="preserve">2.8%</w:t>
            </w:r>
          </w:p>
        </w:tc>
        <w:tc>
          <w:tcPr/>
          <w:p>
            <w:pPr>
              <w:pStyle w:val="Compact"/>
              <w:jc w:val="right"/>
            </w:pPr>
            <w:r>
              <w:t xml:space="preserve">Por debajo del 1%</w:t>
            </w:r>
          </w:p>
        </w:tc>
      </w:tr>
      <w:tr>
        <w:tc>
          <w:tcPr/>
          <w:p>
            <w:pPr>
              <w:pStyle w:val="Compact"/>
              <w:jc w:val="left"/>
            </w:pPr>
            <w:r>
              <w:t xml:space="preserve">Proveedores críticos con datos financieros actuales</w:t>
            </w:r>
          </w:p>
        </w:tc>
        <w:tc>
          <w:tcPr/>
          <w:p>
            <w:pPr>
              <w:pStyle w:val="Compact"/>
              <w:jc w:val="right"/>
            </w:pPr>
            <w:r>
              <w:t xml:space="preserve">61%</w:t>
            </w:r>
          </w:p>
        </w:tc>
        <w:tc>
          <w:tcPr/>
          <w:p>
            <w:pPr>
              <w:pStyle w:val="Compact"/>
              <w:jc w:val="right"/>
            </w:pPr>
            <w:r>
              <w:t xml:space="preserve">90%</w:t>
            </w:r>
          </w:p>
        </w:tc>
      </w:tr>
      <w:tr>
        <w:tc>
          <w:tcPr/>
          <w:p>
            <w:pPr>
              <w:pStyle w:val="Compact"/>
              <w:jc w:val="left"/>
            </w:pPr>
            <w:r>
              <w:t xml:space="preserve">Proveedores críticos con calificación de doble fuent</w:t>
            </w:r>
          </w:p>
        </w:tc>
        <w:tc>
          <w:tcPr/>
          <w:p>
            <w:pPr>
              <w:pStyle w:val="Compact"/>
              <w:jc w:val="right"/>
            </w:pPr>
            <w:r>
              <w:t xml:space="preserve">e 38%</w:t>
            </w:r>
          </w:p>
        </w:tc>
        <w:tc>
          <w:tcPr/>
          <w:p>
            <w:pPr>
              <w:pStyle w:val="Compact"/>
              <w:jc w:val="right"/>
            </w:pPr>
            <w:r>
              <w:t xml:space="preserve">50%</w:t>
            </w:r>
          </w:p>
        </w:tc>
      </w:tr>
      <w:tr>
        <w:tc>
          <w:tcPr/>
          <w:p>
            <w:pPr>
              <w:pStyle w:val="Compact"/>
              <w:jc w:val="left"/>
            </w:pPr>
            <w:r>
              <w:t xml:space="preserve">Proveedores que reportan tensión de efectivo en la ú</w:t>
            </w:r>
          </w:p>
        </w:tc>
        <w:tc>
          <w:tcPr/>
          <w:p>
            <w:pPr>
              <w:pStyle w:val="Compact"/>
              <w:jc w:val="right"/>
            </w:pPr>
            <w:r>
              <w:t xml:space="preserve">ltima revisión 29</w:t>
            </w:r>
          </w:p>
        </w:tc>
        <w:tc>
          <w:tcPr/>
          <w:p>
            <w:pPr>
              <w:pStyle w:val="Compact"/>
              <w:jc w:val="right"/>
            </w:pPr>
            <w:r>
              <w:t xml:space="preserve">% No establecido</w:t>
            </w:r>
          </w:p>
        </w:tc>
      </w:tr>
    </w:tbl>
    <w:bookmarkEnd w:id="17"/>
    <w:bookmarkEnd w:id="18"/>
    <w:bookmarkStart w:id="19" w:name="X5abe1f950b0232ff15b21460b22caf0762ee8f4"/>
    <w:p>
      <w:pPr>
        <w:pStyle w:val="Heading1"/>
      </w:pPr>
      <w:r>
        <w:t xml:space="preserve">Una Decisión Antes de la Reunión de la Junta</w:t>
      </w:r>
    </w:p>
    <w:p>
      <w:pPr>
        <w:pStyle w:val="FirstParagraph"/>
      </w:pPr>
      <w:r>
        <w:t xml:space="preserve">El comité de finanzas de la junta se reuniría en nueve días. Chen necesitaba recomendar si Northbridge debía lanzar el programa de financiamiento a proveedores, con qué amplitud debía aplicarse, si los términos de pago debían cambiar, y qué acciones complementarias se requerían. El banco quería una hoja de términos firmada para fin de mes para reservar capacidad de implementación. AlloyWorks quería una respuesta en dos semanas.</w:t>
      </w:r>
    </w:p>
    <w:p>
      <w:pPr>
        <w:pStyle w:val="BodyText"/>
      </w:pPr>
      <w:r>
        <w:t xml:space="preserve">El equipo de Chen produjo un escenario a la baja en el que la demanda de los clientes disminuía un 12%, un cliente importante pagaba 45 días tarde, y los costos arancelarios aumentaban otros $38 millones. Bajo ese escenario, la liquidez disponible de Northbridge podría caer por debajo del mínimo interno a menos que retrasara la expansión de la planta, recurriera a su línea revolvente, o extendiera los términos a los proveedores. Un escenario diferente asumía una demanda fuerte pero el fallo de dos proveedores críticos, causando retrasos en la producción y flete premium. En ese caso, preservar el efectivo de Northbridge ofrecería poco consuelo si la empresa no pudiera enviar los productos terminados.</w:t>
      </w:r>
    </w:p>
    <w:p>
      <w:pPr>
        <w:pStyle w:val="BodyText"/>
      </w:pPr>
      <w:r>
        <w:t xml:space="preserve">Ninguna opción separaba el desempeño financiero de las consecuencias operativas. Pagar a los proveedores más rápido podría fortalecer la red pero debilitar la propia posición de efectivo de Northbridge. Extender los términos podría mejorar el capital de trabajo reportado pero transferir el riesgo a empresas con menor acceso al crédito. El seguro y la cobertura podrían reducir exposiciones seleccionadas mientras introducían primas, deducibles, riesgo de base, y complejidad contractual. Mantener más efectivo mejoraría la resiliencia pero competiría con dividendos, reducción de deuda, automatización, e inversión en planta.</w:t>
      </w:r>
    </w:p>
    <w:p>
      <w:pPr>
        <w:pStyle w:val="BodyText"/>
      </w:pPr>
      <w:r>
        <w:t xml:space="preserve">A las 6:30 de esa tarde, Chen revisó las diapositivas preliminares de la junta. Una página mostraba el beneficio de efectivo proyectado de un programa de 90 días. Otra mostraba los ingresos dependientes de proveedores vulnerables. Una tercera enumeraba brechas de seguro y exposiciones cambiarias. Cada página era convincente por sí sola; juntas no producían una respuesta obvia. Ella eliminó la diapositiva de recomendación y comenzó de nuevo.</w:t>
      </w:r>
    </w:p>
    <w:bookmarkEnd w:id="19"/>
    <w:bookmarkStart w:id="20" w:name="preguntas-de-discusión"/>
    <w:p>
      <w:pPr>
        <w:pStyle w:val="Heading1"/>
      </w:pPr>
      <w:r>
        <w:t xml:space="preserve">Preguntas de Discusión</w:t>
      </w:r>
    </w:p>
    <w:p>
      <w:pPr>
        <w:numPr>
          <w:ilvl w:val="0"/>
          <w:numId w:val="1001"/>
        </w:numPr>
      </w:pPr>
      <w:r>
        <w:t xml:space="preserve">¿Cuál es el problema central de negocio que enfrenta Northbridge, y por qué es más amplio que elegir si adoptar una plataforma de financiamiento a proveedores?</w:t>
      </w:r>
    </w:p>
    <w:p>
      <w:pPr>
        <w:numPr>
          <w:ilvl w:val="0"/>
          <w:numId w:val="1001"/>
        </w:numPr>
      </w:pPr>
      <w:r>
        <w:t xml:space="preserve">¿Qué proveedores deberían recibir prioridad, y qué información debería determinar la elegibilidad o el apoyo de la empresa?</w:t>
      </w:r>
    </w:p>
    <w:p>
      <w:pPr>
        <w:numPr>
          <w:ilvl w:val="0"/>
          <w:numId w:val="1001"/>
        </w:numPr>
      </w:pPr>
      <w:r>
        <w:t xml:space="preserve">¿Cómo debería Northbridge comparar el valor de retener efectivo con el riesgo de debilitar financieramente a proveedores vulnerables?</w:t>
      </w:r>
    </w:p>
    <w:p>
      <w:pPr>
        <w:numPr>
          <w:ilvl w:val="0"/>
          <w:numId w:val="1001"/>
        </w:numPr>
      </w:pPr>
      <w:r>
        <w:t xml:space="preserve">¿Deberían extenderse los términos de pago para los proveedores que pueden obtener el pago anticipado a través del banco? ¿Por qué sí o por qué no?</w:t>
      </w:r>
    </w:p>
    <w:p>
      <w:pPr>
        <w:numPr>
          <w:ilvl w:val="0"/>
          <w:numId w:val="1001"/>
        </w:numPr>
      </w:pPr>
      <w:r>
        <w:t xml:space="preserve">¿Cómo debería la velocidad de aprobación de facturas afectar el diseño y el momento del programa?</w:t>
      </w:r>
    </w:p>
    <w:p>
      <w:pPr>
        <w:numPr>
          <w:ilvl w:val="0"/>
          <w:numId w:val="1001"/>
        </w:numPr>
      </w:pPr>
      <w:r>
        <w:t xml:space="preserve">¿Qué riesgos financieros debería Northbridge asegurar o cubrir, y cuáles debería retener?</w:t>
      </w:r>
    </w:p>
    <w:p>
      <w:pPr>
        <w:numPr>
          <w:ilvl w:val="0"/>
          <w:numId w:val="1001"/>
        </w:numPr>
      </w:pPr>
      <w:r>
        <w:t xml:space="preserve">¿Cómo debería la empresa abordar a los proveedores que son operativamente críticos pero que no pasan los filtros financieros o de cumplimiento del banco?</w:t>
      </w:r>
    </w:p>
    <w:p>
      <w:pPr>
        <w:numPr>
          <w:ilvl w:val="0"/>
          <w:numId w:val="1001"/>
        </w:numPr>
      </w:pPr>
      <w:r>
        <w:t xml:space="preserve">¿Qué podría salir mal si Northbridge depende en gran medida de un solo banco o una sola plataforma digital?</w:t>
      </w:r>
    </w:p>
    <w:p>
      <w:pPr>
        <w:numPr>
          <w:ilvl w:val="0"/>
          <w:numId w:val="1001"/>
        </w:numPr>
      </w:pPr>
      <w:r>
        <w:t xml:space="preserve">¿Qué datos adicionales o proyecto piloto serían más valiosos antes de asumir un compromiso más amplio?</w:t>
      </w:r>
    </w:p>
    <w:p>
      <w:pPr>
        <w:numPr>
          <w:ilvl w:val="0"/>
          <w:numId w:val="1001"/>
        </w:numPr>
      </w:pPr>
      <w:r>
        <w:t xml:space="preserve">¿Qué acciones debería recomendar Chen de inmediato, y qué decisiones deberían permanecer condicionadas a eventos futuros?</w:t>
      </w:r>
    </w:p>
    <w:bookmarkEnd w:id="20"/>
    <w:bookmarkStart w:id="26" w:name="preguntas-de-encuadre-de-la-decisión"/>
    <w:p>
      <w:pPr>
        <w:pStyle w:val="Heading1"/>
      </w:pPr>
      <w:r>
        <w:t xml:space="preserve">Preguntas de Encuadre de la Decisión</w:t>
      </w:r>
    </w:p>
    <w:p>
      <w:pPr>
        <w:numPr>
          <w:ilvl w:val="0"/>
          <w:numId w:val="1002"/>
        </w:numPr>
      </w:pPr>
      <w:r>
        <w:t xml:space="preserve">Identifique y describa las responsabilidades del tomador de decisiones. Esto debería establecer el alcance del problema.</w:t>
      </w:r>
    </w:p>
    <w:p>
      <w:pPr>
        <w:numPr>
          <w:ilvl w:val="0"/>
          <w:numId w:val="1002"/>
        </w:numPr>
      </w:pPr>
      <w:r>
        <w:t xml:space="preserve">Use la</w:t>
      </w:r>
      <w:r>
        <w:t xml:space="preserve"> </w:t>
      </w:r>
      <w:hyperlink r:id="rId21">
        <w:r>
          <w:rPr>
            <w:rStyle w:val="Hyperlink"/>
          </w:rPr>
          <w:t xml:space="preserve">herramienta de pirámide de métricas</w:t>
        </w:r>
      </w:hyperlink>
      <w:r>
        <w:t xml:space="preserve"> </w:t>
      </w:r>
      <w:r>
        <w:t xml:space="preserve">para identificar y priorizar las diferentes métricas de desempeño. Haga clic en el óvalo que contiene la métrica para identificar si es una métrica que debe maximizarse (verde), minimizarse (rojo), un objetivo que es un piso (verde claro) o un techo (rojo claro), o finalmente un objetivo (morado).</w:t>
      </w:r>
    </w:p>
    <w:p>
      <w:pPr>
        <w:numPr>
          <w:ilvl w:val="0"/>
          <w:numId w:val="1002"/>
        </w:numPr>
      </w:pPr>
      <w:r>
        <w:t xml:space="preserve">Use la</w:t>
      </w:r>
      <w:r>
        <w:t xml:space="preserve"> </w:t>
      </w:r>
      <w:hyperlink r:id="rId22">
        <w:r>
          <w:rPr>
            <w:rStyle w:val="Hyperlink"/>
          </w:rPr>
          <w:t xml:space="preserve">herramienta de priorización de decisiones</w:t>
        </w:r>
      </w:hyperlink>
      <w:r>
        <w:t xml:space="preserve"> </w:t>
      </w:r>
      <w:r>
        <w:t xml:space="preserve">para primero enumerar los diferentes tipos de decisiones (use los</w:t>
      </w:r>
      <w:r>
        <w:t xml:space="preserve"> </w:t>
      </w:r>
      <w:hyperlink r:id="rId23">
        <w:r>
          <w:rPr>
            <w:rStyle w:val="Hyperlink"/>
          </w:rPr>
          <w:t xml:space="preserve">tipos de decisiones</w:t>
        </w:r>
      </w:hyperlink>
      <w:r>
        <w:t xml:space="preserve"> </w:t>
      </w:r>
      <w:r>
        <w:t xml:space="preserve">como guía). Estos luego poblarán las filas de la matriz a la derecha, donde las columnas son las métricas de desempeño ordenadas de izquierda a derecha según la prioridad en la pirámide anterior. Haga clic en cada celda para indicar si el impacto de la decisión en cada métrica es alto (rojo), medio (naranja), bajo (amarillo) o nulo (blanco).</w:t>
      </w:r>
    </w:p>
    <w:p>
      <w:pPr>
        <w:numPr>
          <w:ilvl w:val="0"/>
          <w:numId w:val="1002"/>
        </w:numPr>
      </w:pPr>
      <w:r>
        <w:t xml:space="preserve">Puede tomar el asa (tres barras) más a la izquierda en cada fila para moverla hacia arriba o hacia abajo. Ordene las filas de modo que las decisiones con mayor impacto en las métricas más importantes queden hacia arriba. Las celdas en la esquina superior izquierda deberían tener la mayor concentración de celdas rojas y naranjas. En este punto, identifique las decisiones que deberían recibir la mayor atención en su estudio. Si no tiene decisiones con impacto medio o alto en las métricas más importantes, revise su lista de decisiones.</w:t>
      </w:r>
    </w:p>
    <w:p>
      <w:pPr>
        <w:numPr>
          <w:ilvl w:val="0"/>
          <w:numId w:val="1002"/>
        </w:numPr>
      </w:pPr>
      <w:r>
        <w:t xml:space="preserve">Repita el proceso para enumerar y priorizar las incertidumbres usando la</w:t>
      </w:r>
      <w:r>
        <w:t xml:space="preserve"> </w:t>
      </w:r>
      <w:hyperlink r:id="rId24">
        <w:r>
          <w:rPr>
            <w:rStyle w:val="Hyperlink"/>
          </w:rPr>
          <w:t xml:space="preserve">herramienta de priorización de incertidumbre</w:t>
        </w:r>
      </w:hyperlink>
      <w:r>
        <w:t xml:space="preserve">. Use las</w:t>
      </w:r>
      <w:r>
        <w:t xml:space="preserve"> </w:t>
      </w:r>
      <w:hyperlink r:id="rId25">
        <w:r>
          <w:rPr>
            <w:rStyle w:val="Hyperlink"/>
          </w:rPr>
          <w:t xml:space="preserve">categorías de incertidumbre</w:t>
        </w:r>
      </w:hyperlink>
      <w:r>
        <w:t xml:space="preserve"> </w:t>
      </w:r>
      <w:r>
        <w:t xml:space="preserve">para ayudarle a identificarlas.</w:t>
      </w:r>
    </w:p>
    <w:p>
      <w:pPr>
        <w:numPr>
          <w:ilvl w:val="0"/>
          <w:numId w:val="1002"/>
        </w:numPr>
      </w:pPr>
      <w:r>
        <w:t xml:space="preserve">Es importante diferenciar las incertidumbres que pueden evaluarse en promedio, o como eventos de riesgo:</w:t>
      </w:r>
    </w:p>
    <w:p>
      <w:pPr>
        <w:numPr>
          <w:ilvl w:val="1"/>
          <w:numId w:val="1003"/>
        </w:numPr>
      </w:pPr>
      <w:r>
        <w:t xml:space="preserve">¿Qué fuentes de incertidumbre se capturarían usando el desempeño promedio a lo largo del tiempo?</w:t>
      </w:r>
    </w:p>
    <w:p>
      <w:pPr>
        <w:numPr>
          <w:ilvl w:val="1"/>
          <w:numId w:val="1003"/>
        </w:numPr>
      </w:pPr>
      <w:r>
        <w:t xml:space="preserve">¿Qué fuentes de incertidumbre representan formas de riesgo que no se capturan adecuadamente usando promedios?</w:t>
      </w:r>
    </w:p>
    <w:p>
      <w:pPr>
        <w:numPr>
          <w:ilvl w:val="0"/>
          <w:numId w:val="1002"/>
        </w:numPr>
      </w:pPr>
      <w:r>
        <w:t xml:space="preserve">Elija la única decisión que parece tener el mayor impacto en la métrica más importante.</w:t>
      </w:r>
    </w:p>
    <w:p>
      <w:pPr>
        <w:numPr>
          <w:ilvl w:val="1"/>
          <w:numId w:val="1004"/>
        </w:numPr>
      </w:pPr>
      <w:r>
        <w:t xml:space="preserve">¿Qué enfoque cree que usaría para tomar esta decisión?</w:t>
      </w:r>
    </w:p>
    <w:p>
      <w:pPr>
        <w:numPr>
          <w:ilvl w:val="1"/>
          <w:numId w:val="1004"/>
        </w:numPr>
      </w:pPr>
      <w:r>
        <w:t xml:space="preserve">¿Qué datos parecen ser necesarios para tomar esta decisión, incluido el cálculo de cualquier métrica de desempeño donde la decisión tendría un impacto alto o medio?</w:t>
      </w:r>
    </w:p>
    <w:p>
      <w:pPr>
        <w:numPr>
          <w:ilvl w:val="0"/>
          <w:numId w:val="1002"/>
        </w:numPr>
      </w:pPr>
      <w:r>
        <w:t xml:space="preserve">Usando la misma decisión que identificó en (7), identifique a las personas, departamentos, grupos u organizaciones con los que necesitaría trabajar para implementar la decisión.</w:t>
      </w:r>
    </w:p>
    <w:bookmarkEnd w:id="26"/>
    <w:bookmarkStart w:id="27" w:name="notas-de-fuentes"/>
    <w:p>
      <w:pPr>
        <w:pStyle w:val="Heading1"/>
      </w:pPr>
      <w:r>
        <w:t xml:space="preserve">Notas de Fuentes</w:t>
      </w:r>
    </w:p>
    <w:p>
      <w:pPr>
        <w:pStyle w:val="FirstParagraph"/>
      </w:pPr>
      <w:r>
        <w:t xml:space="preserve">Warren B. Powell,</w:t>
      </w:r>
      <w:r>
        <w:t xml:space="preserve"> </w:t>
      </w:r>
      <w:r>
        <w:t xml:space="preserve">“Supply Chain Finance,”</w:t>
      </w:r>
      <w:r>
        <w:t xml:space="preserve"> </w:t>
      </w:r>
      <w:r>
        <w:t xml:space="preserve">Capítulo 2, Bridging Decision Problems, Volume I: Framing the Problem. La sección describe la aprobación de facturas, el pago anticipado, el pago al vencimiento, las opciones de financiamiento y seguro, la gestión de efectivo, la asignación de capital, y la incertidumbre relacionada con incumplimientos, monedas, aranceles, ventas, tasas de interés, y mercados crediticios.</w:t>
      </w:r>
    </w:p>
    <w:p>
      <w:pPr>
        <w:pStyle w:val="BodyText"/>
      </w:pPr>
      <w:r>
        <w:t xml:space="preserve">Federal Reserve Banks, 2026 Report on Employer Firms: Findings from the 2025 Small Business Credit Survey, 3 de marzo de 2026. La encuesta reportó que el 60% de las empresas solicitó financiamiento, el 42% recibió el monto completo solicitado, y los desafíos de costos relacionados con aranceles fueron especialmente comunes entre los fabricantes.</w:t>
      </w:r>
    </w:p>
    <w:p>
      <w:pPr>
        <w:pStyle w:val="BodyText"/>
      </w:pPr>
      <w:r>
        <w:t xml:space="preserve">Secured Finance Network,</w:t>
      </w:r>
      <w:r>
        <w:t xml:space="preserve"> </w:t>
      </w:r>
      <w:r>
        <w:t xml:space="preserve">“The Growing Impact of Supply Chain Finance: Insights from SFNet’s 2025 Market Sizing Study.”</w:t>
      </w:r>
      <w:r>
        <w:t xml:space="preserve"> </w:t>
      </w:r>
      <w:r>
        <w:t xml:space="preserve">El estudio estimó que aproximadamente el 12% de las cuentas por cobrar comerciales de EE. UU. se financiaron a través de arreglos de financiamiento de cadena de suministro en 2024, representando un mercado anual de aproximadamente $2.56 billones.</w:t>
      </w:r>
    </w:p>
    <w:p>
      <w:pPr>
        <w:pStyle w:val="BodyText"/>
      </w:pPr>
      <w:r>
        <w:t xml:space="preserve">International Finance Corporation,</w:t>
      </w:r>
      <w:r>
        <w:t xml:space="preserve"> </w:t>
      </w:r>
      <w:r>
        <w:t xml:space="preserve">“Scaling Up Supply Chain Finance Could Unlock Billions for SMEs,”</w:t>
      </w:r>
      <w:r>
        <w:t xml:space="preserve"> </w:t>
      </w:r>
      <w:r>
        <w:t xml:space="preserve">septiembre de 2025. IFC estimó que la brecha global de financiamiento comercial había alcanzado $2.5 billones y enfatizó las restricciones de capital de trabajo que enfrentan los proveedores más pequeños.</w:t>
      </w:r>
    </w:p>
    <w:bookmarkEnd w:id="27"/>
    <w:bookmarkStart w:id="30" w:name="notas-de-chatgpt"/>
    <w:p>
      <w:pPr>
        <w:pStyle w:val="Heading1"/>
      </w:pPr>
      <w:r>
        <w:t xml:space="preserve">Notas de ChatGPT</w:t>
      </w:r>
    </w:p>
    <w:bookmarkStart w:id="28" w:name="prompt"/>
    <w:p>
      <w:pPr>
        <w:pStyle w:val="Heading2"/>
      </w:pPr>
      <w:r>
        <w:t xml:space="preserve">Prompt</w:t>
      </w:r>
    </w:p>
    <w:p>
      <w:pPr>
        <w:pStyle w:val="FirstParagraph"/>
      </w:pPr>
      <w:r>
        <w:t xml:space="preserve">Escribe un estudio de caso de 4 a 6 páginas basado en el material de la sección en https://warrenpowell.org/bridging-vol1/chapter-2/#supplychainfinance. Crea un contexto basado en las métricas, decisiones e incertidumbres de la sección, pero sin llamar explícitamente la atención sobre ellas. Motiva tu problema de caso con datos.</w:t>
      </w:r>
    </w:p>
    <w:bookmarkEnd w:id="28"/>
    <w:bookmarkStart w:id="29" w:name="resumen"/>
    <w:p>
      <w:pPr>
        <w:pStyle w:val="Heading2"/>
      </w:pPr>
      <w:r>
        <w:t xml:space="preserve">Resumen</w:t>
      </w:r>
    </w:p>
    <w:p>
      <w:pPr>
        <w:pStyle w:val="FirstParagraph"/>
      </w:pPr>
      <w:r>
        <w:t xml:space="preserve">El caso sigue a un fabricante ficticio cuyos proveedores solicitan pagos más rápidos mientras la empresa intenta preservar efectivo, absorber costos relacionados con aranceles, financiar inventario adicional, y mantener su posición crediticia. Considera el financiamiento a proveedores, los descuentos por pago anticipado, los términos de pago, la aprobación de facturas, el seguro, la cobertura cambiaria, las reservas de efectivo, y el apoyo a proveedores financieramente vulnerables sin identificar una solución preferida.</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2" Target="https://warrenpowell.org/decision-framing-tool/#decision-prioritization-tool" TargetMode="External" /><Relationship Type="http://schemas.openxmlformats.org/officeDocument/2006/relationships/hyperlink" Id="rId21" Target="https://warrenpowell.org/decision-framing-tool/#metrics-pyramid-tool" TargetMode="External" /><Relationship Type="http://schemas.openxmlformats.org/officeDocument/2006/relationships/hyperlink" Id="rId24" Target="https://warrenpowell.org/decision-framing-tool/#uncertainty-prioritization-tool" TargetMode="External" /><Relationship Type="http://schemas.openxmlformats.org/officeDocument/2006/relationships/hyperlink" Id="rId23" Target="https://warrenpowell.org/decisionsdecisions/#types-of-decision-settings" TargetMode="External" /><Relationship Type="http://schemas.openxmlformats.org/officeDocument/2006/relationships/hyperlink" Id="rId25"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22" Target="https://warrenpowell.org/decision-framing-tool/#decision-prioritization-tool" TargetMode="External" /><Relationship Type="http://schemas.openxmlformats.org/officeDocument/2006/relationships/hyperlink" Id="rId21" Target="https://warrenpowell.org/decision-framing-tool/#metrics-pyramid-tool" TargetMode="External" /><Relationship Type="http://schemas.openxmlformats.org/officeDocument/2006/relationships/hyperlink" Id="rId24" Target="https://warrenpowell.org/decision-framing-tool/#uncertainty-prioritization-tool" TargetMode="External" /><Relationship Type="http://schemas.openxmlformats.org/officeDocument/2006/relationships/hyperlink" Id="rId23" Target="https://warrenpowell.org/decisionsdecisions/#types-of-decision-settings" TargetMode="External" /><Relationship Type="http://schemas.openxmlformats.org/officeDocument/2006/relationships/hyperlink" Id="rId25"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2026-09-11T15:23:32Z</dcterms:created>
  <dcterms:modified xsi:type="dcterms:W3CDTF">2026-09-11T15:23:32Z</dcterms:modified>
</cp:coreProperties>
</file>

<file path=docProps/custom.xml><?xml version="1.0" encoding="utf-8"?>
<Properties xmlns="http://schemas.openxmlformats.org/officeDocument/2006/custom-properties" xmlns:vt="http://schemas.openxmlformats.org/officeDocument/2006/docPropsVTypes"/>
</file>