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Northstar Living: La apuesta del inventario</w:t>
      </w:r>
    </w:p>
    <w:p>
      <w:pPr>
        <w:pStyle w:val="BodyText"/>
      </w:pPr>
      <w:r>
        <w:t xml:space="preserve">Un caso de enseñanza sobre planificación de inventario con tiempos de espera prolongados</w:t>
      </w:r>
    </w:p>
    <w:p>
      <w:pPr>
        <w:pStyle w:val="BodyText"/>
      </w:pPr>
      <w:r>
        <w:t xml:space="preserve">Este caso es ficticio y está pensado para discusión instructiva. Los nombres, eventos, organizaciones y datos operativos son inventados, aunque el contexto de la industria se basa en fuentes públicas.</w:t>
      </w:r>
    </w:p>
    <w:p>
      <w:pPr>
        <w:pStyle w:val="BodyText"/>
      </w:pPr>
      <w:r>
        <w:t xml:space="preserve">A finales de julio de 2026, Maya Chen, directora de operaciones de Northstar Living, enfrentaba una decisión que parecía simple en una hoja de cálculo y cada vez más peligrosa en la práctica. La empresa tenía que comprometerse con las compras de temporada navideña de sus productos de más rápido crecimiento antes de saber qué tan fuerte sería la demanda de los consumidores, si los envíos marítimos llegarían a tiempo, o qué tan agresivamente los competidores descontarían productos similares.</w:t>
      </w:r>
    </w:p>
    <w:p>
      <w:pPr>
        <w:pStyle w:val="BodyText"/>
      </w:pPr>
      <w:r>
        <w:t xml:space="preserve">Northstar vendía electrodomésticos compactos para el hogar a través de su propio sitio web, los principales mercados en línea y 420 minoristas especializados. Sus productos —purificadores de aire, máquinas de hielo de encimera, ventiladores inteligentes y cocinas de inducción compactas— fueron diseñados en Estados Unidos, pero se abastecían principalmente de fabricantes por contrato en China, Vietnam y Polonia. Los tiempos de reabastecimiento típicos eran de 7 a 11 semanas desde la orden de compra hasta el inventario disponible, y una interrupción en un puerto o fábrica podía añadir varias semanas más.</w:t>
      </w:r>
    </w:p>
    <w:p>
      <w:pPr>
        <w:pStyle w:val="BodyText"/>
      </w:pPr>
      <w:r>
        <w:t xml:space="preserve">Lo que estaba en juego crecía. Las ventas minoristas en Estados Unidos en tiendas de muebles, artículos para el hogar, electrónica y electrodomésticos alcanzaron cerca de $19.5 mil millones en mayo de 2026, mientras que los inventarios en la categoría eran de aproximadamente $30.7 mil millones. La razón de inventario a ventas ajustada estacionalmente correspondiente fue de 1.58. En toda la economía estadounidense en general, los fabricantes y empresas comerciales mantenían cerca de $2.74 billones de inventario en mayo de 2026. Estas cifras sugerían tanto un mercado grande como el riesgo continuo de inmovilizar capital sustancial en bienes que podrían no venderse como se esperaba.</w:t>
      </w:r>
    </w:p>
    <w:bookmarkStart w:id="9" w:name="el-compromiso-navideño"/>
    <w:p>
      <w:pPr>
        <w:pStyle w:val="Heading1"/>
      </w:pPr>
      <w:r>
        <w:t xml:space="preserve">El compromiso navideño</w:t>
      </w:r>
    </w:p>
    <w:p>
      <w:pPr>
        <w:pStyle w:val="FirstParagraph"/>
      </w:pPr>
      <w:r>
        <w:t xml:space="preserve">Northstar esperaba que noviembre y diciembre generaran el 31 por ciento de los ingresos anuales. Los socios minoristas querían asignaciones firmes para el 1 de septiembre, pero los proveedores requerían compromisos de compra a principios de agosto para preservar los espacios de producción. El equipo de finanzas había autorizado hasta $42 millones en nuevas compras de inventario, incluyendo flete y aranceles. La propuesta actual de la gerencia requería $39.6 millones, dejando poco margen para flete aéreo de emergencia, aranceles inesperados, o una oportunidad repentina de comprar a un proveedor alternativo.</w:t>
      </w:r>
    </w:p>
    <w:p>
      <w:pPr>
        <w:pStyle w:val="BodyText"/>
      </w:pPr>
      <w:r>
        <w:t xml:space="preserve">La empresa había terminado la temporada navideña anterior con dos resultados muy diferentes. Se quedó sin su purificador de aire premium durante un período de humo intenso de incendios forestales, perdiendo ventas estimadas y decepcionando a varios grandes minoristas. Al mismo tiempo, llevó 46,000 ventiladores inteligentes en exceso hasta enero y finalmente los descontó en un 35 por ciento. La escasez del purificador ayudó a los competidores a ganar espacio en los estantes; el excedente de ventiladores consumió capacidad de almacén y redujo el margen operativo.</w:t>
      </w:r>
    </w:p>
    <w:tbl>
      <w:tblPr>
        <w:tblStyle w:val="Table"/>
        <w:tblW w:type="pct" w:w="4921"/>
        <w:tblLayout w:type="fixed"/>
        <w:tblLook w:firstRow="1" w:lastRow="0" w:firstColumn="0" w:lastColumn="0" w:noHBand="0" w:noVBand="0" w:val="0020"/>
      </w:tblPr>
      <w:tblGrid>
        <w:gridCol w:w="1697"/>
        <w:gridCol w:w="1005"/>
        <w:gridCol w:w="1194"/>
        <w:gridCol w:w="1005"/>
        <w:gridCol w:w="1634"/>
        <w:gridCol w:w="1257"/>
      </w:tblGrid>
      <w:tr>
        <w:trPr>
          <w:tblHeader w:val="on"/>
        </w:trPr>
        <w:tc>
          <w:tcPr/>
          <w:p>
            <w:pPr>
              <w:pStyle w:val="Compact"/>
              <w:jc w:val="left"/>
            </w:pPr>
            <w:r>
              <w:t xml:space="preserve">Producto</w:t>
            </w:r>
          </w:p>
        </w:tc>
        <w:tc>
          <w:tcPr/>
          <w:p>
            <w:pPr>
              <w:pStyle w:val="Compact"/>
              <w:jc w:val="right"/>
            </w:pPr>
            <w:r>
              <w:t xml:space="preserve">Orden planifica</w:t>
            </w:r>
          </w:p>
        </w:tc>
        <w:tc>
          <w:tcPr/>
          <w:p>
            <w:pPr>
              <w:pStyle w:val="Compact"/>
            </w:pPr>
            <w:r>
              <w:t xml:space="preserve">da Costo unitario</w:t>
            </w:r>
          </w:p>
        </w:tc>
        <w:tc>
          <w:tcPr/>
          <w:p>
            <w:pPr>
              <w:pStyle w:val="Compact"/>
              <w:jc w:val="center"/>
            </w:pPr>
            <w:r>
              <w:t xml:space="preserve">desembarcado</w:t>
            </w:r>
          </w:p>
        </w:tc>
        <w:tc>
          <w:tcPr/>
          <w:p>
            <w:pPr>
              <w:pStyle w:val="Compact"/>
            </w:pPr>
            <w:r>
              <w:t xml:space="preserve">Precio regular Demanda n</w:t>
            </w:r>
          </w:p>
        </w:tc>
        <w:tc>
          <w:tcPr/>
          <w:p>
            <w:pPr>
              <w:pStyle w:val="Compact"/>
            </w:pPr>
            <w:r>
              <w:t xml:space="preserve">avideña esperada Inventario actual</w:t>
            </w:r>
          </w:p>
        </w:tc>
      </w:tr>
      <w:tr>
        <w:tc>
          <w:tcPr/>
          <w:p>
            <w:pPr>
              <w:pStyle w:val="Compact"/>
              <w:jc w:val="left"/>
            </w:pPr>
            <w:r>
              <w:t xml:space="preserve">Purificador PureAir Pro</w:t>
            </w:r>
          </w:p>
        </w:tc>
        <w:tc>
          <w:tcPr/>
          <w:p>
            <w:pPr>
              <w:pStyle w:val="Compact"/>
              <w:jc w:val="right"/>
            </w:pPr>
            <w:r>
              <w:t xml:space="preserve">92,000</w:t>
            </w:r>
          </w:p>
        </w:tc>
        <w:tc>
          <w:tcPr/>
          <w:p>
            <w:pPr>
              <w:pStyle w:val="Compact"/>
            </w:pPr>
            <w:r>
              <w:t xml:space="preserve">$142</w:t>
            </w:r>
          </w:p>
        </w:tc>
        <w:tc>
          <w:tcPr/>
          <w:p>
            <w:pPr>
              <w:pStyle w:val="Compact"/>
              <w:jc w:val="center"/>
            </w:pPr>
            <w:r>
              <w:t xml:space="preserve">$299</w:t>
            </w:r>
          </w:p>
        </w:tc>
        <w:tc>
          <w:tcPr/>
          <w:p>
            <w:pPr>
              <w:pStyle w:val="Compact"/>
            </w:pPr>
            <w:r>
              <w:t xml:space="preserve">105,000</w:t>
            </w:r>
          </w:p>
        </w:tc>
        <w:tc>
          <w:tcPr/>
          <w:p>
            <w:pPr>
              <w:pStyle w:val="Compact"/>
            </w:pPr>
            <w:r>
              <w:t xml:space="preserve">18,000</w:t>
            </w:r>
          </w:p>
        </w:tc>
      </w:tr>
      <w:tr>
        <w:tc>
          <w:tcPr/>
          <w:p>
            <w:pPr>
              <w:pStyle w:val="Compact"/>
              <w:jc w:val="left"/>
            </w:pPr>
            <w:r>
              <w:t xml:space="preserve">Máquina de hielo FrostBox</w:t>
            </w:r>
          </w:p>
        </w:tc>
        <w:tc>
          <w:tcPr/>
          <w:p>
            <w:pPr>
              <w:pStyle w:val="Compact"/>
              <w:jc w:val="right"/>
            </w:pPr>
            <w:r>
              <w:t xml:space="preserve">74,000</w:t>
            </w:r>
          </w:p>
        </w:tc>
        <w:tc>
          <w:tcPr/>
          <w:p>
            <w:pPr>
              <w:pStyle w:val="Compact"/>
            </w:pPr>
            <w:r>
              <w:t xml:space="preserve">$118</w:t>
            </w:r>
          </w:p>
        </w:tc>
        <w:tc>
          <w:tcPr/>
          <w:p>
            <w:pPr>
              <w:pStyle w:val="Compact"/>
              <w:jc w:val="center"/>
            </w:pPr>
            <w:r>
              <w:t xml:space="preserve">$249</w:t>
            </w:r>
          </w:p>
        </w:tc>
        <w:tc>
          <w:tcPr/>
          <w:p>
            <w:pPr>
              <w:pStyle w:val="Compact"/>
            </w:pPr>
            <w:r>
              <w:t xml:space="preserve">82,000</w:t>
            </w:r>
          </w:p>
        </w:tc>
        <w:tc>
          <w:tcPr/>
          <w:p>
            <w:pPr>
              <w:pStyle w:val="Compact"/>
            </w:pPr>
            <w:r>
              <w:t xml:space="preserve">13,500</w:t>
            </w:r>
          </w:p>
        </w:tc>
      </w:tr>
      <w:tr>
        <w:tc>
          <w:tcPr/>
          <w:p>
            <w:pPr>
              <w:pStyle w:val="Compact"/>
              <w:jc w:val="left"/>
            </w:pPr>
            <w:r>
              <w:t xml:space="preserve">Ventilador inteligente Bree</w:t>
            </w:r>
          </w:p>
        </w:tc>
        <w:tc>
          <w:tcPr/>
          <w:p>
            <w:pPr>
              <w:pStyle w:val="Compact"/>
              <w:jc w:val="right"/>
            </w:pPr>
            <w:r>
              <w:t xml:space="preserve">zeIQ 65,000</w:t>
            </w:r>
          </w:p>
        </w:tc>
        <w:tc>
          <w:tcPr/>
          <w:p>
            <w:pPr>
              <w:pStyle w:val="Compact"/>
            </w:pPr>
            <w:r>
              <w:t xml:space="preserve">$61</w:t>
            </w:r>
          </w:p>
        </w:tc>
        <w:tc>
          <w:tcPr/>
          <w:p>
            <w:pPr>
              <w:pStyle w:val="Compact"/>
              <w:jc w:val="center"/>
            </w:pPr>
            <w:r>
              <w:t xml:space="preserve">$139</w:t>
            </w:r>
          </w:p>
        </w:tc>
        <w:tc>
          <w:tcPr/>
          <w:p>
            <w:pPr>
              <w:pStyle w:val="Compact"/>
            </w:pPr>
            <w:r>
              <w:t xml:space="preserve">52,000</w:t>
            </w:r>
          </w:p>
        </w:tc>
        <w:tc>
          <w:tcPr/>
          <w:p>
            <w:pPr>
              <w:pStyle w:val="Compact"/>
            </w:pPr>
            <w:r>
              <w:t xml:space="preserve">21,000</w:t>
            </w:r>
          </w:p>
        </w:tc>
      </w:tr>
      <w:tr>
        <w:tc>
          <w:tcPr/>
          <w:p>
            <w:pPr>
              <w:pStyle w:val="Compact"/>
              <w:jc w:val="left"/>
            </w:pPr>
            <w:r>
              <w:t xml:space="preserve">Unidad de inducción HeatPoi</w:t>
            </w:r>
          </w:p>
        </w:tc>
        <w:tc>
          <w:tcPr/>
          <w:p>
            <w:pPr>
              <w:pStyle w:val="Compact"/>
              <w:jc w:val="right"/>
            </w:pPr>
            <w:r>
              <w:t xml:space="preserve">nt 48,000</w:t>
            </w:r>
          </w:p>
        </w:tc>
        <w:tc>
          <w:tcPr/>
          <w:p>
            <w:pPr>
              <w:pStyle w:val="Compact"/>
            </w:pPr>
            <w:r>
              <w:t xml:space="preserve">$87</w:t>
            </w:r>
          </w:p>
        </w:tc>
        <w:tc>
          <w:tcPr/>
          <w:p>
            <w:pPr>
              <w:pStyle w:val="Compact"/>
              <w:jc w:val="center"/>
            </w:pPr>
            <w:r>
              <w:t xml:space="preserve">$189</w:t>
            </w:r>
          </w:p>
        </w:tc>
        <w:tc>
          <w:tcPr/>
          <w:p>
            <w:pPr>
              <w:pStyle w:val="Compact"/>
            </w:pPr>
            <w:r>
              <w:t xml:space="preserve">55,000</w:t>
            </w:r>
          </w:p>
        </w:tc>
        <w:tc>
          <w:tcPr/>
          <w:p>
            <w:pPr>
              <w:pStyle w:val="Compact"/>
            </w:pPr>
            <w:r>
              <w:t xml:space="preserve">9,000</w:t>
            </w:r>
          </w:p>
        </w:tc>
      </w:tr>
    </w:tbl>
    <w:p>
      <w:pPr>
        <w:pStyle w:val="BodyText"/>
      </w:pPr>
      <w:r>
        <w:t xml:space="preserve">El pronóstico de demanda no era un solo número. Ventas creía que el purificador podría superar las 125,000 unidades si las condiciones de humo empeoraban o si una campaña planificada con influencers tenía éxito. Finanzas consideraba plausibles 90,000 unidades si el gasto del consumidor se debilitaba. Los minoristas podían cancelar hasta el 20 por ciento de las órdenes anticipadas cuatro semanas antes del envío. La demanda en línea llegaba sin aviso previo, y los clientes rara vez esperaban cuando un artículo no estaba disponible.</w:t>
      </w:r>
    </w:p>
    <w:bookmarkEnd w:id="9"/>
    <w:bookmarkStart w:id="10" w:name="información-que-no-coincidía"/>
    <w:p>
      <w:pPr>
        <w:pStyle w:val="Heading1"/>
      </w:pPr>
      <w:r>
        <w:t xml:space="preserve">Información que no coincidía</w:t>
      </w:r>
    </w:p>
    <w:p>
      <w:pPr>
        <w:pStyle w:val="FirstParagraph"/>
      </w:pPr>
      <w:r>
        <w:t xml:space="preserve">El sistema de pronóstico de la empresa combinaba ventas históricas, órdenes de minoristas, tráfico web, precios, promociones, indicadores climáticos y el juicio de los gerentes de producto. La precisión del pronóstico había mejorado a nivel de categoría, pero los errores seguían siendo altos por producto y semana. Los gerentes discrepaban sobre si el pronóstico estaba equivocado porque el modelo era débil, porque los planes de marketing cambiaron después de que se produjo el pronóstico, o porque las escaseces de inventario distorsionaban el historial de ventas usado para entrenarlo.</w:t>
      </w:r>
    </w:p>
    <w:tbl>
      <w:tblPr>
        <w:tblStyle w:val="Table"/>
        <w:tblW w:type="pct" w:w="4896"/>
        <w:tblLayout w:type="fixed"/>
        <w:tblLook w:firstRow="1" w:lastRow="0" w:firstColumn="0" w:lastColumn="0" w:noHBand="0" w:noVBand="0" w:val="0020"/>
      </w:tblPr>
      <w:tblGrid>
        <w:gridCol w:w="2805"/>
        <w:gridCol w:w="1237"/>
        <w:gridCol w:w="1237"/>
        <w:gridCol w:w="1237"/>
        <w:gridCol w:w="1237"/>
      </w:tblGrid>
      <w:tr>
        <w:trPr>
          <w:tblHeader w:val="on"/>
        </w:trPr>
        <w:tc>
          <w:tcPr/>
          <w:p>
            <w:pPr>
              <w:pStyle w:val="Compact"/>
              <w:jc w:val="left"/>
            </w:pPr>
            <w:r>
              <w:t xml:space="preserve">Indicador</w:t>
            </w:r>
          </w:p>
        </w:tc>
        <w:tc>
          <w:tcPr/>
          <w:p>
            <w:pPr>
              <w:pStyle w:val="Compact"/>
              <w:jc w:val="left"/>
            </w:pPr>
            <w:r>
              <w:t xml:space="preserve">PureAir</w:t>
            </w:r>
          </w:p>
        </w:tc>
        <w:tc>
          <w:tcPr/>
          <w:p>
            <w:pPr>
              <w:pStyle w:val="Compact"/>
              <w:jc w:val="left"/>
            </w:pPr>
            <w:r>
              <w:t xml:space="preserve">FrostBox</w:t>
            </w:r>
          </w:p>
        </w:tc>
        <w:tc>
          <w:tcPr/>
          <w:p>
            <w:pPr>
              <w:pStyle w:val="Compact"/>
              <w:jc w:val="left"/>
            </w:pPr>
            <w:r>
              <w:t xml:space="preserve">BreezeIQ</w:t>
            </w:r>
          </w:p>
        </w:tc>
        <w:tc>
          <w:tcPr/>
          <w:p>
            <w:pPr>
              <w:pStyle w:val="Compact"/>
              <w:jc w:val="left"/>
            </w:pPr>
            <w:r>
              <w:t xml:space="preserve">HeatPoint</w:t>
            </w:r>
          </w:p>
        </w:tc>
      </w:tr>
      <w:tr>
        <w:tc>
          <w:tcPr/>
          <w:p>
            <w:pPr>
              <w:pStyle w:val="Compact"/>
              <w:jc w:val="left"/>
            </w:pPr>
            <w:r>
              <w:t xml:space="preserve">Error de pronóstico, últimos 12 me</w:t>
            </w:r>
          </w:p>
        </w:tc>
        <w:tc>
          <w:tcPr/>
          <w:p>
            <w:pPr>
              <w:pStyle w:val="Compact"/>
              <w:jc w:val="left"/>
            </w:pPr>
            <w:r>
              <w:t xml:space="preserve">ses 24%</w:t>
            </w:r>
          </w:p>
        </w:tc>
        <w:tc>
          <w:tcPr/>
          <w:p>
            <w:pPr>
              <w:pStyle w:val="Compact"/>
              <w:jc w:val="left"/>
            </w:pPr>
            <w:r>
              <w:t xml:space="preserve">31%</w:t>
            </w:r>
          </w:p>
        </w:tc>
        <w:tc>
          <w:tcPr/>
          <w:p>
            <w:pPr>
              <w:pStyle w:val="Compact"/>
              <w:jc w:val="left"/>
            </w:pPr>
            <w:r>
              <w:t xml:space="preserve">38%</w:t>
            </w:r>
          </w:p>
        </w:tc>
        <w:tc>
          <w:tcPr/>
          <w:p>
            <w:pPr>
              <w:pStyle w:val="Compact"/>
              <w:jc w:val="left"/>
            </w:pPr>
            <w:r>
              <w:t xml:space="preserve">27%</w:t>
            </w:r>
          </w:p>
        </w:tc>
      </w:tr>
      <w:tr>
        <w:tc>
          <w:tcPr/>
          <w:p>
            <w:pPr>
              <w:pStyle w:val="Compact"/>
              <w:jc w:val="left"/>
            </w:pPr>
            <w:r>
              <w:t xml:space="preserve">Tiempo de espera cotizado por el p</w:t>
            </w:r>
          </w:p>
        </w:tc>
        <w:tc>
          <w:tcPr/>
          <w:p>
            <w:pPr>
              <w:pStyle w:val="Compact"/>
              <w:jc w:val="left"/>
            </w:pPr>
            <w:r>
              <w:t xml:space="preserve">roveedor</w:t>
            </w:r>
          </w:p>
        </w:tc>
        <w:tc>
          <w:tcPr/>
          <w:p>
            <w:pPr>
              <w:pStyle w:val="Compact"/>
              <w:jc w:val="left"/>
            </w:pPr>
            <w:r>
              <w:t xml:space="preserve">8 semanas</w:t>
            </w:r>
          </w:p>
        </w:tc>
        <w:tc>
          <w:tcPr/>
          <w:p>
            <w:pPr>
              <w:pStyle w:val="Compact"/>
              <w:jc w:val="left"/>
            </w:pPr>
            <w:r>
              <w:t xml:space="preserve">9 semanas</w:t>
            </w:r>
          </w:p>
        </w:tc>
        <w:tc>
          <w:tcPr/>
          <w:p>
            <w:pPr>
              <w:pStyle w:val="Compact"/>
              <w:jc w:val="left"/>
            </w:pPr>
            <w:r>
              <w:t xml:space="preserve">7 semanas 10 semanas</w:t>
            </w:r>
          </w:p>
        </w:tc>
      </w:tr>
      <w:tr>
        <w:tc>
          <w:tcPr/>
          <w:p>
            <w:pPr>
              <w:pStyle w:val="Compact"/>
              <w:jc w:val="left"/>
            </w:pPr>
            <w:r>
              <w:t xml:space="preserve">Rango observado el año pasado</w:t>
            </w:r>
          </w:p>
        </w:tc>
        <w:tc>
          <w:tcPr/>
          <w:p>
            <w:pPr>
              <w:pStyle w:val="Compact"/>
              <w:jc w:val="left"/>
            </w:pPr>
            <w:r>
              <w:t xml:space="preserve">7–14 sema</w:t>
            </w:r>
          </w:p>
        </w:tc>
        <w:tc>
          <w:tcPr/>
          <w:p>
            <w:pPr>
              <w:pStyle w:val="Compact"/>
              <w:jc w:val="left"/>
            </w:pPr>
            <w:r>
              <w:t xml:space="preserve">nas 8–13 se</w:t>
            </w:r>
          </w:p>
        </w:tc>
        <w:tc>
          <w:tcPr/>
          <w:p>
            <w:pPr>
              <w:pStyle w:val="Compact"/>
              <w:jc w:val="left"/>
            </w:pPr>
            <w:r>
              <w:t xml:space="preserve">manas 6–11</w:t>
            </w:r>
          </w:p>
        </w:tc>
        <w:tc>
          <w:tcPr/>
          <w:p>
            <w:pPr>
              <w:pStyle w:val="Compact"/>
              <w:jc w:val="left"/>
            </w:pPr>
            <w:r>
              <w:t xml:space="preserve">semanas 9–16 semanas</w:t>
            </w:r>
          </w:p>
        </w:tc>
      </w:tr>
      <w:tr>
        <w:tc>
          <w:tcPr/>
          <w:p>
            <w:pPr>
              <w:pStyle w:val="Compact"/>
              <w:jc w:val="left"/>
            </w:pPr>
            <w:r>
              <w:t xml:space="preserve">Margen bruto a precio de lista</w:t>
            </w:r>
          </w:p>
        </w:tc>
        <w:tc>
          <w:tcPr/>
          <w:p>
            <w:pPr>
              <w:pStyle w:val="Compact"/>
              <w:jc w:val="left"/>
            </w:pPr>
            <w:r>
              <w:t xml:space="preserve">52%</w:t>
            </w:r>
          </w:p>
        </w:tc>
        <w:tc>
          <w:tcPr/>
          <w:p>
            <w:pPr>
              <w:pStyle w:val="Compact"/>
              <w:jc w:val="left"/>
            </w:pPr>
            <w:r>
              <w:t xml:space="preserve">49%</w:t>
            </w:r>
          </w:p>
        </w:tc>
        <w:tc>
          <w:tcPr/>
          <w:p>
            <w:pPr>
              <w:pStyle w:val="Compact"/>
              <w:jc w:val="left"/>
            </w:pPr>
            <w:r>
              <w:t xml:space="preserve">56%</w:t>
            </w:r>
          </w:p>
        </w:tc>
        <w:tc>
          <w:tcPr/>
          <w:p>
            <w:pPr>
              <w:pStyle w:val="Compact"/>
              <w:jc w:val="left"/>
            </w:pPr>
            <w:r>
              <w:t xml:space="preserve">50%</w:t>
            </w:r>
          </w:p>
        </w:tc>
      </w:tr>
      <w:tr>
        <w:tc>
          <w:tcPr/>
          <w:p>
            <w:pPr>
              <w:pStyle w:val="Compact"/>
              <w:jc w:val="left"/>
            </w:pPr>
            <w:r>
              <w:t xml:space="preserve">Tasa de devolución esperada</w:t>
            </w:r>
          </w:p>
        </w:tc>
        <w:tc>
          <w:tcPr/>
          <w:p>
            <w:pPr>
              <w:pStyle w:val="Compact"/>
              <w:jc w:val="left"/>
            </w:pPr>
            <w:r>
              <w:t xml:space="preserve">5.1%</w:t>
            </w:r>
          </w:p>
        </w:tc>
        <w:tc>
          <w:tcPr/>
          <w:p>
            <w:pPr>
              <w:pStyle w:val="Compact"/>
              <w:jc w:val="left"/>
            </w:pPr>
            <w:r>
              <w:t xml:space="preserve">7.8%</w:t>
            </w:r>
          </w:p>
        </w:tc>
        <w:tc>
          <w:tcPr/>
          <w:p>
            <w:pPr>
              <w:pStyle w:val="Compact"/>
              <w:jc w:val="left"/>
            </w:pPr>
            <w:r>
              <w:t xml:space="preserve">4.2%</w:t>
            </w:r>
          </w:p>
        </w:tc>
        <w:tc>
          <w:tcPr/>
          <w:p>
            <w:pPr>
              <w:pStyle w:val="Compact"/>
              <w:jc w:val="left"/>
            </w:pPr>
            <w:r>
              <w:t xml:space="preserve">6.4%</w:t>
            </w:r>
          </w:p>
        </w:tc>
      </w:tr>
    </w:tbl>
    <w:p>
      <w:pPr>
        <w:pStyle w:val="BodyText"/>
      </w:pPr>
      <w:r>
        <w:t xml:space="preserve">Los registros de inventario también contenían ruido. Los conteos físicos trimestrales habían encontrado discrepancias que oscilaban entre 1.3 y 3.8 por ciento por almacén. Algunas unidades estaban dañadas, devueltas sin ser clasificadas correctamente, o reservadas para promociones de minoristas que luego se cancelaron. El grupo de operaciones quería instalar tecnología adicional de escaneo y visibilidad de envíos, pero el proyecto de $1.2 millones no afectaría materialmente la decisión de compra de agosto.</w:t>
      </w:r>
    </w:p>
    <w:bookmarkEnd w:id="10"/>
    <w:bookmarkStart w:id="11" w:name="opciones-de-suministro"/>
    <w:p>
      <w:pPr>
        <w:pStyle w:val="Heading1"/>
      </w:pPr>
      <w:r>
        <w:t xml:space="preserve">Opciones de suministro</w:t>
      </w:r>
    </w:p>
    <w:p>
      <w:pPr>
        <w:pStyle w:val="FirstParagraph"/>
      </w:pPr>
      <w:r>
        <w:t xml:space="preserve">Los proveedores principales de Northstar ofrecían los costos unitarios más bajos, pero requerían grandes órdenes en cantidades de contenedor completo. Un fabricante alternativo en México podía producir dos productos con un tiempo de espera de cuatro semanas, pero sus costos eran de 16 a 22 por ciento más altos y los rendimientos de calidad iniciales eran inciertos. Un proveedor polaco ofrecía un purificador premium con un desempeño de calidad sólido, pero los movimientos de divisas y las interrupciones del transporte europeo podían alterar el costo desembarcado.</w:t>
      </w:r>
    </w:p>
    <w:p>
      <w:pPr>
        <w:pStyle w:val="BodyText"/>
      </w:pPr>
      <w:r>
        <w:t xml:space="preserve">Las opciones de transporte añadían otra capa. El servicio marítimo era el más económico, pero la congestión portuaria, tormentas, fallas de equipo, acciones laborales e inspecciones aduaneras podían retrasar la llegada. El ferrocarril desde la costa oeste hasta el centro de distribución central de Northstar era menos costoso que el servicio de camión completo, pero más lento y menos predecible. El flete aéreo podía rescatar una escasez, aunque añadía entre $34 y $57 por unidad y no estaba disponible en capacidad suficiente para una orden estacional completa.</w:t>
      </w:r>
    </w:p>
    <w:tbl>
      <w:tblPr>
        <w:tblStyle w:val="Table"/>
        <w:tblW w:type="pct" w:w="4920"/>
        <w:tblLayout w:type="fixed"/>
        <w:tblLook w:firstRow="1" w:lastRow="0" w:firstColumn="0" w:lastColumn="0" w:noHBand="0" w:noVBand="0" w:val="0020"/>
      </w:tblPr>
      <w:tblGrid>
        <w:gridCol w:w="1964"/>
        <w:gridCol w:w="1584"/>
        <w:gridCol w:w="1584"/>
        <w:gridCol w:w="2661"/>
      </w:tblGrid>
      <w:tr>
        <w:trPr>
          <w:tblHeader w:val="on"/>
        </w:trPr>
        <w:tc>
          <w:tcPr/>
          <w:p>
            <w:pPr>
              <w:pStyle w:val="Compact"/>
              <w:jc w:val="left"/>
            </w:pPr>
            <w:r>
              <w:t xml:space="preserve">Opción</w:t>
            </w:r>
          </w:p>
        </w:tc>
        <w:tc>
          <w:tcPr/>
          <w:p>
            <w:pPr>
              <w:pStyle w:val="Compact"/>
              <w:jc w:val="left"/>
            </w:pPr>
            <w:r>
              <w:t xml:space="preserve">Costo incremental</w:t>
            </w:r>
          </w:p>
        </w:tc>
        <w:tc>
          <w:tcPr/>
          <w:p>
            <w:pPr>
              <w:pStyle w:val="Compact"/>
              <w:jc w:val="center"/>
            </w:pPr>
            <w:r>
              <w:t xml:space="preserve">Tiempo típico</w:t>
            </w:r>
          </w:p>
        </w:tc>
        <w:tc>
          <w:tcPr/>
          <w:p>
            <w:pPr>
              <w:pStyle w:val="Compact"/>
              <w:jc w:val="left"/>
            </w:pPr>
            <w:r>
              <w:t xml:space="preserve">Preocupación principal</w:t>
            </w:r>
          </w:p>
        </w:tc>
      </w:tr>
      <w:tr>
        <w:tc>
          <w:tcPr/>
          <w:p>
            <w:pPr>
              <w:pStyle w:val="Compact"/>
              <w:jc w:val="left"/>
            </w:pPr>
            <w:r>
              <w:t xml:space="preserve">Proveedor asiático principal</w:t>
            </w:r>
          </w:p>
        </w:tc>
        <w:tc>
          <w:tcPr/>
          <w:p>
            <w:pPr>
              <w:pStyle w:val="Compact"/>
              <w:jc w:val="left"/>
            </w:pPr>
            <w:r>
              <w:t xml:space="preserve">Línea base</w:t>
            </w:r>
          </w:p>
        </w:tc>
        <w:tc>
          <w:tcPr/>
          <w:p>
            <w:pPr>
              <w:pStyle w:val="Compact"/>
              <w:jc w:val="center"/>
            </w:pPr>
            <w:r>
              <w:t xml:space="preserve">7–11 semanas</w:t>
            </w:r>
          </w:p>
        </w:tc>
        <w:tc>
          <w:tcPr/>
          <w:p>
            <w:pPr>
              <w:pStyle w:val="Compact"/>
              <w:jc w:val="left"/>
            </w:pPr>
            <w:r>
              <w:t xml:space="preserve">Compromiso prolongado y exposición a interrupciones</w:t>
            </w:r>
          </w:p>
        </w:tc>
      </w:tr>
      <w:tr>
        <w:tc>
          <w:tcPr/>
          <w:p>
            <w:pPr>
              <w:pStyle w:val="Compact"/>
              <w:jc w:val="left"/>
            </w:pPr>
            <w:r>
              <w:t xml:space="preserve">Proveedor de respaldo mexicano</w:t>
            </w:r>
          </w:p>
        </w:tc>
        <w:tc>
          <w:tcPr/>
          <w:p>
            <w:pPr>
              <w:pStyle w:val="Compact"/>
              <w:jc w:val="left"/>
            </w:pPr>
            <w:r>
              <w:t xml:space="preserve">+16% a +22%</w:t>
            </w:r>
          </w:p>
        </w:tc>
        <w:tc>
          <w:tcPr/>
          <w:p>
            <w:pPr>
              <w:pStyle w:val="Compact"/>
              <w:jc w:val="center"/>
            </w:pPr>
            <w:r>
              <w:t xml:space="preserve">4–6 semanas</w:t>
            </w:r>
          </w:p>
        </w:tc>
        <w:tc>
          <w:tcPr/>
          <w:p>
            <w:pPr>
              <w:pStyle w:val="Compact"/>
              <w:jc w:val="left"/>
            </w:pPr>
            <w:r>
              <w:t xml:space="preserve">Rendimiento de calidad y capacidad limitada</w:t>
            </w:r>
          </w:p>
        </w:tc>
      </w:tr>
      <w:tr>
        <w:tc>
          <w:tcPr/>
          <w:p>
            <w:pPr>
              <w:pStyle w:val="Compact"/>
              <w:jc w:val="left"/>
            </w:pPr>
            <w:r>
              <w:t xml:space="preserve">Reserva de flete aéreo</w:t>
            </w:r>
          </w:p>
        </w:tc>
        <w:tc>
          <w:tcPr/>
          <w:p>
            <w:pPr>
              <w:pStyle w:val="Compact"/>
              <w:jc w:val="left"/>
            </w:pPr>
            <w:r>
              <w:t xml:space="preserve">+$34 a +$57/unidad</w:t>
            </w:r>
          </w:p>
        </w:tc>
        <w:tc>
          <w:tcPr/>
          <w:p>
            <w:pPr>
              <w:pStyle w:val="Compact"/>
              <w:jc w:val="center"/>
            </w:pPr>
            <w:r>
              <w:t xml:space="preserve">4–8 días</w:t>
            </w:r>
          </w:p>
        </w:tc>
        <w:tc>
          <w:tcPr/>
          <w:p>
            <w:pPr>
              <w:pStyle w:val="Compact"/>
              <w:jc w:val="left"/>
            </w:pPr>
            <w:r>
              <w:t xml:space="preserve">Costo y capacidad limitada</w:t>
            </w:r>
          </w:p>
        </w:tc>
      </w:tr>
      <w:tr>
        <w:tc>
          <w:tcPr/>
          <w:p>
            <w:pPr>
              <w:pStyle w:val="Compact"/>
              <w:jc w:val="left"/>
            </w:pPr>
            <w:r>
              <w:t xml:space="preserve">Inventario de reserva doméstico</w:t>
            </w:r>
          </w:p>
        </w:tc>
        <w:tc>
          <w:tcPr/>
          <w:p>
            <w:pPr>
              <w:pStyle w:val="Compact"/>
              <w:jc w:val="left"/>
            </w:pPr>
            <w:r>
              <w:t xml:space="preserve">adicional $5.8M de c</w:t>
            </w:r>
          </w:p>
        </w:tc>
        <w:tc>
          <w:tcPr/>
          <w:p>
            <w:pPr>
              <w:pStyle w:val="Compact"/>
              <w:jc w:val="center"/>
            </w:pPr>
            <w:r>
              <w:t xml:space="preserve">apital de trabajo Dispo</w:t>
            </w:r>
          </w:p>
        </w:tc>
        <w:tc>
          <w:tcPr/>
          <w:p>
            <w:pPr>
              <w:pStyle w:val="Compact"/>
              <w:jc w:val="left"/>
            </w:pPr>
            <w:r>
              <w:t xml:space="preserve">nibilidad inmediata Obsolescencia y espacio de almacén</w:t>
            </w:r>
          </w:p>
        </w:tc>
      </w:tr>
      <w:tr>
        <w:tc>
          <w:tcPr/>
          <w:p>
            <w:pPr>
              <w:pStyle w:val="Compact"/>
              <w:jc w:val="left"/>
            </w:pPr>
            <w:r>
              <w:t xml:space="preserve">Plataforma de visibilidad de en</w:t>
            </w:r>
          </w:p>
        </w:tc>
        <w:tc>
          <w:tcPr/>
          <w:p>
            <w:pPr>
              <w:pStyle w:val="Compact"/>
              <w:jc w:val="left"/>
            </w:pPr>
            <w:r>
              <w:t xml:space="preserve">víos $1.2M configuraci</w:t>
            </w:r>
          </w:p>
        </w:tc>
        <w:tc>
          <w:tcPr/>
          <w:p>
            <w:pPr>
              <w:pStyle w:val="Compact"/>
              <w:jc w:val="center"/>
            </w:pPr>
            <w:r>
              <w:t xml:space="preserve">ón + tarifas Impleme</w:t>
            </w:r>
          </w:p>
        </w:tc>
        <w:tc>
          <w:tcPr/>
          <w:p>
            <w:pPr>
              <w:pStyle w:val="Compact"/>
              <w:jc w:val="left"/>
            </w:pPr>
            <w:r>
              <w:t xml:space="preserve">ntación de 6 meses Los beneficios llegan después de la decisión navideña</w:t>
            </w:r>
          </w:p>
        </w:tc>
      </w:tr>
    </w:tbl>
    <w:p>
      <w:pPr>
        <w:pStyle w:val="BodyText"/>
      </w:pPr>
      <w:r>
        <w:t xml:space="preserve">Compras propuso dividir las órdenes entre proveedores. El jefe de calidad advirtió que añadir proveedores crearía trabajo de inspección, componentes inconsistentes y una mayor probabilidad de devoluciones. Finanzas argumentó que la diversificación solo tenía valor si la fuente alternativa estaba verdaderamente disponible durante una interrupción. El equipo comercial se preocupaba de que los mayores costos forzaran aumentos de precio justo cuando los competidores se preparaban para las promociones navideñas.</w:t>
      </w:r>
    </w:p>
    <w:bookmarkEnd w:id="11"/>
    <w:bookmarkStart w:id="12" w:name="gestionar-la-demanda-o-dañar-la-marca"/>
    <w:p>
      <w:pPr>
        <w:pStyle w:val="Heading1"/>
      </w:pPr>
      <w:r>
        <w:t xml:space="preserve">Gestionar la demanda —o dañar la marca</w:t>
      </w:r>
    </w:p>
    <w:p>
      <w:pPr>
        <w:pStyle w:val="FirstParagraph"/>
      </w:pPr>
      <w:r>
        <w:t xml:space="preserve">La directora de marketing propuso usar precios y calendarios de promoción para ayudar a equilibrar la disponibilidad de productos. Si el inventario de purificadores se veía ajustado, Northstar podría reducir la publicidad, subir el precio en línea, o reservar unidades para los minoristas con las relaciones a largo plazo más sólidas. Si los ventiladores se acumulaban, podría ofrecer cupones, paquetes, o campañas pagadas en redes sociales. Sin embargo, cada acción tenía consecuencias. Los precios más altos podrían proteger el inventario pero reducir la cuota de mercado; los descuentos podrían liquidar existencias pero enseñar a los clientes a esperar promociones.</w:t>
      </w:r>
    </w:p>
    <w:p>
      <w:pPr>
        <w:pStyle w:val="BodyText"/>
      </w:pPr>
      <w:r>
        <w:t xml:space="preserve">Los contratos minoristas complicaban la asignación. Dos cadenas nacionales esperaban al menos un 95 por ciento de entrega a tiempo y completa, y podían imponer penalidades por escasez. El sitio web de Northstar producía mayores márgenes e información inmediata sobre la demanda, pero desviar existencias hacia las ventas directas podía dañar las relaciones con los minoristas. Los distribuidores más pequeños argumentaban que rutinariamente se les privaba de productos populares porque las grandes cuentas recibían prioridad.</w:t>
      </w:r>
    </w:p>
    <w:tbl>
      <w:tblPr>
        <w:tblStyle w:val="Table"/>
        <w:tblW w:type="pct" w:w="4908"/>
        <w:tblLayout w:type="fixed"/>
        <w:tblLook w:firstRow="1" w:lastRow="0" w:firstColumn="0" w:lastColumn="0" w:noHBand="0" w:noVBand="0" w:val="0020"/>
      </w:tblPr>
      <w:tblGrid>
        <w:gridCol w:w="2906"/>
        <w:gridCol w:w="2107"/>
        <w:gridCol w:w="2761"/>
      </w:tblGrid>
      <w:tr>
        <w:trPr>
          <w:tblHeader w:val="on"/>
        </w:trPr>
        <w:tc>
          <w:tcPr/>
          <w:p>
            <w:pPr>
              <w:pStyle w:val="Compact"/>
              <w:jc w:val="left"/>
            </w:pPr>
            <w:r>
              <w:t xml:space="preserve">Acción potencial</w:t>
            </w:r>
          </w:p>
        </w:tc>
        <w:tc>
          <w:tcPr/>
          <w:p>
            <w:pPr>
              <w:pStyle w:val="Compact"/>
            </w:pPr>
            <w:r>
              <w:t xml:space="preserve">Efecto estimado a corto plazo</w:t>
            </w:r>
          </w:p>
        </w:tc>
        <w:tc>
          <w:tcPr/>
          <w:p>
            <w:pPr>
              <w:pStyle w:val="Compact"/>
              <w:jc w:val="right"/>
            </w:pPr>
            <w:r>
              <w:t xml:space="preserve">Preocupación planteada por la gerencia</w:t>
            </w:r>
          </w:p>
        </w:tc>
      </w:tr>
      <w:tr>
        <w:tc>
          <w:tcPr/>
          <w:p>
            <w:pPr>
              <w:pStyle w:val="Compact"/>
              <w:jc w:val="left"/>
            </w:pPr>
            <w:r>
              <w:t xml:space="preserve">Aumentar el precio del purificador en $</w:t>
            </w:r>
          </w:p>
        </w:tc>
        <w:tc>
          <w:tcPr/>
          <w:p>
            <w:pPr>
              <w:pStyle w:val="Compact"/>
            </w:pPr>
            <w:r>
              <w:t xml:space="preserve">20 Demanda baja 7%–1</w:t>
            </w:r>
          </w:p>
        </w:tc>
        <w:tc>
          <w:tcPr/>
          <w:p>
            <w:pPr>
              <w:pStyle w:val="Compact"/>
              <w:jc w:val="right"/>
            </w:pPr>
            <w:r>
              <w:t xml:space="preserve">5% Los competidores pueden ganar clientes</w:t>
            </w:r>
          </w:p>
        </w:tc>
      </w:tr>
      <w:tr>
        <w:tc>
          <w:tcPr/>
          <w:p>
            <w:pPr>
              <w:pStyle w:val="Compact"/>
              <w:jc w:val="left"/>
            </w:pPr>
            <w:r>
              <w:t xml:space="preserve">Ofrecer una promoción del 20% en ventila</w:t>
            </w:r>
          </w:p>
        </w:tc>
        <w:tc>
          <w:tcPr/>
          <w:p>
            <w:pPr>
              <w:pStyle w:val="Compact"/>
            </w:pPr>
            <w:r>
              <w:t xml:space="preserve">dores Demand</w:t>
            </w:r>
          </w:p>
        </w:tc>
        <w:tc>
          <w:tcPr/>
          <w:p>
            <w:pPr>
              <w:pStyle w:val="Compact"/>
              <w:jc w:val="right"/>
            </w:pPr>
            <w:r>
              <w:t xml:space="preserve">a sube 18%–35% Pérdida de margen; precio de referencia futuro</w:t>
            </w:r>
          </w:p>
        </w:tc>
      </w:tr>
      <w:tr>
        <w:tc>
          <w:tcPr/>
          <w:p>
            <w:pPr>
              <w:pStyle w:val="Compact"/>
              <w:jc w:val="left"/>
            </w:pPr>
            <w:r>
              <w:t xml:space="preserve">Reducir la publicidad del purificador</w:t>
            </w:r>
          </w:p>
        </w:tc>
        <w:tc>
          <w:tcPr/>
          <w:p>
            <w:pPr>
              <w:pStyle w:val="Compact"/>
            </w:pPr>
            <w:r>
              <w:t xml:space="preserve">Demanda baja 5%–12%</w:t>
            </w:r>
          </w:p>
        </w:tc>
        <w:tc>
          <w:tcPr/>
          <w:p>
            <w:pPr>
              <w:pStyle w:val="Compact"/>
              <w:jc w:val="right"/>
            </w:pPr>
            <w:r>
              <w:t xml:space="preserve">Pérdida de impulso de marca</w:t>
            </w:r>
          </w:p>
        </w:tc>
      </w:tr>
      <w:tr>
        <w:tc>
          <w:tcPr/>
          <w:p>
            <w:pPr>
              <w:pStyle w:val="Compact"/>
              <w:jc w:val="left"/>
            </w:pPr>
            <w:r>
              <w:t xml:space="preserve">Reservar inventario para grandes minoris</w:t>
            </w:r>
          </w:p>
        </w:tc>
        <w:tc>
          <w:tcPr/>
          <w:p>
            <w:pPr>
              <w:pStyle w:val="Compact"/>
            </w:pPr>
            <w:r>
              <w:t xml:space="preserve">tas Menos penalidades contr</w:t>
            </w:r>
          </w:p>
        </w:tc>
        <w:tc>
          <w:tcPr/>
          <w:p>
            <w:pPr>
              <w:pStyle w:val="Compact"/>
              <w:jc w:val="right"/>
            </w:pPr>
            <w:r>
              <w:t xml:space="preserve">actuales Menor margen del canal directo</w:t>
            </w:r>
          </w:p>
        </w:tc>
      </w:tr>
      <w:tr>
        <w:tc>
          <w:tcPr/>
          <w:p>
            <w:pPr>
              <w:pStyle w:val="Compact"/>
              <w:jc w:val="left"/>
            </w:pPr>
            <w:r>
              <w:t xml:space="preserve">Retrasar parte de la orden al proveedor</w:t>
            </w:r>
          </w:p>
        </w:tc>
        <w:tc>
          <w:tcPr/>
          <w:p>
            <w:pPr>
              <w:pStyle w:val="Compact"/>
            </w:pPr>
            <w:r>
              <w:t xml:space="preserve">Menor riesgo de ex</w:t>
            </w:r>
          </w:p>
        </w:tc>
        <w:tc>
          <w:tcPr/>
          <w:p>
            <w:pPr>
              <w:pStyle w:val="Compact"/>
              <w:jc w:val="right"/>
            </w:pPr>
            <w:r>
              <w:t xml:space="preserve">cedente Se podría perder el espacio de producción</w:t>
            </w:r>
          </w:p>
        </w:tc>
      </w:tr>
    </w:tbl>
    <w:bookmarkEnd w:id="12"/>
    <w:bookmarkStart w:id="13" w:name="X8a896691e2bafc757c79b95ee148dd2d9644a4a"/>
    <w:p>
      <w:pPr>
        <w:pStyle w:val="Heading1"/>
      </w:pPr>
      <w:r>
        <w:t xml:space="preserve">Efectivo, capacidad e incentivos organizacionales</w:t>
      </w:r>
    </w:p>
    <w:p>
      <w:pPr>
        <w:pStyle w:val="FirstParagraph"/>
      </w:pPr>
      <w:r>
        <w:t xml:space="preserve">Northstar financiaba el inventario con una línea de crédito revolvente a tasa de interés variable. Mantener inventario implicaba más que intereses: almacenamiento, manejo, seguros, daños, robo, devoluciones, y el riesgo de que un nuevo modelo hiciera que las unidades antiguas fueran menos atractivas. Se proyectaba que el centro de distribución principal de la empresa alcanzaría el 96 por ciento de la capacidad utilizable en noviembre bajo el plan propuesto. Había espacio de desbordamiento disponible, pero a casi el doble del costo normal de manejo.</w:t>
      </w:r>
    </w:p>
    <w:p>
      <w:pPr>
        <w:pStyle w:val="BodyText"/>
      </w:pPr>
      <w:r>
        <w:t xml:space="preserve">Las medidas de desempeño internas no apuntaban en la misma dirección. Los gerentes de ventas eran recompensados por el crecimiento de ingresos y los niveles de servicio. Compras se evaluaba en parte según el costo unitario. Se esperaba que operaciones evitara las escaseces mientras controlaba el inventario. Finanzas enfatizaba la conversión de efectivo y el margen operativo. Marketing se medía por tráfico, conversión y retornos de campaña. Cada grupo podía defender un plan navideño diferente usando su propio cuadro de indicadores.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pPr>
            <w:r>
              <w:t xml:space="preserve">Medida 2</w:t>
            </w:r>
          </w:p>
        </w:tc>
        <w:tc>
          <w:tcPr/>
          <w:p>
            <w:pPr>
              <w:pStyle w:val="Compact"/>
            </w:pPr>
            <w:r>
              <w:t xml:space="preserve">024 2</w:t>
            </w:r>
          </w:p>
        </w:tc>
        <w:tc>
          <w:tcPr/>
          <w:p>
            <w:pPr>
              <w:pStyle w:val="Compact"/>
            </w:pPr>
            <w:r>
              <w:t xml:space="preserve">025 M</w:t>
            </w:r>
          </w:p>
        </w:tc>
        <w:tc>
          <w:tcPr/>
          <w:p>
            <w:pPr>
              <w:pStyle w:val="Compact"/>
              <w:jc w:val="left"/>
            </w:pPr>
            <w:r>
              <w:t xml:space="preserve">eta 2026</w:t>
            </w:r>
          </w:p>
        </w:tc>
      </w:tr>
      <w:tr>
        <w:tc>
          <w:tcPr/>
          <w:p>
            <w:pPr>
              <w:pStyle w:val="Compact"/>
            </w:pPr>
            <w:r>
              <w:t xml:space="preserve">Ingresos</w:t>
            </w:r>
          </w:p>
        </w:tc>
        <w:tc>
          <w:tcPr/>
          <w:p>
            <w:pPr>
              <w:pStyle w:val="Compact"/>
            </w:pPr>
            <w:r>
              <w:t xml:space="preserve">$286M</w:t>
            </w:r>
          </w:p>
        </w:tc>
        <w:tc>
          <w:tcPr/>
          <w:p>
            <w:pPr>
              <w:pStyle w:val="Compact"/>
            </w:pPr>
            <w:r>
              <w:t xml:space="preserve">$337M</w:t>
            </w:r>
          </w:p>
        </w:tc>
        <w:tc>
          <w:tcPr/>
          <w:p>
            <w:pPr>
              <w:pStyle w:val="Compact"/>
              <w:jc w:val="left"/>
            </w:pPr>
            <w:r>
              <w:t xml:space="preserve">$392M</w:t>
            </w:r>
          </w:p>
        </w:tc>
      </w:tr>
      <w:tr>
        <w:tc>
          <w:tcPr/>
          <w:p>
            <w:pPr>
              <w:pStyle w:val="Compact"/>
            </w:pPr>
            <w:r>
              <w:t xml:space="preserve">Inventario de fin de año</w:t>
            </w:r>
          </w:p>
        </w:tc>
        <w:tc>
          <w:tcPr/>
          <w:p>
            <w:pPr>
              <w:pStyle w:val="Compact"/>
            </w:pPr>
            <w:r>
              <w:t xml:space="preserve">$58M</w:t>
            </w:r>
          </w:p>
        </w:tc>
        <w:tc>
          <w:tcPr/>
          <w:p>
            <w:pPr>
              <w:pStyle w:val="Compact"/>
            </w:pPr>
            <w:r>
              <w:t xml:space="preserve">$76M</w:t>
            </w:r>
          </w:p>
        </w:tc>
        <w:tc>
          <w:tcPr/>
          <w:p>
            <w:pPr>
              <w:pStyle w:val="Compact"/>
              <w:jc w:val="left"/>
            </w:pPr>
            <w:r>
              <w:t xml:space="preserve">≤ $82M</w:t>
            </w:r>
          </w:p>
        </w:tc>
      </w:tr>
      <w:tr>
        <w:tc>
          <w:tcPr/>
          <w:p>
            <w:pPr>
              <w:pStyle w:val="Compact"/>
            </w:pPr>
            <w:r>
              <w:t xml:space="preserve">Rotaciones de inventario</w:t>
            </w:r>
          </w:p>
        </w:tc>
        <w:tc>
          <w:tcPr/>
          <w:p>
            <w:pPr>
              <w:pStyle w:val="Compact"/>
            </w:pPr>
            <w:r>
              <w:t xml:space="preserve">4.7</w:t>
            </w:r>
          </w:p>
        </w:tc>
        <w:tc>
          <w:tcPr/>
          <w:p>
            <w:pPr>
              <w:pStyle w:val="Compact"/>
            </w:pPr>
            <w:r>
              <w:t xml:space="preserve">4.2</w:t>
            </w:r>
          </w:p>
        </w:tc>
        <w:tc>
          <w:tcPr/>
          <w:p>
            <w:pPr>
              <w:pStyle w:val="Compact"/>
              <w:jc w:val="left"/>
            </w:pPr>
            <w:r>
              <w:t xml:space="preserve">4.8</w:t>
            </w:r>
          </w:p>
        </w:tc>
      </w:tr>
      <w:tr>
        <w:tc>
          <w:tcPr/>
          <w:p>
            <w:pPr>
              <w:pStyle w:val="Compact"/>
            </w:pPr>
            <w:r>
              <w:t xml:space="preserve">Servicio a tiempo y complet</w:t>
            </w:r>
          </w:p>
        </w:tc>
        <w:tc>
          <w:tcPr/>
          <w:p>
            <w:pPr>
              <w:pStyle w:val="Compact"/>
            </w:pPr>
            <w:r>
              <w:t xml:space="preserve">o 91.4%</w:t>
            </w:r>
          </w:p>
        </w:tc>
        <w:tc>
          <w:tcPr/>
          <w:p>
            <w:pPr>
              <w:pStyle w:val="Compact"/>
            </w:pPr>
            <w:r>
              <w:t xml:space="preserve">89.7%</w:t>
            </w:r>
          </w:p>
        </w:tc>
        <w:tc>
          <w:tcPr/>
          <w:p>
            <w:pPr>
              <w:pStyle w:val="Compact"/>
              <w:jc w:val="left"/>
            </w:pPr>
            <w:r>
              <w:t xml:space="preserve">95.0%</w:t>
            </w:r>
          </w:p>
        </w:tc>
      </w:tr>
      <w:tr>
        <w:tc>
          <w:tcPr/>
          <w:p>
            <w:pPr>
              <w:pStyle w:val="Compact"/>
            </w:pPr>
            <w:r>
              <w:t xml:space="preserve">Margen bruto</w:t>
            </w:r>
          </w:p>
        </w:tc>
        <w:tc>
          <w:tcPr/>
          <w:p>
            <w:pPr>
              <w:pStyle w:val="Compact"/>
            </w:pPr>
            <w:r>
              <w:t xml:space="preserve">47.8%</w:t>
            </w:r>
          </w:p>
        </w:tc>
        <w:tc>
          <w:tcPr/>
          <w:p>
            <w:pPr>
              <w:pStyle w:val="Compact"/>
            </w:pPr>
            <w:r>
              <w:t xml:space="preserve">45.9%</w:t>
            </w:r>
          </w:p>
        </w:tc>
        <w:tc>
          <w:tcPr/>
          <w:p>
            <w:pPr>
              <w:pStyle w:val="Compact"/>
              <w:jc w:val="left"/>
            </w:pPr>
            <w:r>
              <w:t xml:space="preserve">47.0%</w:t>
            </w:r>
          </w:p>
        </w:tc>
      </w:tr>
      <w:tr>
        <w:tc>
          <w:tcPr/>
          <w:p>
            <w:pPr>
              <w:pStyle w:val="Compact"/>
            </w:pPr>
            <w:r>
              <w:t xml:space="preserve">Flete de emergencia</w:t>
            </w:r>
          </w:p>
        </w:tc>
        <w:tc>
          <w:tcPr/>
          <w:p>
            <w:pPr>
              <w:pStyle w:val="Compact"/>
            </w:pPr>
            <w:r>
              <w:t xml:space="preserve">$2.1M</w:t>
            </w:r>
          </w:p>
        </w:tc>
        <w:tc>
          <w:tcPr/>
          <w:p>
            <w:pPr>
              <w:pStyle w:val="Compact"/>
            </w:pPr>
            <w:r>
              <w:t xml:space="preserve">$5.6M</w:t>
            </w:r>
          </w:p>
        </w:tc>
        <w:tc>
          <w:tcPr/>
          <w:p>
            <w:pPr>
              <w:pStyle w:val="Compact"/>
              <w:jc w:val="left"/>
            </w:pPr>
            <w:r>
              <w:t xml:space="preserve">≤ $3.0M</w:t>
            </w:r>
          </w:p>
        </w:tc>
      </w:tr>
    </w:tbl>
    <w:p>
      <w:pPr>
        <w:pStyle w:val="BodyText"/>
      </w:pPr>
      <w:r>
        <w:t xml:space="preserve">La junta directiva también había pedido a la gerencia que considerara eventos poco frecuentes pero de gran impacto. Un cierre prolongado de proveedores, un ciberataque a un proveedor de logística, el cierre de un puerto, un cambio arancelario repentino, un retiro de producto mayor, o un cambio brusco en las tasas de cambio de divisas podían sobrepasar los supuestos normales de planificación. Algunos ejecutivos querían inventario de contingencia explícito. Otros argumentaban que prepararse para cada interrupción haría que Northstar fuera permanentemente no competitivo.</w:t>
      </w:r>
    </w:p>
    <w:bookmarkEnd w:id="13"/>
    <w:bookmarkStart w:id="14" w:name="la-reunión-de-agosto"/>
    <w:p>
      <w:pPr>
        <w:pStyle w:val="Heading1"/>
      </w:pPr>
      <w:r>
        <w:t xml:space="preserve">La reunión de agosto</w:t>
      </w:r>
    </w:p>
    <w:p>
      <w:pPr>
        <w:pStyle w:val="FirstParagraph"/>
      </w:pPr>
      <w:r>
        <w:t xml:space="preserve">Chen programó una reunión de cuatro horas para el 3 de agosto. El grupo tenía que recomendar cantidades de compra, asignaciones a proveedores, planes de transporte y una reserva para envíos expeditados. También tenía que decidir si los precios y promociones debían comprometerse al mismo tiempo o ajustarse más tarde conforme llegara la información.</w:t>
      </w:r>
    </w:p>
    <w:p>
      <w:pPr>
        <w:pStyle w:val="BodyText"/>
      </w:pPr>
      <w:r>
        <w:t xml:space="preserve">El director financiero favorecía un compromiso inicial más bajo con autoridad para reordenar desde México. El jefe de ventas quería suficiente inventario para respaldar el pronóstico más optimista de los minoristas. Operaciones propuso órdenes más grandes de purificadores y unidades de inducción, una orden más pequeña de ventiladores, y un presupuesto protegido para flete aéreo. Marketing se opuso a reducir la orden de ventiladores porque una asociación de medios aún no anunciada podría aumentar materialmente la demanda. Adquisiciones advirtió que esperar dos semanas podría eliminar por completo varios espacios de fábrica.</w:t>
      </w:r>
    </w:p>
    <w:p>
      <w:pPr>
        <w:pStyle w:val="BodyText"/>
      </w:pPr>
      <w:r>
        <w:t xml:space="preserve">Chen no estaba convencida de que la empresa pudiera identificar una</w:t>
      </w:r>
      <w:r>
        <w:t xml:space="preserve"> </w:t>
      </w:r>
      <w:r>
        <w:t xml:space="preserve">“correcta”</w:t>
      </w:r>
      <w:r>
        <w:t xml:space="preserve"> </w:t>
      </w:r>
      <w:r>
        <w:t xml:space="preserve">orden. La demanda, los tiempos de espera, la calidad del producto, los costos, las acciones de los competidores, las cancelaciones de clientes, e incluso los registros de inventario evolucionarían después del compromiso. Sin embargo, la ausencia de certeza no eliminaba la necesidad de actuar. Para el lunes por la noche, los proveedores esperaban las órdenes de compra.</w:t>
      </w:r>
    </w:p>
    <w:bookmarkEnd w:id="14"/>
    <w:bookmarkStart w:id="15" w:name="X50298ef28407b3f4839204e378522972a3e22f4"/>
    <w:p>
      <w:pPr>
        <w:pStyle w:val="Heading1"/>
      </w:pPr>
      <w:r>
        <w:t xml:space="preserve">Anexo 1: Escenarios navideños de la gerencia</w:t>
      </w:r>
    </w:p>
    <w:tbl>
      <w:tblPr>
        <w:tblStyle w:val="Table"/>
        <w:tblW w:type="pct" w:w="4923"/>
        <w:tblLayout w:type="fixed"/>
        <w:tblLook w:firstRow="1" w:lastRow="0" w:firstColumn="0" w:lastColumn="0" w:noHBand="0" w:noVBand="0" w:val="0020"/>
      </w:tblPr>
      <w:tblGrid>
        <w:gridCol w:w="974"/>
        <w:gridCol w:w="1523"/>
        <w:gridCol w:w="1644"/>
        <w:gridCol w:w="1340"/>
        <w:gridCol w:w="2315"/>
      </w:tblGrid>
      <w:tr>
        <w:trPr>
          <w:tblHeader w:val="on"/>
        </w:trPr>
        <w:tc>
          <w:tcPr/>
          <w:p>
            <w:pPr>
              <w:pStyle w:val="Compact"/>
              <w:jc w:val="left"/>
            </w:pPr>
            <w:r>
              <w:t xml:space="preserve">Escenario</w:t>
            </w:r>
          </w:p>
        </w:tc>
        <w:tc>
          <w:tcPr/>
          <w:p>
            <w:pPr>
              <w:pStyle w:val="Compact"/>
              <w:jc w:val="right"/>
            </w:pPr>
            <w:r>
              <w:t xml:space="preserve">Demanda versus pronóstic</w:t>
            </w:r>
          </w:p>
        </w:tc>
        <w:tc>
          <w:tcPr/>
          <w:p>
            <w:pPr>
              <w:pStyle w:val="Compact"/>
            </w:pPr>
            <w:r>
              <w:t xml:space="preserve">o Cambio promedio en tiem</w:t>
            </w:r>
          </w:p>
        </w:tc>
        <w:tc>
          <w:tcPr/>
          <w:p>
            <w:pPr>
              <w:pStyle w:val="Compact"/>
            </w:pPr>
            <w:r>
              <w:t xml:space="preserve">po de espera Precios</w:t>
            </w:r>
          </w:p>
        </w:tc>
        <w:tc>
          <w:tcPr/>
          <w:p>
            <w:pPr>
              <w:pStyle w:val="Compact"/>
              <w:jc w:val="right"/>
            </w:pPr>
            <w:r>
              <w:t xml:space="preserve">competitivos Resultado operativo aproximado</w:t>
            </w:r>
          </w:p>
        </w:tc>
      </w:tr>
      <w:tr>
        <w:tc>
          <w:tcPr/>
          <w:p>
            <w:pPr>
              <w:pStyle w:val="Compact"/>
              <w:jc w:val="left"/>
            </w:pPr>
            <w:r>
              <w:t xml:space="preserve">Mercado débil</w:t>
            </w:r>
          </w:p>
        </w:tc>
        <w:tc>
          <w:tcPr/>
          <w:p>
            <w:pPr>
              <w:pStyle w:val="Compact"/>
              <w:jc w:val="right"/>
            </w:pPr>
            <w:r>
              <w:t xml:space="preserve">−15%</w:t>
            </w:r>
          </w:p>
        </w:tc>
        <w:tc>
          <w:tcPr/>
          <w:p>
            <w:pPr>
              <w:pStyle w:val="Compact"/>
            </w:pPr>
            <w:r>
              <w:t xml:space="preserve">Sin cambio</w:t>
            </w:r>
          </w:p>
        </w:tc>
        <w:tc>
          <w:tcPr/>
          <w:p>
            <w:pPr>
              <w:pStyle w:val="Compact"/>
            </w:pPr>
            <w:r>
              <w:t xml:space="preserve">Descuentos fuertes</w:t>
            </w:r>
          </w:p>
        </w:tc>
        <w:tc>
          <w:tcPr/>
          <w:p>
            <w:pPr>
              <w:pStyle w:val="Compact"/>
              <w:jc w:val="right"/>
            </w:pPr>
            <w:r>
              <w:t xml:space="preserve">$9M por debajo del plan</w:t>
            </w:r>
          </w:p>
        </w:tc>
      </w:tr>
      <w:tr>
        <w:tc>
          <w:tcPr/>
          <w:p>
            <w:pPr>
              <w:pStyle w:val="Compact"/>
              <w:jc w:val="left"/>
            </w:pPr>
            <w:r>
              <w:t xml:space="preserve">Caso base</w:t>
            </w:r>
          </w:p>
        </w:tc>
        <w:tc>
          <w:tcPr/>
          <w:p>
            <w:pPr>
              <w:pStyle w:val="Compact"/>
              <w:jc w:val="right"/>
            </w:pPr>
            <w:r>
              <w:t xml:space="preserve">Pronóstico</w:t>
            </w:r>
          </w:p>
        </w:tc>
        <w:tc>
          <w:tcPr/>
          <w:p>
            <w:pPr>
              <w:pStyle w:val="Compact"/>
            </w:pPr>
            <w:r>
              <w:t xml:space="preserve">+1 semana</w:t>
            </w:r>
          </w:p>
        </w:tc>
        <w:tc>
          <w:tcPr/>
          <w:p>
            <w:pPr>
              <w:pStyle w:val="Compact"/>
            </w:pPr>
            <w:r>
              <w:t xml:space="preserve">Promociones normal</w:t>
            </w:r>
          </w:p>
        </w:tc>
        <w:tc>
          <w:tcPr/>
          <w:p>
            <w:pPr>
              <w:pStyle w:val="Compact"/>
              <w:jc w:val="right"/>
            </w:pPr>
            <w:r>
              <w:t xml:space="preserve">es Cerca del plan</w:t>
            </w:r>
          </w:p>
        </w:tc>
      </w:tr>
      <w:tr>
        <w:tc>
          <w:tcPr/>
          <w:p>
            <w:pPr>
              <w:pStyle w:val="Compact"/>
              <w:jc w:val="left"/>
            </w:pPr>
            <w:r>
              <w:t xml:space="preserve">Temporada fuerte</w:t>
            </w:r>
          </w:p>
        </w:tc>
        <w:tc>
          <w:tcPr/>
          <w:p>
            <w:pPr>
              <w:pStyle w:val="Compact"/>
              <w:jc w:val="right"/>
            </w:pPr>
            <w:r>
              <w:t xml:space="preserve">+18%</w:t>
            </w:r>
          </w:p>
        </w:tc>
        <w:tc>
          <w:tcPr/>
          <w:p>
            <w:pPr>
              <w:pStyle w:val="Compact"/>
            </w:pPr>
            <w:r>
              <w:t xml:space="preserve">+2 semanas</w:t>
            </w:r>
          </w:p>
        </w:tc>
        <w:tc>
          <w:tcPr/>
          <w:p>
            <w:pPr>
              <w:pStyle w:val="Compact"/>
            </w:pPr>
            <w:r>
              <w:t xml:space="preserve">Precios esta</w:t>
            </w:r>
          </w:p>
        </w:tc>
        <w:tc>
          <w:tcPr/>
          <w:p>
            <w:pPr>
              <w:pStyle w:val="Compact"/>
              <w:jc w:val="right"/>
            </w:pPr>
            <w:r>
              <w:t xml:space="preserve">bles $13M por encima del plan si se abastece</w:t>
            </w:r>
          </w:p>
        </w:tc>
      </w:tr>
      <w:tr>
        <w:tc>
          <w:tcPr/>
          <w:p>
            <w:pPr>
              <w:pStyle w:val="Compact"/>
              <w:jc w:val="left"/>
            </w:pPr>
            <w:r>
              <w:t xml:space="preserve">Interrupción</w:t>
            </w:r>
          </w:p>
        </w:tc>
        <w:tc>
          <w:tcPr/>
          <w:p>
            <w:pPr>
              <w:pStyle w:val="Compact"/>
              <w:jc w:val="right"/>
            </w:pPr>
            <w:r>
              <w:t xml:space="preserve">−3% en general</w:t>
            </w:r>
          </w:p>
        </w:tc>
        <w:tc>
          <w:tcPr/>
          <w:p>
            <w:pPr>
              <w:pStyle w:val="Compact"/>
            </w:pPr>
            <w:r>
              <w:t xml:space="preserve">+5 semanas en s</w:t>
            </w:r>
          </w:p>
        </w:tc>
        <w:tc>
          <w:tcPr/>
          <w:p>
            <w:pPr>
              <w:pStyle w:val="Compact"/>
            </w:pPr>
            <w:r>
              <w:t xml:space="preserve">uministro asiático</w:t>
            </w:r>
          </w:p>
        </w:tc>
        <w:tc>
          <w:tcPr/>
          <w:p>
            <w:pPr>
              <w:pStyle w:val="Compact"/>
              <w:jc w:val="right"/>
            </w:pPr>
            <w:r>
              <w:t xml:space="preserve">Mixto $17M por debajo del plan sin mitigación</w:t>
            </w:r>
          </w:p>
        </w:tc>
      </w:tr>
    </w:tbl>
    <w:bookmarkEnd w:id="15"/>
    <w:bookmarkStart w:id="16" w:name="preguntas-de-discusión"/>
    <w:p>
      <w:pPr>
        <w:pStyle w:val="Heading1"/>
      </w:pPr>
      <w:r>
        <w:t xml:space="preserve">Preguntas de discusión</w:t>
      </w:r>
    </w:p>
    <w:p>
      <w:pPr>
        <w:numPr>
          <w:ilvl w:val="0"/>
          <w:numId w:val="1001"/>
        </w:numPr>
      </w:pPr>
      <w:r>
        <w:t xml:space="preserve">¿Cuál es el problema central que enfrenta Northstar Living a principios de agosto?</w:t>
      </w:r>
    </w:p>
    <w:p>
      <w:pPr>
        <w:numPr>
          <w:ilvl w:val="0"/>
          <w:numId w:val="1001"/>
        </w:numPr>
      </w:pPr>
      <w:r>
        <w:t xml:space="preserve">¿Qué hechos del caso merecen la mayor atención antes de que se emitan las órdenes de compra?</w:t>
      </w:r>
    </w:p>
    <w:p>
      <w:pPr>
        <w:numPr>
          <w:ilvl w:val="0"/>
          <w:numId w:val="1001"/>
        </w:numPr>
      </w:pPr>
      <w:r>
        <w:t xml:space="preserve">¿Cómo debería Northstar equilibrar el costo del exceso de inventario contra las consecuencias de escaseces graves?</w:t>
      </w:r>
    </w:p>
    <w:p>
      <w:pPr>
        <w:numPr>
          <w:ilvl w:val="0"/>
          <w:numId w:val="1001"/>
        </w:numPr>
      </w:pPr>
      <w:r>
        <w:t xml:space="preserve">¿Debería la empresa diversificar sus proveedores a pesar de los costos más altos y la calidad incierta?</w:t>
      </w:r>
    </w:p>
    <w:p>
      <w:pPr>
        <w:numPr>
          <w:ilvl w:val="0"/>
          <w:numId w:val="1001"/>
        </w:numPr>
      </w:pPr>
      <w:r>
        <w:t xml:space="preserve">¿Cómo deberían incorporarse al plan los modos de transporte y la capacidad de flete de emergencia?</w:t>
      </w:r>
    </w:p>
    <w:p>
      <w:pPr>
        <w:numPr>
          <w:ilvl w:val="0"/>
          <w:numId w:val="1001"/>
        </w:numPr>
      </w:pPr>
      <w:r>
        <w:t xml:space="preserve">¿Cuándo debería Northstar usar precios, promociones y publicidad para influir en la demanda?</w:t>
      </w:r>
    </w:p>
    <w:p>
      <w:pPr>
        <w:numPr>
          <w:ilvl w:val="0"/>
          <w:numId w:val="1001"/>
        </w:numPr>
      </w:pPr>
      <w:r>
        <w:t xml:space="preserve">¿Cómo debería asignarse el inventario escaso entre los grandes minoristas, los distribuidores más pequeños y el canal directo?</w:t>
      </w:r>
    </w:p>
    <w:p>
      <w:pPr>
        <w:numPr>
          <w:ilvl w:val="0"/>
          <w:numId w:val="1001"/>
        </w:numPr>
      </w:pPr>
      <w:r>
        <w:t xml:space="preserve">¿Qué investigaciones o inversiones en información serían más valiosas para la planificación futura?</w:t>
      </w:r>
    </w:p>
    <w:p>
      <w:pPr>
        <w:numPr>
          <w:ilvl w:val="0"/>
          <w:numId w:val="1001"/>
        </w:numPr>
      </w:pPr>
      <w:r>
        <w:t xml:space="preserve">¿Cómo debería prepararse la empresa para interrupciones de baja frecuencia sin llevar un inventario excesivo?</w:t>
      </w:r>
    </w:p>
    <w:p>
      <w:pPr>
        <w:numPr>
          <w:ilvl w:val="0"/>
          <w:numId w:val="1001"/>
        </w:numPr>
      </w:pPr>
      <w:r>
        <w:t xml:space="preserve">¿Qué debería recomendar Chen en la reunión del 3 de agosto, y qué condiciones deberían desencadenar revisiones posteriores?</w:t>
      </w:r>
    </w:p>
    <w:bookmarkEnd w:id="16"/>
    <w:bookmarkStart w:id="22" w:name="preguntas-de-encuadre-de-la-decisión"/>
    <w:p>
      <w:pPr>
        <w:pStyle w:val="Heading1"/>
      </w:pPr>
      <w:r>
        <w:t xml:space="preserve">Preguntas de encuadre de la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17">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18">
        <w:r>
          <w:rPr>
            <w:rStyle w:val="Hyperlink"/>
          </w:rPr>
          <w:t xml:space="preserve">herramienta de priorización de decisiones</w:t>
        </w:r>
      </w:hyperlink>
      <w:r>
        <w:t xml:space="preserve"> </w:t>
      </w:r>
      <w:r>
        <w:t xml:space="preserve">para primero listar los diferentes tipos de decisiones (use los</w:t>
      </w:r>
      <w:r>
        <w:t xml:space="preserve"> </w:t>
      </w:r>
      <w:hyperlink r:id="rId19">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modo que las decisiones con el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decisiones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0">
        <w:r>
          <w:rPr>
            <w:rStyle w:val="Hyperlink"/>
          </w:rPr>
          <w:t xml:space="preserve">herramienta de priorización de incertidumbre</w:t>
        </w:r>
      </w:hyperlink>
      <w:r>
        <w:t xml:space="preserve">. Use las</w:t>
      </w:r>
      <w:r>
        <w:t xml:space="preserve"> </w:t>
      </w:r>
      <w:hyperlink r:id="rId21">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captarían usando el desempeño promedio a lo largo del tiempo?</w:t>
      </w:r>
    </w:p>
    <w:p>
      <w:pPr>
        <w:numPr>
          <w:ilvl w:val="1"/>
          <w:numId w:val="1003"/>
        </w:numPr>
      </w:pPr>
      <w:r>
        <w:t xml:space="preserve">¿Qué fuentes de incertidumbre representan formas de riesgo que no se captan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2"/>
    <w:bookmarkStart w:id="23" w:name="nota-sobre-los-datos"/>
    <w:p>
      <w:pPr>
        <w:pStyle w:val="Heading1"/>
      </w:pPr>
      <w:r>
        <w:t xml:space="preserve">Nota sobre los datos</w:t>
      </w:r>
    </w:p>
    <w:p>
      <w:pPr>
        <w:pStyle w:val="FirstParagraph"/>
      </w:pPr>
      <w:r>
        <w:t xml:space="preserve">Northstar Living, sus ejecutivos, proveedores, productos y datos operativos son ficticios. El contexto de mercado se basa en datos públicos de EE. UU. La Oficina del Censo de EE. UU. reportó inventarios totales de fabricantes y comercio de aproximadamente $2.736 billones y una razón de inventario a ventas de 1.28 en mayo de 2026. Los datos minoristas del Censo reportaron aproximadamente $30.736 mil millones de inventarios, $19.508 mil millones de ventas mensuales, y una razón de inventario a ventas de 1.58 para tiendas de muebles, artículos para el hogar, electrónica y electrodomésticos en mayo de 2026. El entorno de negocio y las tensiones de planificación se basan en la discusión de planificación de inventario en Warren B. Powell, Bridging Decision Problems, Volume I, Capítulo 2.</w:t>
      </w:r>
    </w:p>
    <w:p>
      <w:pPr>
        <w:pStyle w:val="BodyText"/>
      </w:pPr>
      <w:r>
        <w:t xml:space="preserve">Fuentes: U.S. Census Bureau, Manufacturing and Trade Inventories and Sales, mayo de 2026; U.S. Census Bureau Monthly Retail Trade data, mayo de 2026; Warren B. Powell,</w:t>
      </w:r>
      <w:r>
        <w:t xml:space="preserve"> </w:t>
      </w:r>
      <w:r>
        <w:t xml:space="preserve">“Inventory Planning,”</w:t>
      </w:r>
      <w:r>
        <w:t xml:space="preserve"> </w:t>
      </w:r>
      <w:r>
        <w:t xml:space="preserve">Bridging Decision Problems, Volume I, Capítulo 2. Consultado el 30 de julio de 2026.</w:t>
      </w:r>
    </w:p>
    <w:bookmarkEnd w:id="23"/>
    <w:bookmarkStart w:id="26" w:name="notas-de-chatgpt"/>
    <w:p>
      <w:pPr>
        <w:pStyle w:val="Heading1"/>
      </w:pPr>
      <w:r>
        <w:t xml:space="preserve">Notas de ChatGPT</w:t>
      </w:r>
    </w:p>
    <w:bookmarkStart w:id="24" w:name="prompt"/>
    <w:p>
      <w:pPr>
        <w:pStyle w:val="Heading2"/>
      </w:pPr>
      <w:r>
        <w:t xml:space="preserve">Prompt:</w:t>
      </w:r>
    </w:p>
    <w:p>
      <w:pPr>
        <w:pStyle w:val="FirstParagraph"/>
      </w:pPr>
      <w:r>
        <w:t xml:space="preserve">Escribe un estudio de caso de 3 a 5 páginas basado en el material de la sección sobre planificación de inventario en https://warrenpowell.org/bridging-vol1/chapter-2/#inventoryplanning. Crea un contexto basado en las métricas, decisiones e incertidumbres de la sección, pero sin llamar explícitamente la atención sobre ellas. Motiva tu problema de negocio con datos.</w:t>
      </w:r>
    </w:p>
    <w:bookmarkEnd w:id="24"/>
    <w:bookmarkStart w:id="25" w:name="resumen"/>
    <w:p>
      <w:pPr>
        <w:pStyle w:val="Heading2"/>
      </w:pPr>
      <w:r>
        <w:t xml:space="preserve">Resumen</w:t>
      </w:r>
    </w:p>
    <w:p>
      <w:pPr>
        <w:pStyle w:val="FirstParagraph"/>
      </w:pPr>
      <w:r>
        <w:t xml:space="preserve">El caso traduce el material de planificación de inventario a una empresa ficticia de electrodomésticos compactos que se prepara para la temporada navideña. Incorpora:</w:t>
      </w:r>
    </w:p>
    <w:p>
      <w:pPr>
        <w:numPr>
          <w:ilvl w:val="0"/>
          <w:numId w:val="1005"/>
        </w:numPr>
      </w:pPr>
      <w:r>
        <w:t xml:space="preserve">Tiempos de reabastecimiento internacionales prolongados</w:t>
      </w:r>
    </w:p>
    <w:p>
      <w:pPr>
        <w:numPr>
          <w:ilvl w:val="0"/>
          <w:numId w:val="1005"/>
        </w:numPr>
      </w:pPr>
      <w:r>
        <w:t xml:space="preserve">Demanda de producto incierta y errores de pronóstico</w:t>
      </w:r>
    </w:p>
    <w:p>
      <w:pPr>
        <w:numPr>
          <w:ilvl w:val="0"/>
          <w:numId w:val="1005"/>
        </w:numPr>
      </w:pPr>
      <w:r>
        <w:t xml:space="preserve">Consecuencias de escaseces y descuentos por exceso de inventario</w:t>
      </w:r>
    </w:p>
    <w:p>
      <w:pPr>
        <w:numPr>
          <w:ilvl w:val="0"/>
          <w:numId w:val="1005"/>
        </w:numPr>
      </w:pPr>
      <w:r>
        <w:t xml:space="preserve">Selección y diversificación de proveedores</w:t>
      </w:r>
    </w:p>
    <w:p>
      <w:pPr>
        <w:numPr>
          <w:ilvl w:val="0"/>
          <w:numId w:val="1005"/>
        </w:numPr>
      </w:pPr>
      <w:r>
        <w:t xml:space="preserve">Opciones de transporte marítimo, ferroviario, por camión y flete aéreo de emergencia</w:t>
      </w:r>
    </w:p>
    <w:p>
      <w:pPr>
        <w:numPr>
          <w:ilvl w:val="0"/>
          <w:numId w:val="1005"/>
        </w:numPr>
      </w:pPr>
      <w:r>
        <w:t xml:space="preserve">Precios, publicidad, promociones y asignación de canales</w:t>
      </w:r>
    </w:p>
    <w:p>
      <w:pPr>
        <w:numPr>
          <w:ilvl w:val="0"/>
          <w:numId w:val="1005"/>
        </w:numPr>
      </w:pPr>
      <w:r>
        <w:t xml:space="preserve">Discrepancias en los registros de inventario y visibilidad de envíos</w:t>
      </w:r>
    </w:p>
    <w:p>
      <w:pPr>
        <w:numPr>
          <w:ilvl w:val="0"/>
          <w:numId w:val="1005"/>
        </w:numPr>
      </w:pPr>
      <w:r>
        <w:t xml:space="preserve">Restricciones de capital de trabajo y capacidad de almacén</w:t>
      </w:r>
    </w:p>
    <w:p>
      <w:pPr>
        <w:numPr>
          <w:ilvl w:val="0"/>
          <w:numId w:val="1005"/>
        </w:numPr>
      </w:pPr>
      <w:r>
        <w:t xml:space="preserve">Interrupciones poco frecuentes, incluyendo cierres portuarios, cambios arancelarios, ciberataques y cierres de proveedores</w:t>
      </w:r>
    </w:p>
    <w:p>
      <w:pPr>
        <w:numPr>
          <w:ilvl w:val="0"/>
          <w:numId w:val="1005"/>
        </w:numPr>
      </w:pPr>
      <w:r>
        <w:t xml:space="preserve">Anexos cuantitativos y preguntas de discusión sin resolver</w:t>
      </w:r>
    </w:p>
    <w:p>
      <w:pPr>
        <w:pStyle w:val="FirstParagraph"/>
      </w:pPr>
      <w:r>
        <w:t xml:space="preserve">El caso se motiva con datos del Censo de mayo de 2026 que muestran aproximadamente</w:t>
      </w:r>
      <w:r>
        <w:t xml:space="preserve"> </w:t>
      </w:r>
      <w:r>
        <w:rPr>
          <w:b/>
          <w:bCs/>
        </w:rPr>
        <w:t xml:space="preserve">$2.74 billones</w:t>
      </w:r>
      <w:r>
        <w:t xml:space="preserve"> </w:t>
      </w:r>
      <w:r>
        <w:t xml:space="preserve">en inventarios totales de negocios en EE. UU. y una</w:t>
      </w:r>
      <w:r>
        <w:t xml:space="preserve"> </w:t>
      </w:r>
      <w:r>
        <w:rPr>
          <w:b/>
          <w:bCs/>
        </w:rPr>
        <w:t xml:space="preserve">razón de inventario a ventas de 1.58</w:t>
      </w:r>
      <w:r>
        <w:t xml:space="preserve"> </w:t>
      </w:r>
      <w:r>
        <w:t xml:space="preserve">para minoristas de muebles, artículos para el hogar, electrónica y electrodomésticos.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2026-09-11T15:24:46Z</dcterms:created>
  <dcterms:modified xsi:type="dcterms:W3CDTF">2026-09-11T15:24:46Z</dcterms:modified>
</cp:coreProperties>
</file>

<file path=docProps/custom.xml><?xml version="1.0" encoding="utf-8"?>
<Properties xmlns="http://schemas.openxmlformats.org/officeDocument/2006/custom-properties" xmlns:vt="http://schemas.openxmlformats.org/officeDocument/2006/docPropsVTypes"/>
</file>