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PRAIRIELINE FREIGHT</w:t>
      </w:r>
    </w:p>
    <w:p>
      <w:pPr>
        <w:pStyle w:val="BodyText"/>
      </w:pPr>
      <w:r>
        <w:t xml:space="preserve">El despacho del viernes por la tarde</w:t>
      </w:r>
    </w:p>
    <w:p>
      <w:pPr>
        <w:pStyle w:val="BodyText"/>
      </w:pPr>
      <w:r>
        <w:t xml:space="preserve">Un caso de gestión de flotas de camiones de carga completa sobre selección de carga, asignación de conductores, tiempo en casa y equilibrio de red</w:t>
      </w:r>
    </w:p>
    <w:p>
      <w:pPr>
        <w:pStyle w:val="BodyText"/>
      </w:pPr>
      <w:r>
        <w:t xml:space="preserve">Este caso es ficticio y está destinado a la discusión instructiva. Los nombres, eventos, clientes y cifras internas son inventados, aunque el entorno de la industria se basa en datos públicos.</w:t>
      </w:r>
    </w:p>
    <w:bookmarkStart w:id="9" w:name="una-flota-en-los-lugares-equivocados"/>
    <w:p>
      <w:pPr>
        <w:pStyle w:val="Heading1"/>
      </w:pPr>
      <w:r>
        <w:t xml:space="preserve">Una flota en los lugares equivocados</w:t>
      </w:r>
    </w:p>
    <w:p>
      <w:pPr>
        <w:pStyle w:val="FirstParagraph"/>
      </w:pPr>
      <w:r>
        <w:t xml:space="preserve">A las 2:40 p.m. del viernes 18 de septiembre de 2026, Maya Chen, vicepresidenta de operaciones de PrairieLine Freight, estudiaba un mapa de 1,184 tractocamiones dispersos por los dos tercios orientales de los Estados Unidos. Para la medianoche, 167 conductores habrían completado sus entregas. Otros 94 estarían disponibles el sábado por la mañana. El equipo de despacho tenía 312 cargas comprometidas para cubrir hasta el lunes, 138 cargas nuevas ofrecidas a la espera de respuesta, y una lista creciente de conductores que esperaban llegar a casa antes de que terminara el fin de semana.</w:t>
      </w:r>
    </w:p>
    <w:p>
      <w:pPr>
        <w:pStyle w:val="BodyText"/>
      </w:pPr>
      <w:r>
        <w:t xml:space="preserve">El problema no era la escasez de carga. Era que la carga, los conductores, los horarios de las citas y los precios no coincidían. Cuarenta y siete conductores disponibles estaban concentrados alrededor de Atlanta y el norte de Nueva Jersey, donde las tarifas de salida eran débiles. Mientras tanto, varios clientes de larga trayectoria habían ofrecido cargas atractivas desde el centro de Ohio, el este de Iowa y el oeste de Tennessee. Mover conductores en vacío hacia esos mercados consumiría combustible, horas de conductor y capacidad de equipo antes de recorrer una sola milla que generara ingresos.</w:t>
      </w:r>
    </w:p>
    <w:p>
      <w:pPr>
        <w:pStyle w:val="BodyText"/>
      </w:pPr>
      <w:r>
        <w:t xml:space="preserve">Lo que estaba en juego era considerable. Los camiones transportaron 11.27 mil millones de toneladas de carga en EE. UU. en 2024 y generaron alrededor de $906 mil millones en ingresos de la industria. El transporte por camión también sostuvo 8.4 millones de empleos relacionados con la industria, incluidos 3.58 millones de conductores profesionales. Sin embargo, el mercado había sido desigual: los volúmenes de carga se habían suavizado después de la pandemia, los precios contractuales estaban bajo presión, y los transportistas aún debían preservar el servicio para clientes estratégicos mientras reaccionaban a oportunidades de corto plazo.</w:t>
      </w:r>
    </w:p>
    <w:tbl>
      <w:tblPr>
        <w:tblStyle w:val="Table"/>
        <w:tblW w:type="auto" w:w="0"/>
        <w:tblLook w:firstRow="0" w:lastRow="0" w:firstColumn="0" w:lastColumn="0" w:noHBand="0" w:noVBand="0" w:val="0000"/>
      </w:tblPr>
      <w:tblGrid>
        <w:gridCol w:w="7920"/>
      </w:tblGrid>
      <w:tr>
        <w:tc>
          <w:tcPr/>
          <w:p>
            <w:pPr>
              <w:pStyle w:val="Compact"/>
            </w:pPr>
            <w:r>
              <w:t xml:space="preserve">PrairieLine podía mejorar el margen de este fin de semana enviando conductores hacia las cargas mejor pagadas. También podía dañar las relaciones con los clientes, dejar a los conductores varados lejos de casa, o dejar la red del lunes mal posicionada.</w:t>
            </w:r>
          </w:p>
        </w:tc>
      </w:tr>
    </w:tbl>
    <w:p>
      <w:r>
        <w:pict>
          <v:rect style="width:0;height:1.5pt" o:hralign="center" o:hrstd="t" o:hr="t"/>
        </w:pict>
      </w:r>
    </w:p>
    <w:bookmarkEnd w:id="9"/>
    <w:bookmarkStart w:id="11" w:name="prairieline-freight"/>
    <w:p>
      <w:pPr>
        <w:pStyle w:val="Heading1"/>
      </w:pPr>
      <w:r>
        <w:t xml:space="preserve">PrairieLine Freight</w:t>
      </w:r>
    </w:p>
    <w:p>
      <w:pPr>
        <w:pStyle w:val="FirstParagraph"/>
      </w:pPr>
      <w:r>
        <w:t xml:space="preserve">PrairieLine era un transportista de carga completa de propiedad privada con sede en Indianapolis. Operaba 1,250 tractocamiones y 3,800 remolques, con terminales en Indiana, Georgia, Pensilvania, Texas y Missouri. Alrededor del 70 por ciento de su carga se movía bajo contratos anuales con fabricantes, minoristas, empresas de alimentos y firmas de productos para la construcción. El resto provenía de solicitudes de clientes a corto plazo, corredores y tableros públicos de carga.</w:t>
      </w:r>
    </w:p>
    <w:p>
      <w:pPr>
        <w:pStyle w:val="BodyText"/>
      </w:pPr>
      <w:r>
        <w:t xml:space="preserve">La empresa empleaba conductores regionales, dedicados y de larga distancia. Los conductores regionales generalmente esperaban estar en casa cada fin de semana. Los conductores dedicados atendían clientes definidos y seguían rutas relativamente predecibles. Los conductores de larga distancia aceptaban asignaciones geográficas más amplias, pero aún tenían fechas de regreso a casa prometidas. La empresa había crecido en parte anunciando un tiempo en casa confiable y dando a los conductores cierta capacidad para rechazar asignaciones que entraran en conflicto con necesidades familiares, preocupaciones de seguridad o regiones operativas preferidas.</w:t>
      </w:r>
    </w:p>
    <w:p>
      <w:pPr>
        <w:pStyle w:val="BodyText"/>
      </w:pPr>
      <w:r>
        <w:t xml:space="preserve">Reclutar reemplazos era costoso. La Oficina de Estadísticas Laborales de EE. UU. reportó más de dos millones de conductores de camiones pesados y de tractocamión en 2025, con un salario anual medio cercano a los $59,700. Proyectó aproximadamente 237,600 vacantes por año durante la próxima década, en gran parte porque los trabajadores se jubilarían o dejarían la ocupación. PrairieLine estimó que reclutar, incorporar y llevar a un nuevo conductor a la productividad normal costaba entre $9,000 y $14,000, antes de considerar los ingresos perdidos mientras un tractocamión permanecía inactivo.</w:t>
      </w:r>
    </w:p>
    <w:bookmarkStart w:id="10" w:name="X137d41b5286e22cfa54ec7244e94ac0f3510ac0"/>
    <w:p>
      <w:pPr>
        <w:pStyle w:val="Heading2"/>
      </w:pPr>
      <w:r>
        <w:t xml:space="preserve">Exhibición 1. Perfil operativo de PrairieLine</w:t>
      </w:r>
    </w:p>
    <w:tbl>
      <w:tblPr>
        <w:tblStyle w:val="Table"/>
        <w:tblW w:type="pct" w:w="4861"/>
        <w:tblLayout w:type="fixed"/>
        <w:tblLook w:firstRow="1" w:lastRow="0" w:firstColumn="0" w:lastColumn="0" w:noHBand="0" w:noVBand="0" w:val="0020"/>
      </w:tblPr>
      <w:tblGrid>
        <w:gridCol w:w="3960"/>
        <w:gridCol w:w="1210"/>
        <w:gridCol w:w="1210"/>
        <w:gridCol w:w="1320"/>
      </w:tblGrid>
      <w:tr>
        <w:trPr>
          <w:tblHeader w:val="on"/>
        </w:trPr>
        <w:tc>
          <w:tcPr/>
          <w:p>
            <w:pPr>
              <w:pStyle w:val="Compact"/>
              <w:jc w:val="left"/>
            </w:pPr>
            <w:r>
              <w:t xml:space="preserve">Medida</w:t>
            </w:r>
          </w:p>
        </w:tc>
        <w:tc>
          <w:tcPr/>
          <w:p>
            <w:pPr>
              <w:pStyle w:val="Compact"/>
              <w:jc w:val="center"/>
            </w:pPr>
            <w:r>
              <w:t xml:space="preserve">2024</w:t>
            </w:r>
          </w:p>
        </w:tc>
        <w:tc>
          <w:tcPr/>
          <w:p>
            <w:pPr>
              <w:pStyle w:val="Compact"/>
              <w:jc w:val="center"/>
            </w:pPr>
            <w:r>
              <w:t xml:space="preserve">2025</w:t>
            </w:r>
          </w:p>
        </w:tc>
        <w:tc>
          <w:tcPr/>
          <w:p>
            <w:pPr>
              <w:pStyle w:val="Compact"/>
            </w:pPr>
            <w:r>
              <w:t xml:space="preserve">2026 (año en curso)</w:t>
            </w:r>
          </w:p>
        </w:tc>
      </w:tr>
      <w:tr>
        <w:tc>
          <w:tcPr/>
          <w:p>
            <w:pPr>
              <w:pStyle w:val="Compact"/>
              <w:jc w:val="left"/>
            </w:pPr>
            <w:r>
              <w:t xml:space="preserve">Promedio de tractocamiones con condu</w:t>
            </w:r>
          </w:p>
        </w:tc>
        <w:tc>
          <w:tcPr/>
          <w:p>
            <w:pPr>
              <w:pStyle w:val="Compact"/>
              <w:jc w:val="center"/>
            </w:pPr>
            <w:r>
              <w:t xml:space="preserve">ctor asigna</w:t>
            </w:r>
          </w:p>
        </w:tc>
        <w:tc>
          <w:tcPr/>
          <w:p>
            <w:pPr>
              <w:pStyle w:val="Compact"/>
              <w:jc w:val="center"/>
            </w:pPr>
            <w:r>
              <w:t xml:space="preserve">do</w:t>
            </w:r>
          </w:p>
        </w:tc>
        <w:tc>
          <w:tcPr/>
          <w:p>
            <w:pPr>
              <w:pStyle w:val="Compact"/>
            </w:pPr>
            <w:r>
              <w:t xml:space="preserve">1,108 1,176 1,184</w:t>
            </w:r>
          </w:p>
        </w:tc>
      </w:tr>
      <w:tr>
        <w:tc>
          <w:tcPr/>
          <w:p>
            <w:pPr>
              <w:pStyle w:val="Compact"/>
              <w:jc w:val="left"/>
            </w:pPr>
            <w:r>
              <w:t xml:space="preserve">Ingreso por milla cargada</w:t>
            </w:r>
          </w:p>
        </w:tc>
        <w:tc>
          <w:tcPr/>
          <w:p>
            <w:pPr>
              <w:pStyle w:val="Compact"/>
              <w:jc w:val="center"/>
            </w:pPr>
            <w:r>
              <w:t xml:space="preserve">$2.49</w:t>
            </w:r>
          </w:p>
        </w:tc>
        <w:tc>
          <w:tcPr/>
          <w:p>
            <w:pPr>
              <w:pStyle w:val="Compact"/>
              <w:jc w:val="center"/>
            </w:pPr>
            <w:r>
              <w:t xml:space="preserve">$2.42</w:t>
            </w:r>
          </w:p>
        </w:tc>
        <w:tc>
          <w:tcPr/>
          <w:p>
            <w:pPr>
              <w:pStyle w:val="Compact"/>
            </w:pPr>
            <w:r>
              <w:t xml:space="preserve">$2.46</w:t>
            </w:r>
          </w:p>
        </w:tc>
      </w:tr>
      <w:tr>
        <w:tc>
          <w:tcPr/>
          <w:p>
            <w:pPr>
              <w:pStyle w:val="Compact"/>
              <w:jc w:val="left"/>
            </w:pPr>
            <w:r>
              <w:t xml:space="preserve">Costo operativo por milla total</w:t>
            </w:r>
          </w:p>
        </w:tc>
        <w:tc>
          <w:tcPr/>
          <w:p>
            <w:pPr>
              <w:pStyle w:val="Compact"/>
              <w:jc w:val="center"/>
            </w:pPr>
            <w:r>
              <w:t xml:space="preserve">$2.07</w:t>
            </w:r>
          </w:p>
        </w:tc>
        <w:tc>
          <w:tcPr/>
          <w:p>
            <w:pPr>
              <w:pStyle w:val="Compact"/>
              <w:jc w:val="center"/>
            </w:pPr>
            <w:r>
              <w:t xml:space="preserve">$2.10</w:t>
            </w:r>
          </w:p>
        </w:tc>
        <w:tc>
          <w:tcPr/>
          <w:p>
            <w:pPr>
              <w:pStyle w:val="Compact"/>
            </w:pPr>
            <w:r>
              <w:t xml:space="preserve">$2.16</w:t>
            </w:r>
          </w:p>
        </w:tc>
      </w:tr>
      <w:tr>
        <w:tc>
          <w:tcPr/>
          <w:p>
            <w:pPr>
              <w:pStyle w:val="Compact"/>
              <w:jc w:val="left"/>
            </w:pPr>
            <w:r>
              <w:t xml:space="preserve">Millas vacías como % de millas total</w:t>
            </w:r>
          </w:p>
        </w:tc>
        <w:tc>
          <w:tcPr/>
          <w:p>
            <w:pPr>
              <w:pStyle w:val="Compact"/>
              <w:jc w:val="center"/>
            </w:pPr>
            <w:r>
              <w:t xml:space="preserve">es 12</w:t>
            </w:r>
          </w:p>
        </w:tc>
        <w:tc>
          <w:tcPr/>
          <w:p>
            <w:pPr>
              <w:pStyle w:val="Compact"/>
              <w:jc w:val="center"/>
            </w:pPr>
            <w:r>
              <w:t xml:space="preserve">.8% 13</w:t>
            </w:r>
          </w:p>
        </w:tc>
        <w:tc>
          <w:tcPr/>
          <w:p>
            <w:pPr>
              <w:pStyle w:val="Compact"/>
            </w:pPr>
            <w:r>
              <w:t xml:space="preserve">.6% 14.4%</w:t>
            </w:r>
          </w:p>
        </w:tc>
      </w:tr>
      <w:tr>
        <w:tc>
          <w:tcPr/>
          <w:p>
            <w:pPr>
              <w:pStyle w:val="Compact"/>
              <w:jc w:val="left"/>
            </w:pPr>
            <w:r>
              <w:t xml:space="preserve">Promedio de millas por conductor por</w:t>
            </w:r>
          </w:p>
        </w:tc>
        <w:tc>
          <w:tcPr/>
          <w:p>
            <w:pPr>
              <w:pStyle w:val="Compact"/>
              <w:jc w:val="center"/>
            </w:pPr>
            <w:r>
              <w:t xml:space="preserve">semana</w:t>
            </w:r>
          </w:p>
        </w:tc>
        <w:tc>
          <w:tcPr/>
          <w:p>
            <w:pPr>
              <w:pStyle w:val="Compact"/>
              <w:jc w:val="center"/>
            </w:pPr>
            <w:r>
              <w:t xml:space="preserve">2,216</w:t>
            </w:r>
          </w:p>
        </w:tc>
        <w:tc>
          <w:tcPr/>
          <w:p>
            <w:pPr>
              <w:pStyle w:val="Compact"/>
            </w:pPr>
            <w:r>
              <w:t xml:space="preserve">2,162 2,118</w:t>
            </w:r>
          </w:p>
        </w:tc>
      </w:tr>
      <w:tr>
        <w:tc>
          <w:tcPr/>
          <w:p>
            <w:pPr>
              <w:pStyle w:val="Compact"/>
              <w:jc w:val="left"/>
            </w:pPr>
            <w:r>
              <w:t xml:space="preserve">Recogida y entrega a tiempo</w:t>
            </w:r>
          </w:p>
        </w:tc>
        <w:tc>
          <w:tcPr/>
          <w:p>
            <w:pPr>
              <w:pStyle w:val="Compact"/>
              <w:jc w:val="center"/>
            </w:pPr>
            <w:r>
              <w:t xml:space="preserve">96.1%</w:t>
            </w:r>
          </w:p>
        </w:tc>
        <w:tc>
          <w:tcPr/>
          <w:p>
            <w:pPr>
              <w:pStyle w:val="Compact"/>
              <w:jc w:val="center"/>
            </w:pPr>
            <w:r>
              <w:t xml:space="preserve">95.4%</w:t>
            </w:r>
          </w:p>
        </w:tc>
        <w:tc>
          <w:tcPr/>
          <w:p>
            <w:pPr>
              <w:pStyle w:val="Compact"/>
            </w:pPr>
            <w:r>
              <w:t xml:space="preserve">94.7%</w:t>
            </w:r>
          </w:p>
        </w:tc>
      </w:tr>
      <w:tr>
        <w:tc>
          <w:tcPr/>
          <w:p>
            <w:pPr>
              <w:pStyle w:val="Compact"/>
              <w:jc w:val="left"/>
            </w:pPr>
            <w:r>
              <w:t xml:space="preserve">Conductores en casa según la fecha p</w:t>
            </w:r>
          </w:p>
        </w:tc>
        <w:tc>
          <w:tcPr/>
          <w:p>
            <w:pPr>
              <w:pStyle w:val="Compact"/>
              <w:jc w:val="center"/>
            </w:pPr>
            <w:r>
              <w:t xml:space="preserve">rometida</w:t>
            </w:r>
          </w:p>
        </w:tc>
        <w:tc>
          <w:tcPr/>
          <w:p>
            <w:pPr>
              <w:pStyle w:val="Compact"/>
              <w:jc w:val="center"/>
            </w:pPr>
            <w:r>
              <w:t xml:space="preserve">9</w:t>
            </w:r>
          </w:p>
        </w:tc>
        <w:tc>
          <w:tcPr/>
          <w:p>
            <w:pPr>
              <w:pStyle w:val="Compact"/>
            </w:pPr>
            <w:r>
              <w:t xml:space="preserve">1.8% 89.6% 87.9%</w:t>
            </w:r>
          </w:p>
        </w:tc>
      </w:tr>
      <w:tr>
        <w:tc>
          <w:tcPr/>
          <w:p>
            <w:pPr>
              <w:pStyle w:val="Compact"/>
              <w:jc w:val="left"/>
            </w:pPr>
            <w:r>
              <w:t xml:space="preserve">Rotación anualizada de conductores</w:t>
            </w:r>
          </w:p>
        </w:tc>
        <w:tc>
          <w:tcPr/>
          <w:p>
            <w:pPr>
              <w:pStyle w:val="Compact"/>
            </w:pPr>
          </w:p>
        </w:tc>
        <w:tc>
          <w:tcPr/>
          <w:p>
            <w:pPr>
              <w:pStyle w:val="Compact"/>
              <w:jc w:val="center"/>
            </w:pPr>
            <w:r>
              <w:t xml:space="preserve">63%</w:t>
            </w:r>
          </w:p>
        </w:tc>
        <w:tc>
          <w:tcPr/>
          <w:p>
            <w:pPr>
              <w:pStyle w:val="Compact"/>
            </w:pPr>
            <w:r>
              <w:t xml:space="preserve">69% 74%</w:t>
            </w:r>
          </w:p>
        </w:tc>
      </w:tr>
    </w:tbl>
    <w:p>
      <w:pPr>
        <w:pStyle w:val="BodyText"/>
      </w:pPr>
      <w:r>
        <w:t xml:space="preserve">Fuente: estimaciones internas de PrairieLine; todas las cifras son ficticias.</w:t>
      </w:r>
    </w:p>
    <w:bookmarkEnd w:id="10"/>
    <w:bookmarkEnd w:id="11"/>
    <w:bookmarkStart w:id="13" w:name="la-geografía-de-la-ganancia"/>
    <w:p>
      <w:pPr>
        <w:pStyle w:val="Heading1"/>
      </w:pPr>
      <w:r>
        <w:t xml:space="preserve">La geografía de la ganancia</w:t>
      </w:r>
    </w:p>
    <w:p>
      <w:pPr>
        <w:pStyle w:val="FirstParagraph"/>
      </w:pPr>
      <w:r>
        <w:t xml:space="preserve">La carga completa rara vez se movía en pares equilibrados. PrairieLine obtenía tarifas sólidas transportando electrodomésticos y bienes industriales desde el Medio Oeste hacia el Noreste y el Sureste. El viaje de regreso a menudo era menos atractivo. Los mercados de consumo alrededor de Nueva York, Filadelfia, Atlanta y Florida recibían grandes volúmenes de carga, pero producían menos cargas de salida bien pagadas. Un conductor que entregaba en una de estas regiones podía esperar, aceptar una carga de bajo precio, o viajar vacío hacia un mercado más fuerte.</w:t>
      </w:r>
    </w:p>
    <w:p>
      <w:pPr>
        <w:pStyle w:val="BodyText"/>
      </w:pPr>
      <w:r>
        <w:t xml:space="preserve">Los despachadores, por lo tanto, evaluaban más que el margen de una sola carga. Un movimiento rentable hacia un destino débil podía reducir los ingresos del conductor durante varios días. Por el contrario, una carga de bajo pago podía ser útil si llevaba a un conductor hacia un mercado fuerte o hacia su casa. El valor de una carga dependía de lo que sucedía después de que se entregaba, pero la mayor parte de esa carga futura aún no se había ofrecido.</w:t>
      </w:r>
    </w:p>
    <w:p>
      <w:pPr>
        <w:pStyle w:val="BodyText"/>
      </w:pPr>
      <w:r>
        <w:t xml:space="preserve">El combustible amplificaba las consecuencias del movimiento en vacío. El precio promedio minorista en EE. UU. del diésel para carretera fue de aproximadamente $3.95 por galón en 2025, después de promediar $5.21 en 2022 y $4.58 en 2023. A 6.8 millas por galón, cada 100 millas vacías costaban a PrairieLine aproximadamente $58 en combustible al promedio de 2025, antes del pago al conductor, mantenimiento, llantas, seguros y el costo de oportunidad de consumir horas legales de conducción.</w:t>
      </w:r>
    </w:p>
    <w:bookmarkStart w:id="12" w:name="X41f7d67f107a7b72fc1c751977fa0d20e4eaf2a"/>
    <w:p>
      <w:pPr>
        <w:pStyle w:val="Heading2"/>
      </w:pPr>
      <w:r>
        <w:t xml:space="preserve">Exhibición 2. Carga seleccionada disponible el viernes por la tarde</w:t>
      </w:r>
    </w:p>
    <w:tbl>
      <w:tblPr>
        <w:tblStyle w:val="Table"/>
        <w:tblW w:type="pct" w:w="4910"/>
        <w:tblLayout w:type="fixed"/>
        <w:tblLook w:firstRow="1" w:lastRow="0" w:firstColumn="0" w:lastColumn="0" w:noHBand="0" w:noVBand="0" w:val="0020"/>
      </w:tblPr>
      <w:tblGrid>
        <w:gridCol w:w="499"/>
        <w:gridCol w:w="2497"/>
        <w:gridCol w:w="713"/>
        <w:gridCol w:w="1070"/>
        <w:gridCol w:w="1712"/>
        <w:gridCol w:w="1284"/>
      </w:tblGrid>
      <w:tr>
        <w:trPr>
          <w:tblHeader w:val="on"/>
        </w:trPr>
        <w:tc>
          <w:tcPr/>
          <w:p>
            <w:pPr>
              <w:pStyle w:val="Compact"/>
              <w:jc w:val="left"/>
            </w:pPr>
            <w:r>
              <w:t xml:space="preserve">Carga</w:t>
            </w:r>
          </w:p>
        </w:tc>
        <w:tc>
          <w:tcPr/>
          <w:p>
            <w:pPr>
              <w:pStyle w:val="Compact"/>
              <w:jc w:val="right"/>
            </w:pPr>
            <w:r>
              <w:t xml:space="preserve">Origen → Destino In</w:t>
            </w:r>
          </w:p>
        </w:tc>
        <w:tc>
          <w:tcPr/>
          <w:p>
            <w:pPr>
              <w:pStyle w:val="Compact"/>
            </w:pPr>
            <w:r>
              <w:t xml:space="preserve">greso Mi</w:t>
            </w:r>
          </w:p>
        </w:tc>
        <w:tc>
          <w:tcPr/>
          <w:p>
            <w:pPr>
              <w:pStyle w:val="Compact"/>
              <w:jc w:val="left"/>
            </w:pPr>
            <w:r>
              <w:t xml:space="preserve">llas cargadas</w:t>
            </w:r>
          </w:p>
        </w:tc>
        <w:tc>
          <w:tcPr/>
          <w:p>
            <w:pPr>
              <w:pStyle w:val="Compact"/>
              <w:jc w:val="right"/>
            </w:pPr>
            <w:r>
              <w:t xml:space="preserve">Millas vacías hasta la</w:t>
            </w:r>
          </w:p>
        </w:tc>
        <w:tc>
          <w:tcPr/>
          <w:p>
            <w:pPr>
              <w:pStyle w:val="Compact"/>
            </w:pPr>
            <w:r>
              <w:t xml:space="preserve">recogida Fecha límite de recogida</w:t>
            </w:r>
          </w:p>
        </w:tc>
      </w:tr>
      <w:tr>
        <w:tc>
          <w:tcPr/>
          <w:p>
            <w:pPr>
              <w:pStyle w:val="Compact"/>
              <w:jc w:val="left"/>
            </w:pPr>
            <w:r>
              <w:t xml:space="preserve">A</w:t>
            </w:r>
          </w:p>
        </w:tc>
        <w:tc>
          <w:tcPr/>
          <w:p>
            <w:pPr>
              <w:pStyle w:val="Compact"/>
              <w:jc w:val="right"/>
            </w:pPr>
            <w:r>
              <w:t xml:space="preserve">Columbus, OH → Newark, NJ</w:t>
            </w:r>
          </w:p>
        </w:tc>
        <w:tc>
          <w:tcPr/>
          <w:p>
            <w:pPr>
              <w:pStyle w:val="Compact"/>
            </w:pPr>
            <w:r>
              <w:t xml:space="preserve">$2,950</w:t>
            </w:r>
          </w:p>
        </w:tc>
        <w:tc>
          <w:tcPr/>
          <w:p>
            <w:pPr>
              <w:pStyle w:val="Compact"/>
              <w:jc w:val="left"/>
            </w:pPr>
            <w:r>
              <w:t xml:space="preserve">515</w:t>
            </w:r>
          </w:p>
        </w:tc>
        <w:tc>
          <w:tcPr/>
          <w:p>
            <w:pPr>
              <w:pStyle w:val="Compact"/>
              <w:jc w:val="right"/>
            </w:pPr>
            <w:r>
              <w:t xml:space="preserve">42</w:t>
            </w:r>
          </w:p>
        </w:tc>
        <w:tc>
          <w:tcPr/>
          <w:p>
            <w:pPr>
              <w:pStyle w:val="Compact"/>
            </w:pPr>
            <w:r>
              <w:t xml:space="preserve">Vie. 8:00 p.m.</w:t>
            </w:r>
          </w:p>
        </w:tc>
      </w:tr>
      <w:tr>
        <w:tc>
          <w:tcPr/>
          <w:p>
            <w:pPr>
              <w:pStyle w:val="Compact"/>
              <w:jc w:val="left"/>
            </w:pPr>
            <w:r>
              <w:t xml:space="preserve">B</w:t>
            </w:r>
          </w:p>
        </w:tc>
        <w:tc>
          <w:tcPr/>
          <w:p>
            <w:pPr>
              <w:pStyle w:val="Compact"/>
              <w:jc w:val="right"/>
            </w:pPr>
            <w:r>
              <w:t xml:space="preserve">Atlanta, GA → Jacksonville, FL</w:t>
            </w:r>
          </w:p>
        </w:tc>
        <w:tc>
          <w:tcPr/>
          <w:p>
            <w:pPr>
              <w:pStyle w:val="Compact"/>
            </w:pPr>
            <w:r>
              <w:t xml:space="preserve">$1,080</w:t>
            </w:r>
          </w:p>
        </w:tc>
        <w:tc>
          <w:tcPr/>
          <w:p>
            <w:pPr>
              <w:pStyle w:val="Compact"/>
              <w:jc w:val="left"/>
            </w:pPr>
            <w:r>
              <w:t xml:space="preserve">346</w:t>
            </w:r>
          </w:p>
        </w:tc>
        <w:tc>
          <w:tcPr/>
          <w:p>
            <w:pPr>
              <w:pStyle w:val="Compact"/>
              <w:jc w:val="right"/>
            </w:pPr>
            <w:r>
              <w:t xml:space="preserve">18</w:t>
            </w:r>
          </w:p>
        </w:tc>
        <w:tc>
          <w:tcPr/>
          <w:p>
            <w:pPr>
              <w:pStyle w:val="Compact"/>
            </w:pPr>
            <w:r>
              <w:t xml:space="preserve">Sáb. 7:00 a.m.</w:t>
            </w:r>
          </w:p>
        </w:tc>
      </w:tr>
      <w:tr>
        <w:tc>
          <w:tcPr/>
          <w:p>
            <w:pPr>
              <w:pStyle w:val="Compact"/>
              <w:jc w:val="left"/>
            </w:pPr>
            <w:r>
              <w:t xml:space="preserve">C</w:t>
            </w:r>
          </w:p>
        </w:tc>
        <w:tc>
          <w:tcPr/>
          <w:p>
            <w:pPr>
              <w:pStyle w:val="Compact"/>
              <w:jc w:val="right"/>
            </w:pPr>
            <w:r>
              <w:t xml:space="preserve">Cedar Rapids, IA → Nashville, TN</w:t>
            </w:r>
          </w:p>
        </w:tc>
        <w:tc>
          <w:tcPr/>
          <w:p>
            <w:pPr>
              <w:pStyle w:val="Compact"/>
            </w:pPr>
            <w:r>
              <w:t xml:space="preserve">$2,720</w:t>
            </w:r>
          </w:p>
        </w:tc>
        <w:tc>
          <w:tcPr/>
          <w:p>
            <w:pPr>
              <w:pStyle w:val="Compact"/>
              <w:jc w:val="left"/>
            </w:pPr>
            <w:r>
              <w:t xml:space="preserve">620</w:t>
            </w:r>
          </w:p>
        </w:tc>
        <w:tc>
          <w:tcPr/>
          <w:p>
            <w:pPr>
              <w:pStyle w:val="Compact"/>
              <w:jc w:val="right"/>
            </w:pPr>
            <w:r>
              <w:t xml:space="preserve">96</w:t>
            </w:r>
          </w:p>
        </w:tc>
        <w:tc>
          <w:tcPr/>
          <w:p>
            <w:pPr>
              <w:pStyle w:val="Compact"/>
            </w:pPr>
            <w:r>
              <w:t xml:space="preserve">Sáb. mediodía</w:t>
            </w:r>
          </w:p>
        </w:tc>
      </w:tr>
      <w:tr>
        <w:tc>
          <w:tcPr/>
          <w:p>
            <w:pPr>
              <w:pStyle w:val="Compact"/>
              <w:jc w:val="left"/>
            </w:pPr>
            <w:r>
              <w:t xml:space="preserve">D</w:t>
            </w:r>
          </w:p>
        </w:tc>
        <w:tc>
          <w:tcPr/>
          <w:p>
            <w:pPr>
              <w:pStyle w:val="Compact"/>
              <w:jc w:val="right"/>
            </w:pPr>
            <w:r>
              <w:t xml:space="preserve">Allentown, PA → Chicago, IL</w:t>
            </w:r>
          </w:p>
        </w:tc>
        <w:tc>
          <w:tcPr/>
          <w:p>
            <w:pPr>
              <w:pStyle w:val="Compact"/>
            </w:pPr>
            <w:r>
              <w:t xml:space="preserve">$2,410</w:t>
            </w:r>
          </w:p>
        </w:tc>
        <w:tc>
          <w:tcPr/>
          <w:p>
            <w:pPr>
              <w:pStyle w:val="Compact"/>
              <w:jc w:val="left"/>
            </w:pPr>
            <w:r>
              <w:t xml:space="preserve">735</w:t>
            </w:r>
          </w:p>
        </w:tc>
        <w:tc>
          <w:tcPr/>
          <w:p>
            <w:pPr>
              <w:pStyle w:val="Compact"/>
              <w:jc w:val="right"/>
            </w:pPr>
            <w:r>
              <w:t xml:space="preserve">21</w:t>
            </w:r>
          </w:p>
        </w:tc>
        <w:tc>
          <w:tcPr/>
          <w:p>
            <w:pPr>
              <w:pStyle w:val="Compact"/>
            </w:pPr>
            <w:r>
              <w:t xml:space="preserve">Vie. 11:00 p.m.</w:t>
            </w:r>
          </w:p>
        </w:tc>
      </w:tr>
      <w:tr>
        <w:tc>
          <w:tcPr/>
          <w:p>
            <w:pPr>
              <w:pStyle w:val="Compact"/>
              <w:jc w:val="left"/>
            </w:pPr>
            <w:r>
              <w:t xml:space="preserve">E</w:t>
            </w:r>
          </w:p>
        </w:tc>
        <w:tc>
          <w:tcPr/>
          <w:p>
            <w:pPr>
              <w:pStyle w:val="Compact"/>
              <w:jc w:val="right"/>
            </w:pPr>
            <w:r>
              <w:t xml:space="preserve">Memphis, TN → Dallas, TX</w:t>
            </w:r>
          </w:p>
        </w:tc>
        <w:tc>
          <w:tcPr/>
          <w:p>
            <w:pPr>
              <w:pStyle w:val="Compact"/>
            </w:pPr>
            <w:r>
              <w:t xml:space="preserve">$2,180</w:t>
            </w:r>
          </w:p>
        </w:tc>
        <w:tc>
          <w:tcPr/>
          <w:p>
            <w:pPr>
              <w:pStyle w:val="Compact"/>
              <w:jc w:val="left"/>
            </w:pPr>
            <w:r>
              <w:t xml:space="preserve">455</w:t>
            </w:r>
          </w:p>
        </w:tc>
        <w:tc>
          <w:tcPr/>
          <w:p>
            <w:pPr>
              <w:pStyle w:val="Compact"/>
              <w:jc w:val="right"/>
            </w:pPr>
            <w:r>
              <w:t xml:space="preserve">64</w:t>
            </w:r>
          </w:p>
        </w:tc>
        <w:tc>
          <w:tcPr/>
          <w:p>
            <w:pPr>
              <w:pStyle w:val="Compact"/>
            </w:pPr>
            <w:r>
              <w:t xml:space="preserve">Sáb. 9:00 a.m.</w:t>
            </w:r>
          </w:p>
        </w:tc>
      </w:tr>
      <w:tr>
        <w:tc>
          <w:tcPr/>
          <w:p>
            <w:pPr>
              <w:pStyle w:val="Compact"/>
              <w:jc w:val="left"/>
            </w:pPr>
            <w:r>
              <w:t xml:space="preserve">F</w:t>
            </w:r>
          </w:p>
        </w:tc>
        <w:tc>
          <w:tcPr/>
          <w:p>
            <w:pPr>
              <w:pStyle w:val="Compact"/>
              <w:jc w:val="right"/>
            </w:pPr>
            <w:r>
              <w:t xml:space="preserve">Newark, NJ → Harrisburg, PA</w:t>
            </w:r>
          </w:p>
        </w:tc>
        <w:tc>
          <w:tcPr/>
          <w:p>
            <w:pPr>
              <w:pStyle w:val="Compact"/>
            </w:pPr>
            <w:r>
              <w:t xml:space="preserve">$620</w:t>
            </w:r>
          </w:p>
        </w:tc>
        <w:tc>
          <w:tcPr/>
          <w:p>
            <w:pPr>
              <w:pStyle w:val="Compact"/>
              <w:jc w:val="left"/>
            </w:pPr>
            <w:r>
              <w:t xml:space="preserve">165</w:t>
            </w:r>
          </w:p>
        </w:tc>
        <w:tc>
          <w:tcPr/>
          <w:p>
            <w:pPr>
              <w:pStyle w:val="Compact"/>
              <w:jc w:val="right"/>
            </w:pPr>
            <w:r>
              <w:t xml:space="preserve">11</w:t>
            </w:r>
          </w:p>
        </w:tc>
        <w:tc>
          <w:tcPr/>
          <w:p>
            <w:pPr>
              <w:pStyle w:val="Compact"/>
            </w:pPr>
            <w:r>
              <w:t xml:space="preserve">Sáb. 6:00 a.m.</w:t>
            </w:r>
          </w:p>
        </w:tc>
      </w:tr>
      <w:tr>
        <w:tc>
          <w:tcPr/>
          <w:p>
            <w:pPr>
              <w:pStyle w:val="Compact"/>
              <w:jc w:val="left"/>
            </w:pPr>
            <w:r>
              <w:t xml:space="preserve">G</w:t>
            </w:r>
          </w:p>
        </w:tc>
        <w:tc>
          <w:tcPr/>
          <w:p>
            <w:pPr>
              <w:pStyle w:val="Compact"/>
              <w:jc w:val="right"/>
            </w:pPr>
            <w:r>
              <w:t xml:space="preserve">Indianapolis, IN → Atlanta, GA</w:t>
            </w:r>
          </w:p>
        </w:tc>
        <w:tc>
          <w:tcPr/>
          <w:p>
            <w:pPr>
              <w:pStyle w:val="Compact"/>
            </w:pPr>
            <w:r>
              <w:t xml:space="preserve">$2,060</w:t>
            </w:r>
          </w:p>
        </w:tc>
        <w:tc>
          <w:tcPr/>
          <w:p>
            <w:pPr>
              <w:pStyle w:val="Compact"/>
              <w:jc w:val="left"/>
            </w:pPr>
            <w:r>
              <w:t xml:space="preserve">535</w:t>
            </w:r>
          </w:p>
        </w:tc>
        <w:tc>
          <w:tcPr/>
          <w:p>
            <w:pPr>
              <w:pStyle w:val="Compact"/>
              <w:jc w:val="right"/>
            </w:pPr>
            <w:r>
              <w:t xml:space="preserve">33</w:t>
            </w:r>
          </w:p>
        </w:tc>
        <w:tc>
          <w:tcPr/>
          <w:p>
            <w:pPr>
              <w:pStyle w:val="Compact"/>
            </w:pPr>
            <w:r>
              <w:t xml:space="preserve">Sáb. 2:00 p.m.</w:t>
            </w:r>
          </w:p>
        </w:tc>
      </w:tr>
    </w:tbl>
    <w:p>
      <w:pPr>
        <w:pStyle w:val="BodyText"/>
      </w:pPr>
      <w:r>
        <w:t xml:space="preserve">Fuente: tablero de despacho de PrairieLine; las cifras son ficticias y excluyen los recargos por combustible.</w:t>
      </w:r>
    </w:p>
    <w:bookmarkEnd w:id="12"/>
    <w:bookmarkEnd w:id="13"/>
    <w:bookmarkStart w:id="15" w:name="los-clientes-que-llamaron-tarde"/>
    <w:p>
      <w:pPr>
        <w:pStyle w:val="Heading1"/>
      </w:pPr>
      <w:r>
        <w:t xml:space="preserve">Los clientes que llamaron tarde</w:t>
      </w:r>
    </w:p>
    <w:p>
      <w:pPr>
        <w:pStyle w:val="FirstParagraph"/>
      </w:pPr>
      <w:r>
        <w:t xml:space="preserve">Los clientes más grandes de PrairieLine no proporcionaban horarios completos con mucha anticipación. Algunas cargas se ofrecían de cinco a siete días antes de la recogida, pero muchas se ofrecían de uno a tres días antes. Las ventas promocionales, los retrasos de producción, el clima y los cambios en el inventario de los clientes creaban variaciones de último momento. Un gran embarcador podía ofrecer 40 cargas el lunes y 75 la semana siguiente en el mismo tramo.</w:t>
      </w:r>
    </w:p>
    <w:p>
      <w:pPr>
        <w:pStyle w:val="BodyText"/>
      </w:pPr>
      <w:r>
        <w:t xml:space="preserve">El transportista tenía que decidir rápidamente si aceptaba cada oferta. Rechazar demasiadas cargas podía reducir su puntaje de servicio y disminuir la carga otorgada en la siguiente licitación anual. Aceptar demasiadas podía crear una falla de cobertura, obligando a PrairieLine a comprar capacidad externa costosa o decepcionar a otro cliente. Algunos despachadores mantenían a los conductores cerca de plantas importantes porque esperaban carga adicional. Cuando las cargas no aparecían, los conductores perdían millas y se frustraban.</w:t>
      </w:r>
    </w:p>
    <w:p>
      <w:pPr>
        <w:pStyle w:val="BodyText"/>
      </w:pPr>
      <w:r>
        <w:t xml:space="preserve">Los tableros públicos de carga ofrecían una válvula de escape. PrairieLine podía comprar o vender transporte a través de su grupo de corretaje, o encontrar carga puntual para reposicionar a un conductor. Pero las oportunidades en los tableros de carga cambiaban minuto a minuto. Una carga visible a las 2:45 podía desaparecer a las 2:48. Las contrapartes variaban en confiabilidad, y la tarifa mostrada en la pantalla no revelaba el riesgo de detención, los horarios de recepción difíciles, ni si el embarcador cancelaría.</w:t>
      </w:r>
    </w:p>
    <w:bookmarkStart w:id="14" w:name="X8b1fb494e95da38fdf8e04da6f20a52a10711e7"/>
    <w:p>
      <w:pPr>
        <w:pStyle w:val="Heading2"/>
      </w:pPr>
      <w:r>
        <w:t xml:space="preserve">Exhibición 3. Compromisos seleccionados de clientes</w:t>
      </w:r>
    </w:p>
    <w:tbl>
      <w:tblPr>
        <w:tblStyle w:val="Table"/>
        <w:tblW w:type="pct" w:w="4918"/>
        <w:tblLayout w:type="fixed"/>
        <w:tblLook w:firstRow="1" w:lastRow="0" w:firstColumn="0" w:lastColumn="0" w:noHBand="0" w:noVBand="0" w:val="0020"/>
      </w:tblPr>
      <w:tblGrid>
        <w:gridCol w:w="1752"/>
        <w:gridCol w:w="1817"/>
        <w:gridCol w:w="1233"/>
        <w:gridCol w:w="1622"/>
        <w:gridCol w:w="1363"/>
      </w:tblGrid>
      <w:tr>
        <w:trPr>
          <w:tblHeader w:val="on"/>
        </w:trPr>
        <w:tc>
          <w:tcPr/>
          <w:p>
            <w:pPr>
              <w:pStyle w:val="Compact"/>
              <w:jc w:val="left"/>
            </w:pPr>
            <w:r>
              <w:t xml:space="preserve">Segmento de cliente</w:t>
            </w:r>
          </w:p>
        </w:tc>
        <w:tc>
          <w:tcPr/>
          <w:p>
            <w:pPr>
              <w:pStyle w:val="Compact"/>
              <w:jc w:val="right"/>
            </w:pPr>
            <w:r>
              <w:t xml:space="preserve">Participación en ingreso</w:t>
            </w:r>
          </w:p>
        </w:tc>
        <w:tc>
          <w:tcPr/>
          <w:p>
            <w:pPr>
              <w:pStyle w:val="Compact"/>
            </w:pPr>
            <w:r>
              <w:t xml:space="preserve">s por contrato Ti</w:t>
            </w:r>
          </w:p>
        </w:tc>
        <w:tc>
          <w:tcPr/>
          <w:p>
            <w:pPr>
              <w:pStyle w:val="Compact"/>
            </w:pPr>
            <w:r>
              <w:t xml:space="preserve">empo de anticipación de l</w:t>
            </w:r>
          </w:p>
        </w:tc>
        <w:tc>
          <w:tcPr/>
          <w:p>
            <w:pPr>
              <w:pStyle w:val="Compact"/>
            </w:pPr>
            <w:r>
              <w:t xml:space="preserve">a oferta Meta de aceptación 2026 Aceptación actual</w:t>
            </w:r>
          </w:p>
        </w:tc>
      </w:tr>
      <w:tr>
        <w:tc>
          <w:tcPr/>
          <w:p>
            <w:pPr>
              <w:pStyle w:val="Compact"/>
              <w:jc w:val="left"/>
            </w:pPr>
            <w:r>
              <w:t xml:space="preserve">Manufactura industrial</w:t>
            </w:r>
          </w:p>
        </w:tc>
        <w:tc>
          <w:tcPr/>
          <w:p>
            <w:pPr>
              <w:pStyle w:val="Compact"/>
              <w:jc w:val="right"/>
            </w:pPr>
            <w:r>
              <w:t xml:space="preserve">27%</w:t>
            </w:r>
          </w:p>
        </w:tc>
        <w:tc>
          <w:tcPr/>
          <w:p>
            <w:pPr>
              <w:pStyle w:val="Compact"/>
            </w:pPr>
            <w:r>
              <w:t xml:space="preserve">1–3 días</w:t>
            </w:r>
          </w:p>
        </w:tc>
        <w:tc>
          <w:tcPr/>
          <w:p>
            <w:pPr>
              <w:pStyle w:val="Compact"/>
            </w:pPr>
            <w:r>
              <w:t xml:space="preserve">95%</w:t>
            </w:r>
          </w:p>
        </w:tc>
        <w:tc>
          <w:tcPr/>
          <w:p>
            <w:pPr>
              <w:pStyle w:val="Compact"/>
            </w:pPr>
            <w:r>
              <w:t xml:space="preserve">92%</w:t>
            </w:r>
          </w:p>
        </w:tc>
      </w:tr>
      <w:tr>
        <w:tc>
          <w:tcPr/>
          <w:p>
            <w:pPr>
              <w:pStyle w:val="Compact"/>
              <w:jc w:val="left"/>
            </w:pPr>
            <w:r>
              <w:t xml:space="preserve">Distribución minorista</w:t>
            </w:r>
          </w:p>
        </w:tc>
        <w:tc>
          <w:tcPr/>
          <w:p>
            <w:pPr>
              <w:pStyle w:val="Compact"/>
              <w:jc w:val="right"/>
            </w:pPr>
            <w:r>
              <w:t xml:space="preserve">21%</w:t>
            </w:r>
          </w:p>
        </w:tc>
        <w:tc>
          <w:tcPr/>
          <w:p>
            <w:pPr>
              <w:pStyle w:val="Compact"/>
            </w:pPr>
            <w:r>
              <w:t xml:space="preserve">2–5 días</w:t>
            </w:r>
          </w:p>
        </w:tc>
        <w:tc>
          <w:tcPr/>
          <w:p>
            <w:pPr>
              <w:pStyle w:val="Compact"/>
            </w:pPr>
            <w:r>
              <w:t xml:space="preserve">93%</w:t>
            </w:r>
          </w:p>
        </w:tc>
        <w:tc>
          <w:tcPr/>
          <w:p>
            <w:pPr>
              <w:pStyle w:val="Compact"/>
            </w:pPr>
            <w:r>
              <w:t xml:space="preserve">94%</w:t>
            </w:r>
          </w:p>
        </w:tc>
      </w:tr>
      <w:tr>
        <w:tc>
          <w:tcPr/>
          <w:p>
            <w:pPr>
              <w:pStyle w:val="Compact"/>
              <w:jc w:val="left"/>
            </w:pPr>
            <w:r>
              <w:t xml:space="preserve">Alimentos y bebidas</w:t>
            </w:r>
          </w:p>
        </w:tc>
        <w:tc>
          <w:tcPr/>
          <w:p>
            <w:pPr>
              <w:pStyle w:val="Compact"/>
              <w:jc w:val="right"/>
            </w:pPr>
            <w:r>
              <w:t xml:space="preserve">18%</w:t>
            </w:r>
          </w:p>
        </w:tc>
        <w:tc>
          <w:tcPr/>
          <w:p>
            <w:pPr>
              <w:pStyle w:val="Compact"/>
            </w:pPr>
            <w:r>
              <w:t xml:space="preserve">Mismo día–2 días</w:t>
            </w:r>
          </w:p>
        </w:tc>
        <w:tc>
          <w:tcPr/>
          <w:p>
            <w:pPr>
              <w:pStyle w:val="Compact"/>
            </w:pPr>
            <w:r>
              <w:t xml:space="preserve">97%</w:t>
            </w:r>
          </w:p>
        </w:tc>
        <w:tc>
          <w:tcPr/>
          <w:p>
            <w:pPr>
              <w:pStyle w:val="Compact"/>
            </w:pPr>
            <w:r>
              <w:t xml:space="preserve">93%</w:t>
            </w:r>
          </w:p>
        </w:tc>
      </w:tr>
      <w:tr>
        <w:tc>
          <w:tcPr/>
          <w:p>
            <w:pPr>
              <w:pStyle w:val="Compact"/>
              <w:jc w:val="left"/>
            </w:pPr>
            <w:r>
              <w:t xml:space="preserve">Productos para la construcc</w:t>
            </w:r>
          </w:p>
        </w:tc>
        <w:tc>
          <w:tcPr/>
          <w:p>
            <w:pPr>
              <w:pStyle w:val="Compact"/>
              <w:jc w:val="right"/>
            </w:pPr>
            <w:r>
              <w:t xml:space="preserve">ión 14%</w:t>
            </w:r>
          </w:p>
        </w:tc>
        <w:tc>
          <w:tcPr/>
          <w:p>
            <w:pPr>
              <w:pStyle w:val="Compact"/>
            </w:pPr>
            <w:r>
              <w:t xml:space="preserve">1–4</w:t>
            </w:r>
          </w:p>
        </w:tc>
        <w:tc>
          <w:tcPr/>
          <w:p>
            <w:pPr>
              <w:pStyle w:val="Compact"/>
            </w:pPr>
            <w:r>
              <w:t xml:space="preserve">días 92%</w:t>
            </w:r>
          </w:p>
        </w:tc>
        <w:tc>
          <w:tcPr/>
          <w:p>
            <w:pPr>
              <w:pStyle w:val="Compact"/>
            </w:pPr>
            <w:r>
              <w:t xml:space="preserve">89%</w:t>
            </w:r>
          </w:p>
        </w:tc>
      </w:tr>
      <w:tr>
        <w:tc>
          <w:tcPr/>
          <w:p>
            <w:pPr>
              <w:pStyle w:val="Compact"/>
              <w:jc w:val="left"/>
            </w:pPr>
            <w:r>
              <w:t xml:space="preserve">Bienes de consumo</w:t>
            </w:r>
          </w:p>
        </w:tc>
        <w:tc>
          <w:tcPr/>
          <w:p>
            <w:pPr>
              <w:pStyle w:val="Compact"/>
              <w:jc w:val="right"/>
            </w:pPr>
            <w:r>
              <w:t xml:space="preserve">11%</w:t>
            </w:r>
          </w:p>
        </w:tc>
        <w:tc>
          <w:tcPr/>
          <w:p>
            <w:pPr>
              <w:pStyle w:val="Compact"/>
            </w:pPr>
            <w:r>
              <w:t xml:space="preserve">3–7 días</w:t>
            </w:r>
          </w:p>
        </w:tc>
        <w:tc>
          <w:tcPr/>
          <w:p>
            <w:pPr>
              <w:pStyle w:val="Compact"/>
            </w:pPr>
            <w:r>
              <w:t xml:space="preserve">90%</w:t>
            </w:r>
          </w:p>
        </w:tc>
        <w:tc>
          <w:tcPr/>
          <w:p>
            <w:pPr>
              <w:pStyle w:val="Compact"/>
            </w:pPr>
            <w:r>
              <w:t xml:space="preserve">91%</w:t>
            </w:r>
          </w:p>
        </w:tc>
      </w:tr>
      <w:tr>
        <w:tc>
          <w:tcPr/>
          <w:p>
            <w:pPr>
              <w:pStyle w:val="Compact"/>
              <w:jc w:val="left"/>
            </w:pPr>
            <w:r>
              <w:t xml:space="preserve">Otro</w:t>
            </w:r>
          </w:p>
        </w:tc>
        <w:tc>
          <w:tcPr/>
          <w:p>
            <w:pPr>
              <w:pStyle w:val="Compact"/>
              <w:jc w:val="right"/>
            </w:pPr>
            <w:r>
              <w:t xml:space="preserve">9%</w:t>
            </w:r>
          </w:p>
        </w:tc>
        <w:tc>
          <w:tcPr/>
          <w:p>
            <w:pPr>
              <w:pStyle w:val="Compact"/>
            </w:pPr>
            <w:r>
              <w:t xml:space="preserve">Varía</w:t>
            </w:r>
          </w:p>
        </w:tc>
        <w:tc>
          <w:tcPr/>
          <w:p>
            <w:pPr>
              <w:pStyle w:val="Compact"/>
            </w:pPr>
            <w:r>
              <w:t xml:space="preserve">—</w:t>
            </w:r>
          </w:p>
        </w:tc>
        <w:tc>
          <w:tcPr/>
          <w:p>
            <w:pPr>
              <w:pStyle w:val="Compact"/>
            </w:pPr>
            <w:r>
              <w:t xml:space="preserve">—</w:t>
            </w:r>
          </w:p>
        </w:tc>
      </w:tr>
    </w:tbl>
    <w:p>
      <w:pPr>
        <w:pStyle w:val="BodyText"/>
      </w:pPr>
      <w:r>
        <w:t xml:space="preserve">Fuente: cuadro de mando interno de clientes de PrairieLine; ficticio.</w:t>
      </w:r>
    </w:p>
    <w:bookmarkEnd w:id="14"/>
    <w:bookmarkEnd w:id="15"/>
    <w:bookmarkStart w:id="17" w:name="el-reloj-del-conductor"/>
    <w:p>
      <w:pPr>
        <w:pStyle w:val="Heading1"/>
      </w:pPr>
      <w:r>
        <w:t xml:space="preserve">El reloj del conductor</w:t>
      </w:r>
    </w:p>
    <w:p>
      <w:pPr>
        <w:pStyle w:val="FirstParagraph"/>
      </w:pPr>
      <w:r>
        <w:t xml:space="preserve">Un tractocamión solo era útil cuando se emparejaba con un conductor disponible. Las normas federales de horas de servicio generalmente permitían a un conductor de transporte de bienes conducir hasta 11 horas dentro de una ventana de servicio de 14 horas, después de 10 horas consecutivas fuera de servicio. Esperar en un cliente podía consumir la ventana de servicio incluso cuando el camión no se movía. Una cita de carga retrasada podía convertir una asignación factible en una que requiriera una parada nocturna o una falla de servicio.</w:t>
      </w:r>
    </w:p>
    <w:p>
      <w:pPr>
        <w:pStyle w:val="BodyText"/>
      </w:pPr>
      <w:r>
        <w:t xml:space="preserve">Los despachadores también debían respetar las preferencias de los conductores y sus compromisos con el hogar. Un conductor cerca de Atlanta había prometido asistir a la graduación de su hija el domingo por la tarde en Knoxville. Otro conductor en Pensilvania estaba dispuesto a quedarse una semana adicional si se le asignaba hacia el oeste. Un tercero había rechazado carga hacia la ciudad de Nueva York después de dos entregas difíciles. El sistema de planificación mostraba las horas legales y las ubicaciones del hogar, pero no siempre capturaba la intensidad de la preferencia de un conductor ni una promesa informal hecha por un despachador.</w:t>
      </w:r>
    </w:p>
    <w:p>
      <w:pPr>
        <w:pStyle w:val="BodyText"/>
      </w:pPr>
      <w:r>
        <w:t xml:space="preserve">La dirección discrepaba sobre cuánta discreción debían ejercer los despachadores. Chen creía que el juicio local inconsistente contribuía al aumento de las millas vacías. La vicepresidenta de seguridad argumentaba que una asignación que parecía eficiente en el sistema podía ser irrealizable después de considerar el clima, la disponibilidad de estacionamiento, los retrasos de los clientes y la fatiga del conductor. El jefe de reclutamiento advirtió que forzar asignaciones podría mejorar la utilización de esta semana mientras empeoraba la rotación durante los siguientes seis meses.</w:t>
      </w:r>
    </w:p>
    <w:bookmarkStart w:id="16" w:name="X89460d4d65ef70f2ac5befe2e486d2dd06b43a3"/>
    <w:p>
      <w:pPr>
        <w:pStyle w:val="Heading2"/>
      </w:pPr>
      <w:r>
        <w:t xml:space="preserve">Exhibición 4. Disponibilidad de conductores el viernes en mercados seleccionados</w:t>
      </w:r>
    </w:p>
    <w:tbl>
      <w:tblPr>
        <w:tblStyle w:val="Table"/>
        <w:tblW w:type="pct" w:w="4935"/>
        <w:tblLayout w:type="fixed"/>
        <w:tblLook w:firstRow="1" w:lastRow="0" w:firstColumn="0" w:lastColumn="0" w:noHBand="0" w:noVBand="0" w:val="0020"/>
      </w:tblPr>
      <w:tblGrid>
        <w:gridCol w:w="1863"/>
        <w:gridCol w:w="1708"/>
        <w:gridCol w:w="931"/>
        <w:gridCol w:w="1397"/>
        <w:gridCol w:w="1915"/>
      </w:tblGrid>
      <w:tr>
        <w:trPr>
          <w:tblHeader w:val="on"/>
        </w:trPr>
        <w:tc>
          <w:tcPr/>
          <w:p>
            <w:pPr>
              <w:pStyle w:val="Compact"/>
              <w:jc w:val="left"/>
            </w:pPr>
            <w:r>
              <w:t xml:space="preserve">Mercado</w:t>
            </w:r>
          </w:p>
        </w:tc>
        <w:tc>
          <w:tcPr/>
          <w:p>
            <w:pPr>
              <w:pStyle w:val="Compact"/>
              <w:jc w:val="right"/>
            </w:pPr>
            <w:r>
              <w:t xml:space="preserve">Conductores disponibles para el</w:t>
            </w:r>
          </w:p>
        </w:tc>
        <w:tc>
          <w:tcPr/>
          <w:p>
            <w:pPr>
              <w:pStyle w:val="Compact"/>
              <w:jc w:val="right"/>
            </w:pPr>
            <w:r>
              <w:t xml:space="preserve">sáb. mediodía C</w:t>
            </w:r>
          </w:p>
        </w:tc>
        <w:tc>
          <w:tcPr/>
          <w:p>
            <w:pPr>
              <w:pStyle w:val="Compact"/>
            </w:pPr>
            <w:r>
              <w:t xml:space="preserve">argas comprometidas Carga</w:t>
            </w:r>
          </w:p>
        </w:tc>
        <w:tc>
          <w:tcPr/>
          <w:p>
            <w:pPr>
              <w:pStyle w:val="Compact"/>
            </w:pPr>
            <w:r>
              <w:t xml:space="preserve">s ofrecidas sin asignar Conductores con fecha límite en casa para el dom.</w:t>
            </w:r>
          </w:p>
        </w:tc>
      </w:tr>
      <w:tr>
        <w:tc>
          <w:tcPr/>
          <w:p>
            <w:pPr>
              <w:pStyle w:val="Compact"/>
              <w:jc w:val="left"/>
            </w:pPr>
            <w:r>
              <w:t xml:space="preserve">Atlanta / Norte de Georgia</w:t>
            </w:r>
          </w:p>
        </w:tc>
        <w:tc>
          <w:tcPr/>
          <w:p>
            <w:pPr>
              <w:pStyle w:val="Compact"/>
              <w:jc w:val="right"/>
            </w:pPr>
            <w:r>
              <w:t xml:space="preserve">47</w:t>
            </w:r>
          </w:p>
        </w:tc>
        <w:tc>
          <w:tcPr/>
          <w:p>
            <w:pPr>
              <w:pStyle w:val="Compact"/>
              <w:jc w:val="right"/>
            </w:pPr>
            <w:r>
              <w:t xml:space="preserve">29</w:t>
            </w:r>
          </w:p>
        </w:tc>
        <w:tc>
          <w:tcPr/>
          <w:p>
            <w:pPr>
              <w:pStyle w:val="Compact"/>
            </w:pPr>
            <w:r>
              <w:t xml:space="preserve">18</w:t>
            </w:r>
          </w:p>
        </w:tc>
        <w:tc>
          <w:tcPr/>
          <w:p>
            <w:pPr>
              <w:pStyle w:val="Compact"/>
            </w:pPr>
            <w:r>
              <w:t xml:space="preserve">21</w:t>
            </w:r>
          </w:p>
        </w:tc>
      </w:tr>
      <w:tr>
        <w:tc>
          <w:tcPr/>
          <w:p>
            <w:pPr>
              <w:pStyle w:val="Compact"/>
              <w:jc w:val="left"/>
            </w:pPr>
            <w:r>
              <w:t xml:space="preserve">Nueva Jersey / Este de Pensilvania</w:t>
            </w:r>
          </w:p>
        </w:tc>
        <w:tc>
          <w:tcPr/>
          <w:p>
            <w:pPr>
              <w:pStyle w:val="Compact"/>
              <w:jc w:val="right"/>
            </w:pPr>
            <w:r>
              <w:t xml:space="preserve">39</w:t>
            </w:r>
          </w:p>
        </w:tc>
        <w:tc>
          <w:tcPr/>
          <w:p>
            <w:pPr>
              <w:pStyle w:val="Compact"/>
              <w:jc w:val="right"/>
            </w:pPr>
            <w:r>
              <w:t xml:space="preserve">25</w:t>
            </w:r>
          </w:p>
        </w:tc>
        <w:tc>
          <w:tcPr/>
          <w:p>
            <w:pPr>
              <w:pStyle w:val="Compact"/>
            </w:pPr>
            <w:r>
              <w:t xml:space="preserve">12</w:t>
            </w:r>
          </w:p>
        </w:tc>
        <w:tc>
          <w:tcPr/>
          <w:p>
            <w:pPr>
              <w:pStyle w:val="Compact"/>
            </w:pPr>
            <w:r>
              <w:t xml:space="preserve">16</w:t>
            </w:r>
          </w:p>
        </w:tc>
      </w:tr>
      <w:tr>
        <w:tc>
          <w:tcPr/>
          <w:p>
            <w:pPr>
              <w:pStyle w:val="Compact"/>
              <w:jc w:val="left"/>
            </w:pPr>
            <w:r>
              <w:t xml:space="preserve">Centro de Ohio</w:t>
            </w:r>
          </w:p>
        </w:tc>
        <w:tc>
          <w:tcPr/>
          <w:p>
            <w:pPr>
              <w:pStyle w:val="Compact"/>
              <w:jc w:val="right"/>
            </w:pPr>
            <w:r>
              <w:t xml:space="preserve">22</w:t>
            </w:r>
          </w:p>
        </w:tc>
        <w:tc>
          <w:tcPr/>
          <w:p>
            <w:pPr>
              <w:pStyle w:val="Compact"/>
              <w:jc w:val="right"/>
            </w:pPr>
            <w:r>
              <w:t xml:space="preserve">31</w:t>
            </w:r>
          </w:p>
        </w:tc>
        <w:tc>
          <w:tcPr/>
          <w:p>
            <w:pPr>
              <w:pStyle w:val="Compact"/>
            </w:pPr>
            <w:r>
              <w:t xml:space="preserve">27</w:t>
            </w:r>
          </w:p>
        </w:tc>
        <w:tc>
          <w:tcPr/>
          <w:p>
            <w:pPr>
              <w:pStyle w:val="Compact"/>
            </w:pPr>
            <w:r>
              <w:t xml:space="preserve">8</w:t>
            </w:r>
          </w:p>
        </w:tc>
      </w:tr>
      <w:tr>
        <w:tc>
          <w:tcPr/>
          <w:p>
            <w:pPr>
              <w:pStyle w:val="Compact"/>
              <w:jc w:val="left"/>
            </w:pPr>
            <w:r>
              <w:t xml:space="preserve">Iowa / Sur de Minnesota</w:t>
            </w:r>
          </w:p>
        </w:tc>
        <w:tc>
          <w:tcPr/>
          <w:p>
            <w:pPr>
              <w:pStyle w:val="Compact"/>
              <w:jc w:val="right"/>
            </w:pPr>
            <w:r>
              <w:t xml:space="preserve">14</w:t>
            </w:r>
          </w:p>
        </w:tc>
        <w:tc>
          <w:tcPr/>
          <w:p>
            <w:pPr>
              <w:pStyle w:val="Compact"/>
              <w:jc w:val="right"/>
            </w:pPr>
            <w:r>
              <w:t xml:space="preserve">21</w:t>
            </w:r>
          </w:p>
        </w:tc>
        <w:tc>
          <w:tcPr/>
          <w:p>
            <w:pPr>
              <w:pStyle w:val="Compact"/>
            </w:pPr>
            <w:r>
              <w:t xml:space="preserve">19</w:t>
            </w:r>
          </w:p>
        </w:tc>
        <w:tc>
          <w:tcPr/>
          <w:p>
            <w:pPr>
              <w:pStyle w:val="Compact"/>
            </w:pPr>
            <w:r>
              <w:t xml:space="preserve">4</w:t>
            </w:r>
          </w:p>
        </w:tc>
      </w:tr>
      <w:tr>
        <w:tc>
          <w:tcPr/>
          <w:p>
            <w:pPr>
              <w:pStyle w:val="Compact"/>
              <w:jc w:val="left"/>
            </w:pPr>
            <w:r>
              <w:t xml:space="preserve">Memphis / Oeste de Tennessee</w:t>
            </w:r>
          </w:p>
        </w:tc>
        <w:tc>
          <w:tcPr/>
          <w:p>
            <w:pPr>
              <w:pStyle w:val="Compact"/>
              <w:jc w:val="right"/>
            </w:pPr>
            <w:r>
              <w:t xml:space="preserve">19</w:t>
            </w:r>
          </w:p>
        </w:tc>
        <w:tc>
          <w:tcPr/>
          <w:p>
            <w:pPr>
              <w:pStyle w:val="Compact"/>
              <w:jc w:val="right"/>
            </w:pPr>
            <w:r>
              <w:t xml:space="preserve">18</w:t>
            </w:r>
          </w:p>
        </w:tc>
        <w:tc>
          <w:tcPr/>
          <w:p>
            <w:pPr>
              <w:pStyle w:val="Compact"/>
            </w:pPr>
            <w:r>
              <w:t xml:space="preserve">23</w:t>
            </w:r>
          </w:p>
        </w:tc>
        <w:tc>
          <w:tcPr/>
          <w:p>
            <w:pPr>
              <w:pStyle w:val="Compact"/>
            </w:pPr>
            <w:r>
              <w:t xml:space="preserve">7</w:t>
            </w:r>
          </w:p>
        </w:tc>
      </w:tr>
      <w:tr>
        <w:tc>
          <w:tcPr/>
          <w:p>
            <w:pPr>
              <w:pStyle w:val="Compact"/>
              <w:jc w:val="left"/>
            </w:pPr>
            <w:r>
              <w:t xml:space="preserve">Dallas / Norte de Texas</w:t>
            </w:r>
          </w:p>
        </w:tc>
        <w:tc>
          <w:tcPr/>
          <w:p>
            <w:pPr>
              <w:pStyle w:val="Compact"/>
              <w:jc w:val="right"/>
            </w:pPr>
            <w:r>
              <w:t xml:space="preserve">31</w:t>
            </w:r>
          </w:p>
        </w:tc>
        <w:tc>
          <w:tcPr/>
          <w:p>
            <w:pPr>
              <w:pStyle w:val="Compact"/>
              <w:jc w:val="right"/>
            </w:pPr>
            <w:r>
              <w:t xml:space="preserve">28</w:t>
            </w:r>
          </w:p>
        </w:tc>
        <w:tc>
          <w:tcPr/>
          <w:p>
            <w:pPr>
              <w:pStyle w:val="Compact"/>
            </w:pPr>
            <w:r>
              <w:t xml:space="preserve">16</w:t>
            </w:r>
          </w:p>
        </w:tc>
        <w:tc>
          <w:tcPr/>
          <w:p>
            <w:pPr>
              <w:pStyle w:val="Compact"/>
            </w:pPr>
            <w:r>
              <w:t xml:space="preserve">11</w:t>
            </w:r>
          </w:p>
        </w:tc>
      </w:tr>
      <w:tr>
        <w:tc>
          <w:tcPr/>
          <w:p>
            <w:pPr>
              <w:pStyle w:val="Compact"/>
              <w:jc w:val="left"/>
            </w:pPr>
            <w:r>
              <w:t xml:space="preserve">Indianapolis / Louisville</w:t>
            </w:r>
          </w:p>
        </w:tc>
        <w:tc>
          <w:tcPr/>
          <w:p>
            <w:pPr>
              <w:pStyle w:val="Compact"/>
              <w:jc w:val="right"/>
            </w:pPr>
            <w:r>
              <w:t xml:space="preserve">28</w:t>
            </w:r>
          </w:p>
        </w:tc>
        <w:tc>
          <w:tcPr/>
          <w:p>
            <w:pPr>
              <w:pStyle w:val="Compact"/>
              <w:jc w:val="right"/>
            </w:pPr>
            <w:r>
              <w:t xml:space="preserve">34</w:t>
            </w:r>
          </w:p>
        </w:tc>
        <w:tc>
          <w:tcPr/>
          <w:p>
            <w:pPr>
              <w:pStyle w:val="Compact"/>
            </w:pPr>
            <w:r>
              <w:t xml:space="preserve">23</w:t>
            </w:r>
          </w:p>
        </w:tc>
        <w:tc>
          <w:tcPr/>
          <w:p>
            <w:pPr>
              <w:pStyle w:val="Compact"/>
            </w:pPr>
            <w:r>
              <w:t xml:space="preserve">13</w:t>
            </w:r>
          </w:p>
        </w:tc>
      </w:tr>
    </w:tbl>
    <w:p>
      <w:pPr>
        <w:pStyle w:val="BodyText"/>
      </w:pPr>
      <w:r>
        <w:t xml:space="preserve">Fuente: instantánea de planificación de PrairieLine a las 2:40 p.m.; ficticia.</w:t>
      </w:r>
    </w:p>
    <w:bookmarkEnd w:id="16"/>
    <w:bookmarkEnd w:id="17"/>
    <w:bookmarkStart w:id="19" w:name="temporada-de-licitaciones"/>
    <w:p>
      <w:pPr>
        <w:pStyle w:val="Heading1"/>
      </w:pPr>
      <w:r>
        <w:t xml:space="preserve">Temporada de licitaciones</w:t>
      </w:r>
    </w:p>
    <w:p>
      <w:pPr>
        <w:pStyle w:val="FirstParagraph"/>
      </w:pPr>
      <w:r>
        <w:t xml:space="preserve">El problema inmediato de despacho llegó durante la temporada de licitaciones anuales. Los embarcadores pedían a los transportistas cotizar precios y la capacidad esperada para miles de tramos origen-destino para el año siguiente. Ganar un tramo no garantizaba que el volumen pronosticado se materializara, pero el precio y el nivel de aceptación prometido moldearían la red de PrairieLine durante meses.</w:t>
      </w:r>
    </w:p>
    <w:p>
      <w:pPr>
        <w:pStyle w:val="BodyText"/>
      </w:pPr>
      <w:r>
        <w:t xml:space="preserve">El grupo de ventas quería ofertas agresivas en tramos de salida del Medio Oeste, donde la demanda de los clientes parecía estar recuperándose. Operaciones se preocupaba de que ganar demasiada carga hacia el este colocaría aún más conductores en mercados de salida débiles. Finanzas prefería un papel más grande de corretaje, permitiendo a la empresa aceptar carga de clientes sin poseer suficientes tractocamiones para cubrir cada pico. El reclutamiento de conductores propuso nuevos domicilios en Ohio y Tennessee, pero cada domicilio requería un flujo suficiente de cargas que llevara a los conductores a casa de manera confiable.</w:t>
      </w:r>
    </w:p>
    <w:p>
      <w:pPr>
        <w:pStyle w:val="BodyText"/>
      </w:pPr>
      <w:r>
        <w:t xml:space="preserve">La empresa también tenía que decidir cuántos tractocamiones y remolques operar. Los tractocamiones nuevos mejoraban la eficiencia de combustible y la confiabilidad, pero requerían capital en un momento en que los márgenes eran reducidos. Estacionar tractocamiones en exceso preservaba la flexibilidad, pero generaba costos de depreciación y financiamiento. Reducir la flota podía mejorar la utilización, pero dejaba a PrairieLine expuesta si la demanda de carga se fortalecía inesperadamente.</w:t>
      </w:r>
    </w:p>
    <w:bookmarkStart w:id="18" w:name="X4bc3bf51950a0365988066c62f7c3b16f15f35e"/>
    <w:p>
      <w:pPr>
        <w:pStyle w:val="Heading2"/>
      </w:pPr>
      <w:r>
        <w:t xml:space="preserve">Exhibición 5. Propuestas de la dirección para 2027</w:t>
      </w:r>
    </w:p>
    <w:tbl>
      <w:tblPr>
        <w:tblStyle w:val="Table"/>
        <w:tblW w:type="pct" w:w="4944"/>
        <w:tblLayout w:type="fixed"/>
        <w:tblLook w:firstRow="1" w:lastRow="0" w:firstColumn="0" w:lastColumn="0" w:noHBand="0" w:noVBand="0" w:val="0020"/>
      </w:tblPr>
      <w:tblGrid>
        <w:gridCol w:w="1913"/>
        <w:gridCol w:w="1334"/>
        <w:gridCol w:w="2180"/>
        <w:gridCol w:w="2402"/>
      </w:tblGrid>
      <w:tr>
        <w:trPr>
          <w:tblHeader w:val="on"/>
        </w:trPr>
        <w:tc>
          <w:tcPr/>
          <w:p>
            <w:pPr>
              <w:pStyle w:val="Compact"/>
              <w:jc w:val="left"/>
            </w:pPr>
            <w:r>
              <w:t xml:space="preserve">Propuesta</w:t>
            </w:r>
          </w:p>
        </w:tc>
        <w:tc>
          <w:tcPr/>
          <w:p>
            <w:pPr>
              <w:pStyle w:val="Compact"/>
              <w:jc w:val="center"/>
            </w:pPr>
            <w:r>
              <w:t xml:space="preserve">Compromiso anual estimado</w:t>
            </w:r>
          </w:p>
        </w:tc>
        <w:tc>
          <w:tcPr/>
          <w:p>
            <w:pPr>
              <w:pStyle w:val="Compact"/>
              <w:jc w:val="center"/>
            </w:pPr>
            <w:r>
              <w:t xml:space="preserve">Ventaja esperada</w:t>
            </w:r>
          </w:p>
        </w:tc>
        <w:tc>
          <w:tcPr/>
          <w:p>
            <w:pPr>
              <w:pStyle w:val="Compact"/>
              <w:jc w:val="center"/>
            </w:pPr>
            <w:r>
              <w:t xml:space="preserve">Principal preocupación</w:t>
            </w:r>
          </w:p>
        </w:tc>
      </w:tr>
      <w:tr>
        <w:tc>
          <w:tcPr/>
          <w:p>
            <w:pPr>
              <w:pStyle w:val="Compact"/>
              <w:jc w:val="left"/>
            </w:pPr>
            <w:r>
              <w:t xml:space="preserve">Agregar 90 conductores en Ohio y Tennessee</w:t>
            </w:r>
          </w:p>
        </w:tc>
        <w:tc>
          <w:tcPr/>
          <w:p>
            <w:pPr>
              <w:pStyle w:val="Compact"/>
              <w:jc w:val="center"/>
            </w:pPr>
            <w:r>
              <w:t xml:space="preserve">$7.8 millones</w:t>
            </w:r>
          </w:p>
        </w:tc>
        <w:tc>
          <w:tcPr/>
          <w:p>
            <w:pPr>
              <w:pStyle w:val="Compact"/>
              <w:jc w:val="center"/>
            </w:pPr>
            <w:r>
              <w:t xml:space="preserve">Mejorar la cobertura en mercados de sali</w:t>
            </w:r>
          </w:p>
        </w:tc>
        <w:tc>
          <w:tcPr/>
          <w:p>
            <w:pPr>
              <w:pStyle w:val="Compact"/>
              <w:jc w:val="center"/>
            </w:pPr>
            <w:r>
              <w:t xml:space="preserve">da fuertes Éxito del reclutamiento y carga de regreso inciertos</w:t>
            </w:r>
          </w:p>
        </w:tc>
      </w:tr>
      <w:tr>
        <w:tc>
          <w:tcPr/>
          <w:p>
            <w:pPr>
              <w:pStyle w:val="Compact"/>
              <w:jc w:val="left"/>
            </w:pPr>
            <w:r>
              <w:t xml:space="preserve">Expandir la capacidad de corretaje</w:t>
            </w:r>
          </w:p>
        </w:tc>
        <w:tc>
          <w:tcPr/>
          <w:p>
            <w:pPr>
              <w:pStyle w:val="Compact"/>
              <w:jc w:val="center"/>
            </w:pPr>
            <w:r>
              <w:t xml:space="preserve">$3.2 millone</w:t>
            </w:r>
          </w:p>
        </w:tc>
        <w:tc>
          <w:tcPr/>
          <w:p>
            <w:pPr>
              <w:pStyle w:val="Compact"/>
              <w:jc w:val="center"/>
            </w:pPr>
            <w:r>
              <w:t xml:space="preserve">s Cubrir picos sin ser propietario de</w:t>
            </w:r>
          </w:p>
        </w:tc>
        <w:tc>
          <w:tcPr/>
          <w:p>
            <w:pPr>
              <w:pStyle w:val="Compact"/>
              <w:jc w:val="center"/>
            </w:pPr>
            <w:r>
              <w:t xml:space="preserve">todo el equipo Menor control sobre el servicio y las tarifas compradas</w:t>
            </w:r>
          </w:p>
        </w:tc>
      </w:tr>
      <w:tr>
        <w:tc>
          <w:tcPr/>
          <w:p>
            <w:pPr>
              <w:pStyle w:val="Compact"/>
              <w:jc w:val="left"/>
            </w:pPr>
            <w:r>
              <w:t xml:space="preserve">Reducir la flota de tractocamiones en 75</w:t>
            </w:r>
          </w:p>
        </w:tc>
        <w:tc>
          <w:tcPr/>
          <w:p>
            <w:pPr>
              <w:pStyle w:val="Compact"/>
              <w:jc w:val="center"/>
            </w:pPr>
            <w:r>
              <w:t xml:space="preserve">$1.9 millon</w:t>
            </w:r>
          </w:p>
        </w:tc>
        <w:tc>
          <w:tcPr/>
          <w:p>
            <w:pPr>
              <w:pStyle w:val="Compact"/>
              <w:jc w:val="center"/>
            </w:pPr>
            <w:r>
              <w:t xml:space="preserve">es en ahorros Mejorar la utilización y</w:t>
            </w:r>
          </w:p>
        </w:tc>
        <w:tc>
          <w:tcPr/>
          <w:p>
            <w:pPr>
              <w:pStyle w:val="Compact"/>
              <w:jc w:val="center"/>
            </w:pPr>
            <w:r>
              <w:t xml:space="preserve">el flujo de caja Menor capacidad si la carga se recupera</w:t>
            </w:r>
          </w:p>
        </w:tc>
      </w:tr>
      <w:tr>
        <w:tc>
          <w:tcPr/>
          <w:p>
            <w:pPr>
              <w:pStyle w:val="Compact"/>
              <w:jc w:val="left"/>
            </w:pPr>
            <w:r>
              <w:t xml:space="preserve">Comprometerse con una plataforma de optimiz</w:t>
            </w:r>
          </w:p>
        </w:tc>
        <w:tc>
          <w:tcPr/>
          <w:p>
            <w:pPr>
              <w:pStyle w:val="Compact"/>
              <w:jc w:val="center"/>
            </w:pPr>
            <w:r>
              <w:t xml:space="preserve">ación de despacho $</w:t>
            </w:r>
          </w:p>
        </w:tc>
        <w:tc>
          <w:tcPr/>
          <w:p>
            <w:pPr>
              <w:pStyle w:val="Compact"/>
              <w:jc w:val="center"/>
            </w:pPr>
            <w:r>
              <w:t xml:space="preserve">2.6 millones Reducir las millas vacías y</w:t>
            </w:r>
          </w:p>
        </w:tc>
        <w:tc>
          <w:tcPr/>
          <w:p>
            <w:pPr>
              <w:pStyle w:val="Compact"/>
              <w:jc w:val="center"/>
            </w:pPr>
            <w:r>
              <w:t xml:space="preserve">estandarizar las asignaciones Aceptación de despachadores y conductores</w:t>
            </w:r>
          </w:p>
        </w:tc>
      </w:tr>
      <w:tr>
        <w:tc>
          <w:tcPr/>
          <w:p>
            <w:pPr>
              <w:pStyle w:val="Compact"/>
              <w:jc w:val="left"/>
            </w:pPr>
            <w:r>
              <w:t xml:space="preserve">Ofrecer una prima de garantía de tiempo en</w:t>
            </w:r>
          </w:p>
        </w:tc>
        <w:tc>
          <w:tcPr/>
          <w:p>
            <w:pPr>
              <w:pStyle w:val="Compact"/>
              <w:jc w:val="center"/>
            </w:pPr>
            <w:r>
              <w:t xml:space="preserve">casa $4.1 mi</w:t>
            </w:r>
          </w:p>
        </w:tc>
        <w:tc>
          <w:tcPr/>
          <w:p>
            <w:pPr>
              <w:pStyle w:val="Compact"/>
              <w:jc w:val="center"/>
            </w:pPr>
            <w:r>
              <w:t xml:space="preserve">llones Mejorar el reclutamiento y</w:t>
            </w:r>
          </w:p>
        </w:tc>
        <w:tc>
          <w:tcPr/>
          <w:p>
            <w:pPr>
              <w:pStyle w:val="Compact"/>
              <w:jc w:val="center"/>
            </w:pPr>
            <w:r>
              <w:t xml:space="preserve">la retención Puede restringir la elección de cargas y aumentar las millas vacías</w:t>
            </w:r>
          </w:p>
        </w:tc>
      </w:tr>
      <w:tr>
        <w:tc>
          <w:tcPr/>
          <w:p>
            <w:pPr>
              <w:pStyle w:val="Compact"/>
              <w:jc w:val="left"/>
            </w:pPr>
            <w:r>
              <w:t xml:space="preserve">Aumentar la participación en el mercado pun</w:t>
            </w:r>
          </w:p>
        </w:tc>
        <w:tc>
          <w:tcPr/>
          <w:p>
            <w:pPr>
              <w:pStyle w:val="Compact"/>
              <w:jc w:val="center"/>
            </w:pPr>
            <w:r>
              <w:t xml:space="preserve">tual Variabl</w:t>
            </w:r>
          </w:p>
        </w:tc>
        <w:tc>
          <w:tcPr/>
          <w:p>
            <w:pPr>
              <w:pStyle w:val="Compact"/>
              <w:jc w:val="center"/>
            </w:pPr>
            <w:r>
              <w:t xml:space="preserve">e Capturar oportunidades de tarifa</w:t>
            </w:r>
          </w:p>
        </w:tc>
        <w:tc>
          <w:tcPr/>
          <w:p>
            <w:pPr>
              <w:pStyle w:val="Compact"/>
              <w:jc w:val="center"/>
            </w:pPr>
            <w:r>
              <w:t xml:space="preserve">alta a corto plazo Volatilidad y servicio contractual más débil</w:t>
            </w:r>
          </w:p>
        </w:tc>
      </w:tr>
    </w:tbl>
    <w:p>
      <w:pPr>
        <w:pStyle w:val="BodyText"/>
      </w:pPr>
      <w:r>
        <w:t xml:space="preserve">Fuente: estimaciones preliminares de planificación de PrairieLine; ficticias.</w:t>
      </w:r>
    </w:p>
    <w:bookmarkEnd w:id="18"/>
    <w:bookmarkEnd w:id="19"/>
    <w:bookmarkStart w:id="20" w:name="cuatro-visiones-del-problema"/>
    <w:p>
      <w:pPr>
        <w:pStyle w:val="Heading1"/>
      </w:pPr>
      <w:r>
        <w:t xml:space="preserve">Cuatro visiones del problema</w:t>
      </w:r>
    </w:p>
    <w:p>
      <w:pPr>
        <w:pStyle w:val="FirstParagraph"/>
      </w:pPr>
      <w:r>
        <w:t xml:space="preserve">Chen veía un problema de coordinación de red. Creía que PrairieLine estaba evaluando las cargas y los conductores de manera demasiado local, con atención insuficiente a dónde dejaría cada asignación a la flota. Quería que la empresa reservara algunos conductores para carga futura probable, usara el corretaje de manera más sistemática, y diera a los despachadores una medida común del valor posterior de cada asignación.</w:t>
      </w:r>
    </w:p>
    <w:p>
      <w:pPr>
        <w:pStyle w:val="BodyText"/>
      </w:pPr>
      <w:r>
        <w:t xml:space="preserve">El director comercial Rafael Torres veía un problema de clientes. Argumentaba que el transportista tenía que proteger la aceptación y el servicio a tiempo para los clientes más propensos a ofrecer carga rentable en 2027. Rechazar una carga marginal hoy podía costar un tramo completo en el siguiente ciclo de licitación. Quería que operaciones distinguiera la carga de clientes estratégicos de las transacciones oportunistas en lugar de tratar cada carga según su economía inmediata.</w:t>
      </w:r>
    </w:p>
    <w:p>
      <w:pPr>
        <w:pStyle w:val="BodyText"/>
      </w:pPr>
      <w:r>
        <w:t xml:space="preserve">La directora de personal Dana Wilkes veía un problema de conductores. La promesa de PrairieLine de un tiempo en casa predecible se había debilitado, y la rotación estaba aumentando. Ella favorecía regiones operativas más estrechas, compromisos de tiempo en casa más claros, y arreglos de pago que compensaran a los conductores por la espera y las asignaciones no deseadas. Reconocía que estas políticas podían hacer que la red fuera menos flexible, pero argumentaba que un tractocamión sin conductor no producía ingresos en absoluto.</w:t>
      </w:r>
    </w:p>
    <w:p>
      <w:pPr>
        <w:pStyle w:val="BodyText"/>
      </w:pPr>
      <w:r>
        <w:t xml:space="preserve">El director financiero Evan Brooks veía un problema de capital y riesgo. Cuestionaba si PrairieLine debía poseer suficiente equipo para cubrir picos incierto. Favorecía reducir el número de tractocamiones, expandir el corretaje y usar compromisos de clientes más cortos hasta que los volúmenes de carga se aclararan. Los otros ejecutivos se preocupaban de que una flota propia más pequeña erosionara el control del servicio y expusiera a la empresa a precios puntuales precisamente cuando la capacidad se ajustara.</w:t>
      </w:r>
    </w:p>
    <w:bookmarkEnd w:id="20"/>
    <w:bookmarkStart w:id="21" w:name="la-decisión-del-viernes"/>
    <w:p>
      <w:pPr>
        <w:pStyle w:val="Heading1"/>
      </w:pPr>
      <w:r>
        <w:t xml:space="preserve">La decisión del viernes</w:t>
      </w:r>
    </w:p>
    <w:p>
      <w:pPr>
        <w:pStyle w:val="FirstParagraph"/>
      </w:pPr>
      <w:r>
        <w:t xml:space="preserve">Para las 3:15 p.m., el número de ofertas de carga sin responder había aumentado a 151. Un cliente de alimentos agregó 11 cargas refrigeradas desde Iowa hacia el Sureste. Un cliente de productos para la construcción retiró seis cargas de Ohio porque su planta había detenido la producción. El precio en una publicación del tablero de carga de Nueva Jersey a Ohio aumentó $250, pero la carga desapareció antes de que el corredor de PrairieLine completara la llamada.</w:t>
      </w:r>
    </w:p>
    <w:p>
      <w:pPr>
        <w:pStyle w:val="BodyText"/>
      </w:pPr>
      <w:r>
        <w:t xml:space="preserve">Chen tenía que dar dirección al equipo de despacho de la noche. Podía enfatizar la mayor contribución en las cargas visibles, proteger a los mejores clientes contractuales, priorizar asignaciones que movieran a los conductores hacia casa, o reservar conductores en anticipación de carga que aún no había aparecido. Cada regla produciría diferentes ganadores y perdedores. Un enfoque combinado sonaba razonable, pero nadie estaba de acuerdo en los pesos, y las condiciones estaban cambiando más rápido de lo que la reunión podía resolver.</w:t>
      </w:r>
    </w:p>
    <w:p>
      <w:pPr>
        <w:pStyle w:val="BodyText"/>
      </w:pPr>
      <w:r>
        <w:t xml:space="preserve">El lunes, el equipo ejecutivo también comenzaría a revisar las licitaciones de tramos para 2027, cambios de domicilio, expansión del corretaje, tamaño de la flota, y una plataforma de despacho propuesta. Las asignaciones del viernes serían solo unas pocas cientos de decisiones en una empresa que tomaba miles cada semana, pero expusieron la pregunta más profunda: ¿qué quería PrairieLine que se convirtiera su red, y cuánto rendimiento a corto plazo estaba dispuesta a sacrificar para llegar allí?</w:t>
      </w:r>
    </w:p>
    <w:bookmarkEnd w:id="21"/>
    <w:bookmarkStart w:id="22" w:name="preguntas-de-discusión"/>
    <w:p>
      <w:pPr>
        <w:pStyle w:val="Heading1"/>
      </w:pPr>
      <w:r>
        <w:t xml:space="preserve">Preguntas de discusión</w:t>
      </w:r>
    </w:p>
    <w:p>
      <w:pPr>
        <w:numPr>
          <w:ilvl w:val="0"/>
          <w:numId w:val="1001"/>
        </w:numPr>
      </w:pPr>
      <w:r>
        <w:t xml:space="preserve">¿Cuál es el problema central que enfrenta PrairieLine el viernes por la tarde?</w:t>
      </w:r>
    </w:p>
    <w:p>
      <w:pPr>
        <w:numPr>
          <w:ilvl w:val="0"/>
          <w:numId w:val="1001"/>
        </w:numPr>
      </w:pPr>
      <w:r>
        <w:t xml:space="preserve">¿Cómo debería la dirección evaluar una carga cuyo margen inmediato es atractivo pero cuyo destino tiene carga de salida débil?</w:t>
      </w:r>
    </w:p>
    <w:p>
      <w:pPr>
        <w:numPr>
          <w:ilvl w:val="0"/>
          <w:numId w:val="1001"/>
        </w:numPr>
      </w:pPr>
      <w:r>
        <w:t xml:space="preserve">¿Qué compromisos con clientes deberían recibir prioridad cuando la capacidad es insuficiente para cubrir cada oferta?</w:t>
      </w:r>
    </w:p>
    <w:p>
      <w:pPr>
        <w:numPr>
          <w:ilvl w:val="0"/>
          <w:numId w:val="1001"/>
        </w:numPr>
      </w:pPr>
      <w:r>
        <w:t xml:space="preserve">¿Cómo deberían los compromisos de tiempo en casa y las preferencias de asignación de los conductores influir en las decisiones de despacho?</w:t>
      </w:r>
    </w:p>
    <w:p>
      <w:pPr>
        <w:numPr>
          <w:ilvl w:val="0"/>
          <w:numId w:val="1001"/>
        </w:numPr>
      </w:pPr>
      <w:r>
        <w:t xml:space="preserve">¿Cuándo debería PrairieLine mover a un conductor en vacío en lugar de aceptar una carga de reposicionamiento de bajo precio?</w:t>
      </w:r>
    </w:p>
    <w:p>
      <w:pPr>
        <w:numPr>
          <w:ilvl w:val="0"/>
          <w:numId w:val="1001"/>
        </w:numPr>
      </w:pPr>
      <w:r>
        <w:t xml:space="preserve">¿Qué información falta en el tablero de despacho del viernes que podría cambiar significativamente una asignación?</w:t>
      </w:r>
    </w:p>
    <w:p>
      <w:pPr>
        <w:numPr>
          <w:ilvl w:val="0"/>
          <w:numId w:val="1001"/>
        </w:numPr>
      </w:pPr>
      <w:r>
        <w:t xml:space="preserve">¿Cómo debería la empresa dividir la carga entre sus propios conductores y la capacidad de corretaje externa?</w:t>
      </w:r>
    </w:p>
    <w:p>
      <w:pPr>
        <w:numPr>
          <w:ilvl w:val="0"/>
          <w:numId w:val="1001"/>
        </w:numPr>
      </w:pPr>
      <w:r>
        <w:t xml:space="preserve">¿Qué debería considerar PrairieLine al ofertar precios anuales y compromisos de capacidad por tramo?</w:t>
      </w:r>
    </w:p>
    <w:p>
      <w:pPr>
        <w:numPr>
          <w:ilvl w:val="0"/>
          <w:numId w:val="1001"/>
        </w:numPr>
      </w:pPr>
      <w:r>
        <w:t xml:space="preserve">¿Agregar conductores en Ohio y Tennessee mejoraría la red, o simplemente movería el desequilibrio a otro lugar?</w:t>
      </w:r>
    </w:p>
    <w:p>
      <w:pPr>
        <w:numPr>
          <w:ilvl w:val="0"/>
          <w:numId w:val="1001"/>
        </w:numPr>
      </w:pPr>
      <w:r>
        <w:t xml:space="preserve">¿Cómo debería PrairieLine determinar si la plataforma de despacho propuesta está mejorando el rendimiento en lugar de trasladar costos entre clientes, conductores y períodos futuros?</w:t>
      </w:r>
    </w:p>
    <w:bookmarkEnd w:id="22"/>
    <w:bookmarkStart w:id="28" w:name="preguntas-de-encuadre-de-decisiones"/>
    <w:p>
      <w:pPr>
        <w:pStyle w:val="Heading1"/>
      </w:pPr>
      <w:r>
        <w:t xml:space="preserve">Preguntas de encuadre de decisiones</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3">
        <w:r>
          <w:rPr>
            <w:rStyle w:val="Hyperlink"/>
          </w:rPr>
          <w:t xml:space="preserve">herramienta de pirámide de métricas</w:t>
        </w:r>
      </w:hyperlink>
      <w:r>
        <w:t xml:space="preserve"> </w:t>
      </w:r>
      <w:r>
        <w:t xml:space="preserve">para identificar y priorizar las diferentes métricas de rendimiento. Haga clic en el óvalo que contiene la métrica para identificar si es una métrica a maximizar (verde), minimizar (rojo), un objetivo que es un piso (verde claro) o un techo (rojo claro), o finalmente un objetivo (morado).</w:t>
      </w:r>
    </w:p>
    <w:p>
      <w:pPr>
        <w:numPr>
          <w:ilvl w:val="0"/>
          <w:numId w:val="1002"/>
        </w:numPr>
      </w:pPr>
      <w:r>
        <w:t xml:space="preserve">Use la</w:t>
      </w:r>
      <w:r>
        <w:t xml:space="preserve"> </w:t>
      </w:r>
      <w:hyperlink r:id="rId24">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5">
        <w:r>
          <w:rPr>
            <w:rStyle w:val="Hyperlink"/>
          </w:rPr>
          <w:t xml:space="preserve">tipos de decisiones</w:t>
        </w:r>
      </w:hyperlink>
      <w:r>
        <w:t xml:space="preserve"> </w:t>
      </w:r>
      <w:r>
        <w:t xml:space="preserve">como guía). Estos luego poblarán las filas de la matriz a la derecha, donde las columnas son las métricas de rendimiento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asa (tres barras) más a la izquierda en cada fila para moverla hacia arriba o hacia abajo. Ordene las filas de manera que las decisiones con el mayor impacto en las métricas más importantes estén hacia la parte superior. Las celdas en la esquina superior izquierda deberían tener la mayor concentración de celdas rojas y naranjas. En este punto, identifique las decisiones que deberían recibir la mayor atención en su estudio. Si no tiene decisiones con un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6">
        <w:r>
          <w:rPr>
            <w:rStyle w:val="Hyperlink"/>
          </w:rPr>
          <w:t xml:space="preserve">herramienta de priorización de incertidumbres</w:t>
        </w:r>
      </w:hyperlink>
      <w:r>
        <w:t xml:space="preserve">. Use las</w:t>
      </w:r>
      <w:r>
        <w:t xml:space="preserve"> </w:t>
      </w:r>
      <w:hyperlink r:id="rId27">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rendimiento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parece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incluido el cálculo de cualquier métrica de rendimiento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8"/>
    <w:bookmarkStart w:id="31" w:name="notas-de-chatgpt"/>
    <w:p>
      <w:pPr>
        <w:pStyle w:val="Heading1"/>
      </w:pPr>
      <w:r>
        <w:t xml:space="preserve">Notas de ChatGPT</w:t>
      </w:r>
    </w:p>
    <w:bookmarkStart w:id="29" w:name="prompt"/>
    <w:p>
      <w:pPr>
        <w:pStyle w:val="Heading2"/>
      </w:pPr>
      <w:r>
        <w:t xml:space="preserve">Prompt</w:t>
      </w:r>
    </w:p>
    <w:p>
      <w:pPr>
        <w:pStyle w:val="FirstParagraph"/>
      </w:pPr>
      <w:r>
        <w:t xml:space="preserve">Write a 4-6 page case study based on the material in the section at https://warrenpowell.org/bridging-vol1/chapter-2/#truckload-fleet-management. Create a context based on the metrics, decisions and uncertainties in the section, but without explicitly calling attention to them. motivate your case Bottom of Form</w:t>
      </w:r>
    </w:p>
    <w:bookmarkEnd w:id="29"/>
    <w:bookmarkStart w:id="30" w:name="resumen"/>
    <w:p>
      <w:pPr>
        <w:pStyle w:val="Heading2"/>
      </w:pPr>
      <w:r>
        <w:t xml:space="preserve">Resumen</w:t>
      </w:r>
    </w:p>
    <w:p>
      <w:pPr>
        <w:pStyle w:val="FirstParagraph"/>
      </w:pPr>
      <w:r>
        <w:t xml:space="preserve">El caso presenta un transportista ficticio de carga completa de tamaño mediano que intenta coordinar la aceptación diaria de carga, las asignaciones de conductores, los compromisos con los clientes, las promesas de tiempo en casa, la capacidad de corretaje, las licitaciones anuales de tramos y el tamaño de la flota.</w:t>
      </w:r>
    </w:p>
    <w:p>
      <w:pPr>
        <w:pStyle w:val="BodyText"/>
      </w:pPr>
      <w:r>
        <w:t xml:space="preserve">El entorno se basa en datos de la industria que muestran que los camiones transportaron 11.27 mil millones de toneladas de carga en EE. UU. y generaron aproximadamente $906 mil millones en ingresos durante 2024. El caso también se basa en datos federales sobre empleo de conductores, horas de servicio y precios del diésel.</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2026-09-11T15:26:11Z</dcterms:created>
  <dcterms:modified xsi:type="dcterms:W3CDTF">2026-09-11T15:26:11Z</dcterms:modified>
</cp:coreProperties>
</file>

<file path=docProps/custom.xml><?xml version="1.0" encoding="utf-8"?>
<Properties xmlns="http://schemas.openxmlformats.org/officeDocument/2006/custom-properties" xmlns:vt="http://schemas.openxmlformats.org/officeDocument/2006/docPropsVTypes"/>
</file>