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 aguja del financiamiento de Redwood</w:t>
      </w:r>
    </w:p>
    <w:p>
      <w:pPr>
        <w:pStyle w:val="BodyText"/>
      </w:pPr>
      <w:r>
        <w:t xml:space="preserve">Una agencia estatal de adicciones equilibra naloxona, tratamiento, recuperación – y los ingresos restringidos</w:t>
      </w:r>
    </w:p>
    <w:p>
      <w:pPr>
        <w:pStyle w:val="BodyText"/>
      </w:pPr>
      <w:r>
        <w:t xml:space="preserve">Este caso es ficticio. Las estadísticas públicas y las descripciones de programas federales provienen de las fuentes enumeradas al final.</w:t>
      </w:r>
    </w:p>
    <w:p>
      <w:pPr>
        <w:pStyle w:val="BodyText"/>
      </w:pPr>
      <w:r>
        <w:rPr>
          <w:b/>
          <w:bCs/>
        </w:rPr>
        <w:t xml:space="preserve">7 de octubre de 2026 — 6:20 a.m.</w:t>
      </w:r>
      <w:r>
        <w:t xml:space="preserve"> </w:t>
      </w:r>
      <w:r>
        <w:t xml:space="preserve">La Dra. Elena Marquez, comisionada del Departamento de Servicios de Recuperación de Redwood (RDRS, por sus siglas en inglés), tenía tres hojas de cálculo abiertas sobre la mesa de su cocina. Una mostraba un recuento estatal de muertes por sobredosis en descenso. Una segunda mostraba una brecha de financiamiento proyectada de $18.6 millones. La tercera enumeraba 126 puestos que no podrían mantenerse después de junio a menos que actuaran la legislatura, el gobierno federal o donantes privados.</w:t>
      </w:r>
    </w:p>
    <w:p>
      <w:pPr>
        <w:pStyle w:val="BodyText"/>
      </w:pPr>
      <w:r>
        <w:rPr>
          <w:b/>
          <w:bCs/>
        </w:rPr>
        <w:t xml:space="preserve">La mejora aparente en la mortalidad complicó, más que simplificó, el problema.</w:t>
      </w:r>
      <w:r>
        <w:t xml:space="preserve"> </w:t>
      </w:r>
      <w:r>
        <w:t xml:space="preserve">A nivel nacional, las muertes por sobredosis habían disminuido bruscamente desde su pico durante la pandemia, pero decenas de miles de personas seguían muriendo cada año. La estimación preliminar del CDC para los 12 meses que terminaron en diciembre de 2025 fue de aproximadamente 69,973 muertes, un 13.9% por debajo del año anterior. Los datos finales de 2024 mostraron 54,045 muertes relacionadas con opioides, incluidas 47,735 relacionadas con opioides sintéticos distintos de la metadona. Mientras tanto, SAMHSA estimó que 4.8 millones de estadounidenses de 12 años o más tenían trastorno por uso de opioides en 2024, pero solo el 17% recibió medicamentos para el trastorno por uso de opioides.</w:t>
      </w:r>
    </w:p>
    <w:p>
      <w:pPr>
        <w:pStyle w:val="BodyText"/>
      </w:pPr>
      <w:r>
        <w:t xml:space="preserve">El gobernador de Redwood quería evidencia de que las inversiones de emergencia podían reducirse ahora. Los funcionarios del condado querían más naloxona. Los proveedores de tratamiento querían mayores reembolsos. Las organizaciones de recuperación querían apoyo en vivienda y empleo. Las subvenciones federales seguían siendo grandes, pero cada una llegaba con sus propias poblaciones elegibles, actividades requeridas, reglas de informes y medidas de desempeño. Los donantes locales eran flexibles pero pequeños—y cada vez más interesados en proyectos visibles y a corto plazo en lugar de personal permanente.</w:t>
      </w:r>
    </w:p>
    <w:p>
      <w:pPr>
        <w:pStyle w:val="BodyText"/>
      </w:pPr>
      <w:r>
        <w:t xml:space="preserve">A las 9:00 a.m., Marquez presidiría un retiro presupuestario. La pregunta no era simplemente cómo recaudar dinero. Era cómo construir una cartera de financiamiento que mantuviera intacta una fuerza laboral a nivel estatal mientras atendía a poblaciones cuyas necesidades no se ajustaban perfectamente a las restricciones vinculadas a los dólares disponibles.</w:t>
      </w:r>
    </w:p>
    <w:bookmarkStart w:id="9" w:name="el-sistema-redwood"/>
    <w:p>
      <w:pPr>
        <w:pStyle w:val="Heading1"/>
      </w:pPr>
      <w:r>
        <w:t xml:space="preserve">El sistema Redwood</w:t>
      </w:r>
    </w:p>
    <w:p>
      <w:pPr>
        <w:pStyle w:val="FirstParagraph"/>
      </w:pPr>
      <w:r>
        <w:t xml:space="preserve">Redwood era un estado ficticio de 6.8 millones de residentes, con dos grandes áreas metropolitanas, un corredor industrial en declive, condados agrícolas, tierras tribales y comunidades montañosas remotas. RDRS había sido creado cinco años antes al combinar la oficina estatal de prevención de sobredosis, la autoridad de tratamiento de adicciones y la unidad de servicios de recuperación. La consolidación prometía un</w:t>
      </w:r>
      <w:r>
        <w:t xml:space="preserve"> </w:t>
      </w:r>
      <w:r>
        <w:t xml:space="preserve">“continuo único de atención”</w:t>
      </w:r>
      <w:r>
        <w:t xml:space="preserve">, pero su financiamiento seguía fragmentado.</w:t>
      </w:r>
    </w:p>
    <w:p>
      <w:pPr>
        <w:pStyle w:val="BodyText"/>
      </w:pPr>
      <w:r>
        <w:t xml:space="preserve">RDRS no operaba hospitales. Empleaba clínicos, farmacéuticos, epidemiólogos, especialistas en recuperación por pares, gestores de subvenciones, personal de adquisiciones y coordinadores regionales. Contrataba con proveedores comunitarios y agencias del condado, mientras gestionaba directamente el almacén estatal de naloxona, la vigilancia de sobredosis, la línea de acceso a tratamiento, los equipos clínicos móviles y el programa de navegación de recuperación.</w:t>
      </w:r>
    </w:p>
    <w:p>
      <w:pPr>
        <w:pStyle w:val="BodyText"/>
      </w:pPr>
      <w:r>
        <w:t xml:space="preserve">El personal era el costo dominante de la agencia. El personal hacía más que prestar servicios: capacitaba a socios locales, mantenía órdenes permanentes, supervisaba a subreceptores, recopilaba datos federales, investigaba brotes, negociaba capacidad con proveedores y ayudaba a las personas a pasar de la atención de emergencia al tratamiento, la vivienda, los beneficios y el empleo. Muchos puestos eran financiados por subvenciones que los trataban como gastos temporales de proyecto, aunque el trabajo se había convertido en una responsabilidad operativa permanente.</w:t>
      </w:r>
    </w:p>
    <w:p>
      <w:pPr>
        <w:pStyle w:val="BodyText"/>
      </w:pPr>
      <w:r>
        <w:t xml:space="preserve">Exhibición 1. Perfil operativo de RDRS, año fiscal 2026</w:t>
      </w:r>
    </w:p>
    <w:tbl>
      <w:tblPr>
        <w:tblStyle w:val="Table"/>
        <w:tblW w:type="pct" w:w="4930"/>
        <w:tblLayout w:type="fixed"/>
        <w:tblLook w:firstRow="1" w:lastRow="0" w:firstColumn="0" w:lastColumn="0" w:noHBand="0" w:noVBand="0" w:val="0020"/>
      </w:tblPr>
      <w:tblGrid>
        <w:gridCol w:w="2270"/>
        <w:gridCol w:w="664"/>
        <w:gridCol w:w="996"/>
        <w:gridCol w:w="3876"/>
      </w:tblGrid>
      <w:tr>
        <w:trPr>
          <w:tblHeader w:val="on"/>
        </w:trPr>
        <w:tc>
          <w:tcPr/>
          <w:p>
            <w:pPr>
              <w:pStyle w:val="Compact"/>
              <w:jc w:val="left"/>
            </w:pPr>
            <w:r>
              <w:t xml:space="preserve">Área de programa</w:t>
            </w:r>
          </w:p>
        </w:tc>
        <w:tc>
          <w:tcPr/>
          <w:p>
            <w:pPr>
              <w:pStyle w:val="Compact"/>
              <w:jc w:val="center"/>
            </w:pPr>
            <w:r>
              <w:t xml:space="preserve">Empleados</w:t>
            </w:r>
          </w:p>
        </w:tc>
        <w:tc>
          <w:tcPr/>
          <w:p>
            <w:pPr>
              <w:pStyle w:val="Compact"/>
              <w:jc w:val="left"/>
            </w:pPr>
            <w:r>
              <w:t xml:space="preserve">Costo anual</w:t>
            </w:r>
          </w:p>
        </w:tc>
        <w:tc>
          <w:tcPr/>
          <w:p>
            <w:pPr>
              <w:pStyle w:val="Compact"/>
              <w:jc w:val="left"/>
            </w:pPr>
            <w:r>
              <w:t xml:space="preserve">Resultado seleccionado del año fiscal 2026</w:t>
            </w:r>
          </w:p>
        </w:tc>
      </w:tr>
      <w:tr>
        <w:tc>
          <w:tcPr/>
          <w:p>
            <w:pPr>
              <w:pStyle w:val="Compact"/>
              <w:jc w:val="left"/>
            </w:pPr>
            <w:r>
              <w:t xml:space="preserve">Naloxona y reducción de daños</w:t>
            </w:r>
          </w:p>
        </w:tc>
        <w:tc>
          <w:tcPr/>
          <w:p>
            <w:pPr>
              <w:pStyle w:val="Compact"/>
              <w:jc w:val="center"/>
            </w:pPr>
            <w:r>
              <w:t xml:space="preserve">94</w:t>
            </w:r>
          </w:p>
        </w:tc>
        <w:tc>
          <w:tcPr/>
          <w:p>
            <w:pPr>
              <w:pStyle w:val="Compact"/>
              <w:jc w:val="left"/>
            </w:pPr>
            <w:r>
              <w:t xml:space="preserve">$18.9 millones</w:t>
            </w:r>
          </w:p>
        </w:tc>
        <w:tc>
          <w:tcPr/>
          <w:p>
            <w:pPr>
              <w:pStyle w:val="Compact"/>
              <w:jc w:val="left"/>
            </w:pPr>
            <w:r>
              <w:t xml:space="preserve">428,000 kits de dos dosis distribuidos; 31,400 personas capacitadas</w:t>
            </w:r>
          </w:p>
        </w:tc>
      </w:tr>
      <w:tr>
        <w:tc>
          <w:tcPr/>
          <w:p>
            <w:pPr>
              <w:pStyle w:val="Compact"/>
              <w:jc w:val="left"/>
            </w:pPr>
            <w:r>
              <w:t xml:space="preserve">Acceso a tratamiento y servicios clínicos</w:t>
            </w:r>
          </w:p>
        </w:tc>
        <w:tc>
          <w:tcPr/>
          <w:p>
            <w:pPr>
              <w:pStyle w:val="Compact"/>
              <w:jc w:val="center"/>
            </w:pPr>
            <w:r>
              <w:t xml:space="preserve">171</w:t>
            </w:r>
          </w:p>
        </w:tc>
        <w:tc>
          <w:tcPr/>
          <w:p>
            <w:pPr>
              <w:pStyle w:val="Compact"/>
              <w:jc w:val="left"/>
            </w:pPr>
            <w:r>
              <w:t xml:space="preserve">$43.7 millones</w:t>
            </w:r>
          </w:p>
        </w:tc>
        <w:tc>
          <w:tcPr/>
          <w:p>
            <w:pPr>
              <w:pStyle w:val="Compact"/>
              <w:jc w:val="left"/>
            </w:pPr>
            <w:r>
              <w:t xml:space="preserve">21,800 inicios de tratamiento; 7,600 inicios de MOUD</w:t>
            </w:r>
          </w:p>
        </w:tc>
      </w:tr>
      <w:tr>
        <w:tc>
          <w:tcPr/>
          <w:p>
            <w:pPr>
              <w:pStyle w:val="Compact"/>
              <w:jc w:val="left"/>
            </w:pPr>
            <w:r>
              <w:t xml:space="preserve">Recuperación y estabilización</w:t>
            </w:r>
          </w:p>
        </w:tc>
        <w:tc>
          <w:tcPr/>
          <w:p>
            <w:pPr>
              <w:pStyle w:val="Compact"/>
              <w:jc w:val="center"/>
            </w:pPr>
            <w:r>
              <w:t xml:space="preserve">116</w:t>
            </w:r>
          </w:p>
        </w:tc>
        <w:tc>
          <w:tcPr/>
          <w:p>
            <w:pPr>
              <w:pStyle w:val="Compact"/>
              <w:jc w:val="left"/>
            </w:pPr>
            <w:r>
              <w:t xml:space="preserve">$25.4 millones</w:t>
            </w:r>
          </w:p>
        </w:tc>
        <w:tc>
          <w:tcPr/>
          <w:p>
            <w:pPr>
              <w:pStyle w:val="Compact"/>
              <w:jc w:val="left"/>
            </w:pPr>
            <w:r>
              <w:t xml:space="preserve">12,900 clientes que reciben navegación, vivienda o apoyo laboral</w:t>
            </w:r>
          </w:p>
        </w:tc>
      </w:tr>
      <w:tr>
        <w:tc>
          <w:tcPr/>
          <w:p>
            <w:pPr>
              <w:pStyle w:val="Compact"/>
              <w:jc w:val="left"/>
            </w:pPr>
            <w:r>
              <w:t xml:space="preserve">Vigilancia, evaluación y subvenciones</w:t>
            </w:r>
          </w:p>
        </w:tc>
        <w:tc>
          <w:tcPr/>
          <w:p>
            <w:pPr>
              <w:pStyle w:val="Compact"/>
              <w:jc w:val="center"/>
            </w:pPr>
            <w:r>
              <w:t xml:space="preserve">73</w:t>
            </w:r>
          </w:p>
        </w:tc>
        <w:tc>
          <w:tcPr/>
          <w:p>
            <w:pPr>
              <w:pStyle w:val="Compact"/>
              <w:jc w:val="left"/>
            </w:pPr>
            <w:r>
              <w:t xml:space="preserve">$16.8 millones</w:t>
            </w:r>
          </w:p>
        </w:tc>
        <w:tc>
          <w:tcPr/>
          <w:p>
            <w:pPr>
              <w:pStyle w:val="Compact"/>
              <w:jc w:val="left"/>
            </w:pPr>
            <w:r>
              <w:t xml:space="preserve">62 subvenciones supervisadas; panel semanal de sobredosis</w:t>
            </w:r>
          </w:p>
        </w:tc>
      </w:tr>
      <w:tr>
        <w:tc>
          <w:tcPr/>
          <w:p>
            <w:pPr>
              <w:pStyle w:val="Compact"/>
              <w:jc w:val="left"/>
            </w:pPr>
            <w:r>
              <w:t xml:space="preserve">Administración y servicios compartidos</w:t>
            </w:r>
          </w:p>
        </w:tc>
        <w:tc>
          <w:tcPr/>
          <w:p>
            <w:pPr>
              <w:pStyle w:val="Compact"/>
              <w:jc w:val="center"/>
            </w:pPr>
            <w:r>
              <w:t xml:space="preserve">52</w:t>
            </w:r>
          </w:p>
        </w:tc>
        <w:tc>
          <w:tcPr/>
          <w:p>
            <w:pPr>
              <w:pStyle w:val="Compact"/>
              <w:jc w:val="left"/>
            </w:pPr>
            <w:r>
              <w:t xml:space="preserve">$13.2 millones</w:t>
            </w:r>
          </w:p>
        </w:tc>
        <w:tc>
          <w:tcPr/>
          <w:p>
            <w:pPr>
              <w:pStyle w:val="Compact"/>
              <w:jc w:val="left"/>
            </w:pPr>
            <w:r>
              <w:t xml:space="preserve">Adquisiciones, finanzas, TI, legal, RH</w:t>
            </w:r>
          </w:p>
        </w:tc>
      </w:tr>
      <w:tr>
        <w:tc>
          <w:tcPr/>
          <w:p>
            <w:pPr>
              <w:pStyle w:val="Compact"/>
              <w:jc w:val="left"/>
            </w:pPr>
            <w:r>
              <w:t xml:space="preserve">Total</w:t>
            </w:r>
          </w:p>
        </w:tc>
        <w:tc>
          <w:tcPr/>
          <w:p>
            <w:pPr>
              <w:pStyle w:val="Compact"/>
              <w:jc w:val="center"/>
            </w:pPr>
            <w:r>
              <w:t xml:space="preserve">506</w:t>
            </w:r>
          </w:p>
        </w:tc>
        <w:tc>
          <w:tcPr/>
          <w:p>
            <w:pPr>
              <w:pStyle w:val="Compact"/>
              <w:jc w:val="left"/>
            </w:pPr>
            <w:r>
              <w:t xml:space="preserve">$118.0 millones</w:t>
            </w:r>
          </w:p>
        </w:tc>
        <w:tc>
          <w:tcPr/>
          <w:p>
            <w:pPr>
              <w:pStyle w:val="Compact"/>
              <w:jc w:val="left"/>
            </w:pPr>
            <w:r>
              <w:t xml:space="preserve">Operaciones a nivel estatal</w:t>
            </w:r>
          </w:p>
        </w:tc>
      </w:tr>
    </w:tbl>
    <w:p>
      <w:pPr>
        <w:pStyle w:val="BodyText"/>
      </w:pPr>
      <w:r>
        <w:t xml:space="preserve">Nota: Todos los datos de Redwood son ficticios. El</w:t>
      </w:r>
      <w:r>
        <w:t xml:space="preserve"> </w:t>
      </w:r>
      <w:r>
        <w:t xml:space="preserve">“Costo anual”</w:t>
      </w:r>
      <w:r>
        <w:t xml:space="preserve"> </w:t>
      </w:r>
      <w:r>
        <w:t xml:space="preserve">incluye personal, beneficios, contratos, suministros y gastos generales asignados.</w:t>
      </w:r>
    </w:p>
    <w:bookmarkEnd w:id="9"/>
    <w:bookmarkStart w:id="10" w:name="un-mejor-añoo-una-mejora-frágil"/>
    <w:p>
      <w:pPr>
        <w:pStyle w:val="Heading1"/>
      </w:pPr>
      <w:r>
        <w:t xml:space="preserve">¿Un mejor año—o una mejora frágil?</w:t>
      </w:r>
    </w:p>
    <w:p>
      <w:pPr>
        <w:pStyle w:val="FirstParagraph"/>
      </w:pPr>
      <w:r>
        <w:t xml:space="preserve">Las muertes por sobredosis provisionales de Redwood habían disminuido de 2,180 en 2023 a 1,640 en 2025. Las visitas a salas de emergencia por sobredosis también disminuyeron, pero de manera menos drástica. Los totales estatales ocultaban diferencias persistentes: las muertes urbanas disminuían más rápido que las muertes rurales; las muertes entre adultos mayores de 45 años disminuían lentamente; y las sobredosis relacionadas con estimulantes se convertían en una proporción mayor de los casos. Varios condados reportaron que la naloxona se estaba usando más de una vez durante un solo evento.</w:t>
      </w:r>
    </w:p>
    <w:p>
      <w:pPr>
        <w:pStyle w:val="BodyText"/>
      </w:pPr>
      <w:r>
        <w:t xml:space="preserve">Los epidemiólogos de Marquez advirtieron contra tratar el descenso como prueba de que la crisis había pasado. Los análisis nacionales atribuían las mejoras recientes a múltiples factores, incluida una distribución más amplia de naloxona, un mejor acceso al tratamiento, cambios en el suministro ilegal de drogas, la restauración de actividades de prevención después de la pandemia, y la inversión pública continua. Si el financiamiento se reducía porque los resultados mejoraron, el estado podría desmantelar parte de la capacidad que había contribuido a esos resultados.</w:t>
      </w:r>
    </w:p>
    <w:bookmarkEnd w:id="10"/>
    <w:bookmarkStart w:id="11" w:name="la-arquitectura-de-ingresos"/>
    <w:p>
      <w:pPr>
        <w:pStyle w:val="Heading1"/>
      </w:pPr>
      <w:r>
        <w:t xml:space="preserve">La arquitectura de ingresos</w:t>
      </w:r>
    </w:p>
    <w:p>
      <w:pPr>
        <w:pStyle w:val="FirstParagraph"/>
      </w:pPr>
      <w:r>
        <w:t xml:space="preserve">El presupuesto de RDRS parecía diversificado desde la distancia. En la práctica, gran parte estaba restringido. El programa federal de Respuesta Estatal a Opioides (SOR, por sus siglas en inglés) apoyaba la prevención, la reducción de daños, el tratamiento y los servicios de recuperación, pero la continuidad del financiamiento dependía de las asignaciones del congreso, el progreso hacia los objetivos, los informes oportunos y el cumplimiento de las condiciones de la subvención. La convocatoria SOR del año fiscal 2024 anticipaba $1.4805 mil millones a nivel nacional para hasta 59 adjudicaciones; el HHS anunció posteriormente más de $1.5 mil millones en adjudicaciones de continuación del año fiscal 2025 para la respuesta estatal y tribal a opioides. La aparente estabilidad no eliminaba la incertidumbre anual a nivel estatal.</w:t>
      </w:r>
    </w:p>
    <w:p>
      <w:pPr>
        <w:pStyle w:val="BodyText"/>
      </w:pPr>
      <w:r>
        <w:t xml:space="preserve">Otros fondos federales se enfocaban en vigilancia, poblaciones de subvenciones en bloque, personas involucradas en el sistema de justicia, personas embarazadas y en crianza, prevención juvenil, o prácticas específicas basadas en evidencia. Las asignaciones estatales eran más flexibles pero expuestas al ciclo presupuestario anual. Los ingresos por acuerdos de opioides podían apoyar la remediación, pero estaban regidos por acuerdos legales y supervisión política. Medicaid reembolsaba encuentros clínicos pero generalmente no pagaba por difusión amplia, naloxona colocada en lugares públicos, cumplimiento de subvenciones o navegación laboral. Los donantes privados a menudo preferían iniciativas con nombre y resultados medibles y visibles.</w:t>
      </w:r>
    </w:p>
    <w:p>
      <w:pPr>
        <w:pStyle w:val="BodyText"/>
      </w:pPr>
      <w:r>
        <w:t xml:space="preserve">Exhibición 2. Financiamiento proyectado por fuente para el año fiscal 2027</w:t>
      </w:r>
    </w:p>
    <w:tbl>
      <w:tblPr>
        <w:tblStyle w:val="Table"/>
        <w:tblW w:type="pct" w:w="4939"/>
        <w:tblLayout w:type="fixed"/>
        <w:tblLook w:firstRow="1" w:lastRow="0" w:firstColumn="0" w:lastColumn="0" w:noHBand="0" w:noVBand="0" w:val="0020"/>
      </w:tblPr>
      <w:tblGrid>
        <w:gridCol w:w="1488"/>
        <w:gridCol w:w="528"/>
        <w:gridCol w:w="1104"/>
        <w:gridCol w:w="4704"/>
      </w:tblGrid>
      <w:tr>
        <w:trPr>
          <w:tblHeader w:val="on"/>
        </w:trPr>
        <w:tc>
          <w:tcPr/>
          <w:p>
            <w:pPr>
              <w:pStyle w:val="Compact"/>
              <w:jc w:val="left"/>
            </w:pPr>
            <w:r>
              <w:t xml:space="preserve">Fuente</w:t>
            </w:r>
          </w:p>
        </w:tc>
        <w:tc>
          <w:tcPr/>
          <w:p>
            <w:pPr>
              <w:pStyle w:val="Compact"/>
              <w:jc w:val="right"/>
            </w:pPr>
            <w:r>
              <w:t xml:space="preserve">Año fiscal</w:t>
            </w:r>
          </w:p>
        </w:tc>
        <w:tc>
          <w:tcPr/>
          <w:p>
            <w:pPr>
              <w:pStyle w:val="Compact"/>
              <w:jc w:val="right"/>
            </w:pPr>
            <w:r>
              <w:t xml:space="preserve">2026 Caso de planific</w:t>
            </w:r>
          </w:p>
        </w:tc>
        <w:tc>
          <w:tcPr/>
          <w:p>
            <w:pPr>
              <w:pStyle w:val="Compact"/>
              <w:jc w:val="left"/>
            </w:pPr>
            <w:r>
              <w:t xml:space="preserve">ación año fiscal 2027 Restricciones o incertidumbre principales</w:t>
            </w:r>
          </w:p>
        </w:tc>
      </w:tr>
      <w:tr>
        <w:tc>
          <w:tcPr/>
          <w:p>
            <w:pPr>
              <w:pStyle w:val="Compact"/>
              <w:jc w:val="left"/>
            </w:pPr>
            <w:r>
              <w:t xml:space="preserve">Subvención federal SOR</w:t>
            </w:r>
          </w:p>
        </w:tc>
        <w:tc>
          <w:tcPr/>
          <w:p>
            <w:pPr>
              <w:pStyle w:val="Compact"/>
              <w:jc w:val="right"/>
            </w:pPr>
            <w:r>
              <w:t xml:space="preserve">$38.4M</w:t>
            </w:r>
          </w:p>
        </w:tc>
        <w:tc>
          <w:tcPr/>
          <w:p>
            <w:pPr>
              <w:pStyle w:val="Compact"/>
              <w:jc w:val="right"/>
            </w:pPr>
            <w:r>
              <w:t xml:space="preserve">$31.0M–$39.2M</w:t>
            </w:r>
          </w:p>
        </w:tc>
        <w:tc>
          <w:tcPr/>
          <w:p>
            <w:pPr>
              <w:pStyle w:val="Compact"/>
              <w:jc w:val="left"/>
            </w:pPr>
            <w:r>
              <w:t xml:space="preserve">Continuación anual; objetivos de opioides/estimulantes; informes detallados; requisitos de subreceptores</w:t>
            </w:r>
          </w:p>
        </w:tc>
      </w:tr>
      <w:tr>
        <w:tc>
          <w:tcPr/>
          <w:p>
            <w:pPr>
              <w:pStyle w:val="Compact"/>
              <w:jc w:val="left"/>
            </w:pPr>
            <w:r>
              <w:t xml:space="preserve">Otras subvenciones federales</w:t>
            </w:r>
          </w:p>
        </w:tc>
        <w:tc>
          <w:tcPr/>
          <w:p>
            <w:pPr>
              <w:pStyle w:val="Compact"/>
              <w:jc w:val="right"/>
            </w:pPr>
            <w:r>
              <w:t xml:space="preserve">$19.6M</w:t>
            </w:r>
          </w:p>
        </w:tc>
        <w:tc>
          <w:tcPr/>
          <w:p>
            <w:pPr>
              <w:pStyle w:val="Compact"/>
              <w:jc w:val="right"/>
            </w:pPr>
            <w:r>
              <w:t xml:space="preserve">$15.1M–$20.4M</w:t>
            </w:r>
          </w:p>
        </w:tc>
        <w:tc>
          <w:tcPr/>
          <w:p>
            <w:pPr>
              <w:pStyle w:val="Compact"/>
              <w:jc w:val="left"/>
            </w:pPr>
            <w:r>
              <w:t xml:space="preserve">Poblaciones o actividades limitadas; diferentes períodos de subvención y reglas de costos indirectos</w:t>
            </w:r>
          </w:p>
        </w:tc>
      </w:tr>
      <w:tr>
        <w:tc>
          <w:tcPr/>
          <w:p>
            <w:pPr>
              <w:pStyle w:val="Compact"/>
              <w:jc w:val="left"/>
            </w:pPr>
            <w:r>
              <w:t xml:space="preserve">Fondo general estatal</w:t>
            </w:r>
          </w:p>
        </w:tc>
        <w:tc>
          <w:tcPr/>
          <w:p>
            <w:pPr>
              <w:pStyle w:val="Compact"/>
              <w:jc w:val="right"/>
            </w:pPr>
            <w:r>
              <w:t xml:space="preserve">$25.0M</w:t>
            </w:r>
          </w:p>
        </w:tc>
        <w:tc>
          <w:tcPr/>
          <w:p>
            <w:pPr>
              <w:pStyle w:val="Compact"/>
              <w:jc w:val="right"/>
            </w:pPr>
            <w:r>
              <w:t xml:space="preserve">$21.0M–$30.0M</w:t>
            </w:r>
          </w:p>
        </w:tc>
        <w:tc>
          <w:tcPr/>
          <w:p>
            <w:pPr>
              <w:pStyle w:val="Compact"/>
              <w:jc w:val="left"/>
            </w:pPr>
            <w:r>
              <w:t xml:space="preserve">Asignación anual; prioridades presupuestarias competidoras</w:t>
            </w:r>
          </w:p>
        </w:tc>
      </w:tr>
      <w:tr>
        <w:tc>
          <w:tcPr/>
          <w:p>
            <w:pPr>
              <w:pStyle w:val="Compact"/>
              <w:jc w:val="left"/>
            </w:pPr>
            <w:r>
              <w:t xml:space="preserve">Asignación de acuerdo de opioid</w:t>
            </w:r>
          </w:p>
        </w:tc>
        <w:tc>
          <w:tcPr/>
          <w:p>
            <w:pPr>
              <w:pStyle w:val="Compact"/>
              <w:jc w:val="right"/>
            </w:pPr>
            <w:r>
              <w:t xml:space="preserve">es $14.5M</w:t>
            </w:r>
          </w:p>
        </w:tc>
        <w:tc>
          <w:tcPr/>
          <w:p>
            <w:pPr>
              <w:pStyle w:val="Compact"/>
              <w:jc w:val="right"/>
            </w:pPr>
            <w:r>
              <w:t xml:space="preserve">$11.0M–$16.0M</w:t>
            </w:r>
          </w:p>
        </w:tc>
        <w:tc>
          <w:tcPr/>
          <w:p>
            <w:pPr>
              <w:pStyle w:val="Compact"/>
              <w:jc w:val="left"/>
            </w:pPr>
            <w:r>
              <w:t xml:space="preserve">Debe calificar como remediación de opioides; supervisión pública y legal</w:t>
            </w:r>
          </w:p>
        </w:tc>
      </w:tr>
      <w:tr>
        <w:tc>
          <w:tcPr/>
          <w:p>
            <w:pPr>
              <w:pStyle w:val="Compact"/>
              <w:jc w:val="left"/>
            </w:pPr>
            <w:r>
              <w:t xml:space="preserve">Medicaid e ingresos por servici</w:t>
            </w:r>
          </w:p>
        </w:tc>
        <w:tc>
          <w:tcPr/>
          <w:p>
            <w:pPr>
              <w:pStyle w:val="Compact"/>
              <w:jc w:val="right"/>
            </w:pPr>
            <w:r>
              <w:t xml:space="preserve">os $13.1M</w:t>
            </w:r>
          </w:p>
        </w:tc>
        <w:tc>
          <w:tcPr/>
          <w:p>
            <w:pPr>
              <w:pStyle w:val="Compact"/>
              <w:jc w:val="right"/>
            </w:pPr>
            <w:r>
              <w:t xml:space="preserve">$13.8M–$16.5M</w:t>
            </w:r>
          </w:p>
        </w:tc>
        <w:tc>
          <w:tcPr/>
          <w:p>
            <w:pPr>
              <w:pStyle w:val="Compact"/>
              <w:jc w:val="left"/>
            </w:pPr>
            <w:r>
              <w:t xml:space="preserve">Depende de encuentros facturables, inscripción, tarifas y capacidad de proveedores</w:t>
            </w:r>
          </w:p>
        </w:tc>
      </w:tr>
      <w:tr>
        <w:tc>
          <w:tcPr/>
          <w:p>
            <w:pPr>
              <w:pStyle w:val="Compact"/>
              <w:jc w:val="left"/>
            </w:pPr>
            <w:r>
              <w:t xml:space="preserve">Fundaciones y donantes locales</w:t>
            </w:r>
          </w:p>
        </w:tc>
        <w:tc>
          <w:tcPr/>
          <w:p>
            <w:pPr>
              <w:pStyle w:val="Compact"/>
              <w:jc w:val="right"/>
            </w:pPr>
            <w:r>
              <w:t xml:space="preserve">$4.6M</w:t>
            </w:r>
          </w:p>
        </w:tc>
        <w:tc>
          <w:tcPr/>
          <w:p>
            <w:pPr>
              <w:pStyle w:val="Compact"/>
              <w:jc w:val="right"/>
            </w:pPr>
            <w:r>
              <w:t xml:space="preserve">$3.0M–$8.0M</w:t>
            </w:r>
          </w:p>
        </w:tc>
        <w:tc>
          <w:tcPr/>
          <w:p>
            <w:pPr>
              <w:pStyle w:val="Compact"/>
              <w:jc w:val="left"/>
            </w:pPr>
            <w:r>
              <w:t xml:space="preserve">Adjudicaciones pequeñas; preferencias de donantes; apetito limitado por nómina permanente</w:t>
            </w:r>
          </w:p>
        </w:tc>
      </w:tr>
      <w:tr>
        <w:tc>
          <w:tcPr/>
          <w:p>
            <w:pPr>
              <w:pStyle w:val="Compact"/>
              <w:jc w:val="left"/>
            </w:pPr>
            <w:r>
              <w:t xml:space="preserve">Otros</w:t>
            </w:r>
          </w:p>
        </w:tc>
        <w:tc>
          <w:tcPr/>
          <w:p>
            <w:pPr>
              <w:pStyle w:val="Compact"/>
              <w:jc w:val="right"/>
            </w:pPr>
            <w:r>
              <w:t xml:space="preserve">$2.8M</w:t>
            </w:r>
          </w:p>
        </w:tc>
        <w:tc>
          <w:tcPr/>
          <w:p>
            <w:pPr>
              <w:pStyle w:val="Compact"/>
              <w:jc w:val="right"/>
            </w:pPr>
            <w:r>
              <w:t xml:space="preserve">$2.5M–$3.0M</w:t>
            </w:r>
          </w:p>
        </w:tc>
        <w:tc>
          <w:tcPr/>
          <w:p>
            <w:pPr>
              <w:pStyle w:val="Compact"/>
              <w:jc w:val="left"/>
            </w:pPr>
            <w:r>
              <w:t xml:space="preserve">Tarifas, capacitación, acuerdos interagenciales</w:t>
            </w:r>
          </w:p>
        </w:tc>
      </w:tr>
      <w:tr>
        <w:tc>
          <w:tcPr/>
          <w:p>
            <w:pPr>
              <w:pStyle w:val="Compact"/>
              <w:jc w:val="left"/>
            </w:pPr>
            <w:r>
              <w:t xml:space="preserve">Total</w:t>
            </w:r>
          </w:p>
        </w:tc>
        <w:tc>
          <w:tcPr/>
          <w:p>
            <w:pPr>
              <w:pStyle w:val="Compact"/>
              <w:jc w:val="right"/>
            </w:pPr>
            <w:r>
              <w:t xml:space="preserve">$118.0M</w:t>
            </w:r>
          </w:p>
        </w:tc>
        <w:tc>
          <w:tcPr/>
          <w:p>
            <w:pPr>
              <w:pStyle w:val="Compact"/>
              <w:jc w:val="right"/>
            </w:pPr>
            <w:r>
              <w:t xml:space="preserve">$97.4M–$133.1M</w:t>
            </w:r>
          </w:p>
        </w:tc>
        <w:tc>
          <w:tcPr/>
          <w:p>
            <w:pPr>
              <w:pStyle w:val="Compact"/>
              <w:jc w:val="left"/>
            </w:pPr>
            <w:r>
              <w:t xml:space="preserve">Rango amplio; el momento y las restricciones importan tanto como el total</w:t>
            </w:r>
          </w:p>
        </w:tc>
      </w:tr>
    </w:tbl>
    <w:p>
      <w:pPr>
        <w:pStyle w:val="BodyText"/>
      </w:pPr>
      <w:r>
        <w:t xml:space="preserve">La GAO había informado recientemente que los receptores de la respuesta federal a opioides enfrentaban cargas por requisitos de informes cambiantes, retrasos en el financiamiento, procesos estatales de adquisiciones y ventanas de implementación acortadas. Un nuevo requisito legal exigía información sobre los</w:t>
      </w:r>
      <w:r>
        <w:t xml:space="preserve"> </w:t>
      </w:r>
      <w:r>
        <w:t xml:space="preserve">“receptores finales”</w:t>
      </w:r>
      <w:r>
        <w:t xml:space="preserve"> </w:t>
      </w:r>
      <w:r>
        <w:t xml:space="preserve">de los fondos de respuesta a opioides. La directora de subvenciones de RDRS estimó que el cumplimiento y la supervisión de subreceptores consumían el equivalente a 29 puestos de tiempo completo—puestos que los donantes rara vez querían financiar.</w:t>
      </w:r>
    </w:p>
    <w:bookmarkEnd w:id="11"/>
    <w:bookmarkStart w:id="12" w:name="quién-debería-ser-atendido"/>
    <w:p>
      <w:pPr>
        <w:pStyle w:val="Heading1"/>
      </w:pPr>
      <w:r>
        <w:t xml:space="preserve">¿Quién debería ser atendido?</w:t>
      </w:r>
    </w:p>
    <w:p>
      <w:pPr>
        <w:pStyle w:val="FirstParagraph"/>
      </w:pPr>
      <w:r>
        <w:t xml:space="preserve">El problema de financiamiento no podía separarse del problema de asignación. RDRS no podía prometer acceso idéntico a cada grupo. Cada compromiso adicional creaba obligaciones de personal que se extendían más allá de la vida de la subvención que lo lanzó.</w:t>
      </w:r>
    </w:p>
    <w:p>
      <w:pPr>
        <w:pStyle w:val="BodyText"/>
      </w:pPr>
      <w:r>
        <w:t xml:space="preserve">Los departamentos de salud del condado argumentaban que la naloxona debía seguir siendo universal y gratuita. Querían kits en bibliotecas, escuelas, refugios, estaciones de tránsito, instalaciones correccionales, centros de tratamiento y en manos de las personas que usaban drogas y sus familias. La naloxona podía revertir una sobredosis de opioides cuando se administraba a tiempo, y el CDC enfatizaba la distribución a través de organizaciones comunitarias. Pero la disponibilidad universal requería adquisiciones, almacenamiento, gestión de vencimientos, capacitación, sistemas de datos y asistencia técnica local—no solo la compra del medicamento.</w:t>
      </w:r>
    </w:p>
    <w:p>
      <w:pPr>
        <w:pStyle w:val="BodyText"/>
      </w:pPr>
      <w:r>
        <w:t xml:space="preserve">Los líderes de tratamiento enfatizaban la brecha entre la prevalencia de la enfermedad y la atención basada en evidencia. Querían equipos móviles de MOUD, citas el mismo día, transporte, telemedicina y mejores transiciones desde las salas de emergencia y las cárceles. Las organizaciones de recuperación argumentaban que el tratamiento sin vivienda, documentos de identificación, empleo, cuidado infantil y apoyo sostenido por pares llevaba a demasiadas personas nuevamente a la crisis. Los condados rurales querían equipos itinerantes incluso cuando el costo por persona era alto. Los legisladores de distritos suburbanos querían prevención juvenil y apoyo para familias afectadas por la adicción.</w:t>
      </w:r>
    </w:p>
    <w:p>
      <w:pPr>
        <w:pStyle w:val="BodyText"/>
      </w:pPr>
      <w:r>
        <w:t xml:space="preserve">Exhibición 3. Propuestas ilustrativas de expansión de servicios</w:t>
      </w:r>
    </w:p>
    <w:tbl>
      <w:tblPr>
        <w:tblStyle w:val="Table"/>
        <w:tblW w:type="pct" w:w="4945"/>
        <w:tblLayout w:type="fixed"/>
        <w:tblLook w:firstRow="1" w:lastRow="0" w:firstColumn="0" w:lastColumn="0" w:noHBand="0" w:noVBand="0" w:val="0020"/>
      </w:tblPr>
      <w:tblGrid>
        <w:gridCol w:w="1881"/>
        <w:gridCol w:w="612"/>
        <w:gridCol w:w="743"/>
        <w:gridCol w:w="1575"/>
        <w:gridCol w:w="3019"/>
      </w:tblGrid>
      <w:tr>
        <w:trPr>
          <w:tblHeader w:val="on"/>
        </w:trPr>
        <w:tc>
          <w:tcPr/>
          <w:p>
            <w:pPr>
              <w:pStyle w:val="Compact"/>
              <w:jc w:val="left"/>
            </w:pPr>
            <w:r>
              <w:t xml:space="preserve">Propuesta</w:t>
            </w:r>
          </w:p>
        </w:tc>
        <w:tc>
          <w:tcPr/>
          <w:p>
            <w:pPr>
              <w:pStyle w:val="Compact"/>
              <w:jc w:val="center"/>
            </w:pPr>
            <w:r>
              <w:t xml:space="preserve">Costo anual</w:t>
            </w:r>
          </w:p>
        </w:tc>
        <w:tc>
          <w:tcPr/>
          <w:p>
            <w:pPr>
              <w:pStyle w:val="Compact"/>
              <w:jc w:val="right"/>
            </w:pPr>
            <w:r>
              <w:t xml:space="preserve">Personal requeri</w:t>
            </w:r>
          </w:p>
        </w:tc>
        <w:tc>
          <w:tcPr/>
          <w:p>
            <w:pPr>
              <w:pStyle w:val="Compact"/>
              <w:jc w:val="left"/>
            </w:pPr>
            <w:r>
              <w:t xml:space="preserve">do Alcance anual estimado</w:t>
            </w:r>
          </w:p>
        </w:tc>
        <w:tc>
          <w:tcPr/>
          <w:p>
            <w:pPr>
              <w:pStyle w:val="Compact"/>
              <w:jc w:val="center"/>
            </w:pPr>
            <w:r>
              <w:t xml:space="preserve">Ajuste con el financiamiento</w:t>
            </w:r>
          </w:p>
        </w:tc>
      </w:tr>
      <w:tr>
        <w:tc>
          <w:tcPr/>
          <w:p>
            <w:pPr>
              <w:pStyle w:val="Compact"/>
              <w:jc w:val="left"/>
            </w:pPr>
            <w:r>
              <w:t xml:space="preserve">Mantener la disponibilidad universal de nal</w:t>
            </w:r>
          </w:p>
        </w:tc>
        <w:tc>
          <w:tcPr/>
          <w:p>
            <w:pPr>
              <w:pStyle w:val="Compact"/>
              <w:jc w:val="center"/>
            </w:pPr>
            <w:r>
              <w:t xml:space="preserve">oxona $7.2M</w:t>
            </w:r>
          </w:p>
        </w:tc>
        <w:tc>
          <w:tcPr/>
          <w:p>
            <w:pPr>
              <w:pStyle w:val="Compact"/>
              <w:jc w:val="right"/>
            </w:pPr>
            <w:r>
              <w:t xml:space="preserve">31</w:t>
            </w:r>
          </w:p>
        </w:tc>
        <w:tc>
          <w:tcPr/>
          <w:p>
            <w:pPr>
              <w:pStyle w:val="Compact"/>
              <w:jc w:val="left"/>
            </w:pPr>
            <w:r>
              <w:t xml:space="preserve">160,000 kits adicionales</w:t>
            </w:r>
          </w:p>
        </w:tc>
        <w:tc>
          <w:tcPr/>
          <w:p>
            <w:pPr>
              <w:pStyle w:val="Compact"/>
              <w:jc w:val="center"/>
            </w:pPr>
            <w:r>
              <w:t xml:space="preserve">Fuerte ajuste con SOR/acuerdos; débil ajuste con Medicaid</w:t>
            </w:r>
          </w:p>
        </w:tc>
      </w:tr>
      <w:tr>
        <w:tc>
          <w:tcPr/>
          <w:p>
            <w:pPr>
              <w:pStyle w:val="Compact"/>
              <w:jc w:val="left"/>
            </w:pPr>
            <w:r>
              <w:t xml:space="preserve">Ampliar el acceso a MOUD el mismo día</w:t>
            </w:r>
          </w:p>
        </w:tc>
        <w:tc>
          <w:tcPr/>
          <w:p>
            <w:pPr>
              <w:pStyle w:val="Compact"/>
              <w:jc w:val="center"/>
            </w:pPr>
            <w:r>
              <w:t xml:space="preserve">$10.8M</w:t>
            </w:r>
          </w:p>
        </w:tc>
        <w:tc>
          <w:tcPr/>
          <w:p>
            <w:pPr>
              <w:pStyle w:val="Compact"/>
              <w:jc w:val="right"/>
            </w:pPr>
            <w:r>
              <w:t xml:space="preserve">49</w:t>
            </w:r>
          </w:p>
        </w:tc>
        <w:tc>
          <w:tcPr/>
          <w:p>
            <w:pPr>
              <w:pStyle w:val="Compact"/>
              <w:jc w:val="left"/>
            </w:pPr>
            <w:r>
              <w:t xml:space="preserve">3,200 inicios de tratamiento adici</w:t>
            </w:r>
          </w:p>
        </w:tc>
        <w:tc>
          <w:tcPr/>
          <w:p>
            <w:pPr>
              <w:pStyle w:val="Compact"/>
              <w:jc w:val="center"/>
            </w:pPr>
            <w:r>
              <w:t xml:space="preserve">onales SOR y Medicaid; riesgo de facturación clínica</w:t>
            </w:r>
          </w:p>
        </w:tc>
      </w:tr>
      <w:tr>
        <w:tc>
          <w:tcPr/>
          <w:p>
            <w:pPr>
              <w:pStyle w:val="Compact"/>
              <w:jc w:val="left"/>
            </w:pPr>
            <w:r>
              <w:t xml:space="preserve">Equipos rurales móviles de recuperación</w:t>
            </w:r>
          </w:p>
        </w:tc>
        <w:tc>
          <w:tcPr/>
          <w:p>
            <w:pPr>
              <w:pStyle w:val="Compact"/>
              <w:jc w:val="center"/>
            </w:pPr>
            <w:r>
              <w:t xml:space="preserve">$8.6M</w:t>
            </w:r>
          </w:p>
        </w:tc>
        <w:tc>
          <w:tcPr/>
          <w:p>
            <w:pPr>
              <w:pStyle w:val="Compact"/>
              <w:jc w:val="right"/>
            </w:pPr>
            <w:r>
              <w:t xml:space="preserve">42</w:t>
            </w:r>
          </w:p>
        </w:tc>
        <w:tc>
          <w:tcPr/>
          <w:p>
            <w:pPr>
              <w:pStyle w:val="Compact"/>
              <w:jc w:val="left"/>
            </w:pPr>
            <w:r>
              <w:t xml:space="preserve">2,100 clientes en 19 condados</w:t>
            </w:r>
          </w:p>
        </w:tc>
        <w:tc>
          <w:tcPr/>
          <w:p>
            <w:pPr>
              <w:pStyle w:val="Compact"/>
              <w:jc w:val="center"/>
            </w:pPr>
            <w:r>
              <w:t xml:space="preserve">Posible apoyo federal/estatal; alto costo unitario</w:t>
            </w:r>
          </w:p>
        </w:tc>
      </w:tr>
      <w:tr>
        <w:tc>
          <w:tcPr/>
          <w:p>
            <w:pPr>
              <w:pStyle w:val="Compact"/>
              <w:jc w:val="left"/>
            </w:pPr>
            <w:r>
              <w:t xml:space="preserve">Estabilización de vivienda y empleo</w:t>
            </w:r>
          </w:p>
        </w:tc>
        <w:tc>
          <w:tcPr/>
          <w:p>
            <w:pPr>
              <w:pStyle w:val="Compact"/>
              <w:jc w:val="center"/>
            </w:pPr>
            <w:r>
              <w:t xml:space="preserve">$9.4M</w:t>
            </w:r>
          </w:p>
        </w:tc>
        <w:tc>
          <w:tcPr/>
          <w:p>
            <w:pPr>
              <w:pStyle w:val="Compact"/>
              <w:jc w:val="right"/>
            </w:pPr>
            <w:r>
              <w:t xml:space="preserve">37</w:t>
            </w:r>
          </w:p>
        </w:tc>
        <w:tc>
          <w:tcPr/>
          <w:p>
            <w:pPr>
              <w:pStyle w:val="Compact"/>
              <w:jc w:val="left"/>
            </w:pPr>
            <w:r>
              <w:t xml:space="preserve">1,850 clientes</w:t>
            </w:r>
          </w:p>
        </w:tc>
        <w:tc>
          <w:tcPr/>
          <w:p>
            <w:pPr>
              <w:pStyle w:val="Compact"/>
              <w:jc w:val="center"/>
            </w:pPr>
            <w:r>
              <w:t xml:space="preserve">Subvenciones/donantes de recuperación; problemas de elegibilidad y atribución de resultados</w:t>
            </w:r>
          </w:p>
        </w:tc>
      </w:tr>
      <w:tr>
        <w:tc>
          <w:tcPr/>
          <w:p>
            <w:pPr>
              <w:pStyle w:val="Compact"/>
              <w:jc w:val="left"/>
            </w:pPr>
            <w:r>
              <w:t xml:space="preserve">Transiciones de la justicia al tratamiento</w:t>
            </w:r>
          </w:p>
        </w:tc>
        <w:tc>
          <w:tcPr/>
          <w:p>
            <w:pPr>
              <w:pStyle w:val="Compact"/>
              <w:jc w:val="center"/>
            </w:pPr>
            <w:r>
              <w:t xml:space="preserve">$6.1M</w:t>
            </w:r>
          </w:p>
        </w:tc>
        <w:tc>
          <w:tcPr/>
          <w:p>
            <w:pPr>
              <w:pStyle w:val="Compact"/>
              <w:jc w:val="right"/>
            </w:pPr>
            <w:r>
              <w:t xml:space="preserve">28</w:t>
            </w:r>
          </w:p>
        </w:tc>
        <w:tc>
          <w:tcPr/>
          <w:p>
            <w:pPr>
              <w:pStyle w:val="Compact"/>
              <w:jc w:val="left"/>
            </w:pPr>
            <w:r>
              <w:t xml:space="preserve">2,600 liberaciones de cárcel</w:t>
            </w:r>
          </w:p>
        </w:tc>
        <w:tc>
          <w:tcPr/>
          <w:p>
            <w:pPr>
              <w:pStyle w:val="Compact"/>
              <w:jc w:val="center"/>
            </w:pPr>
            <w:r>
              <w:t xml:space="preserve">Subvenciones específicas; dependencia interagencial</w:t>
            </w:r>
          </w:p>
        </w:tc>
      </w:tr>
      <w:tr>
        <w:tc>
          <w:tcPr/>
          <w:p>
            <w:pPr>
              <w:pStyle w:val="Compact"/>
              <w:jc w:val="left"/>
            </w:pPr>
            <w:r>
              <w:t xml:space="preserve">Iniciativa de prevención juvenil y familiar</w:t>
            </w:r>
          </w:p>
        </w:tc>
        <w:tc>
          <w:tcPr/>
          <w:p>
            <w:pPr>
              <w:pStyle w:val="Compact"/>
              <w:jc w:val="center"/>
            </w:pPr>
            <w:r>
              <w:t xml:space="preserve">$5.3M</w:t>
            </w:r>
          </w:p>
        </w:tc>
        <w:tc>
          <w:tcPr/>
          <w:p>
            <w:pPr>
              <w:pStyle w:val="Compact"/>
              <w:jc w:val="right"/>
            </w:pPr>
            <w:r>
              <w:t xml:space="preserve">24</w:t>
            </w:r>
          </w:p>
        </w:tc>
        <w:tc>
          <w:tcPr/>
          <w:p>
            <w:pPr>
              <w:pStyle w:val="Compact"/>
              <w:jc w:val="left"/>
            </w:pPr>
            <w:r>
              <w:t xml:space="preserve">35,000 estudiantes/miembros de fam</w:t>
            </w:r>
          </w:p>
        </w:tc>
        <w:tc>
          <w:tcPr/>
          <w:p>
            <w:pPr>
              <w:pStyle w:val="Compact"/>
              <w:jc w:val="center"/>
            </w:pPr>
            <w:r>
              <w:t xml:space="preserve">ilia Subvenciones de prevención y donantes; los beneficios surgen lentamente</w:t>
            </w:r>
          </w:p>
        </w:tc>
      </w:tr>
    </w:tbl>
    <w:p>
      <w:pPr>
        <w:pStyle w:val="BodyText"/>
      </w:pPr>
      <w:r>
        <w:t xml:space="preserve">Las propuestas no eran mutuamente excluyentes, pero la agencia no podía dotar de personal a todas bajo su pronóstico central. Además, un dólar no siempre podía transferirse de un programa a otro. Una subvención restringida podía dejar dinero sin gastar mientras la agencia simultáneamente despedía personal que realizaba trabajo esencial pero inelegible.</w:t>
      </w:r>
    </w:p>
    <w:bookmarkEnd w:id="12"/>
    <w:bookmarkStart w:id="13" w:name="la-aguja-del-financiamiento"/>
    <w:p>
      <w:pPr>
        <w:pStyle w:val="Heading1"/>
      </w:pPr>
      <w:r>
        <w:t xml:space="preserve">La aguja del financiamiento</w:t>
      </w:r>
    </w:p>
    <w:p>
      <w:pPr>
        <w:pStyle w:val="FirstParagraph"/>
      </w:pPr>
      <w:r>
        <w:t xml:space="preserve">Marquez pidió a su equipo que desarrollara opciones. Ninguna era simplemente una campaña de recaudación de fondos.</w:t>
      </w:r>
    </w:p>
    <w:p>
      <w:pPr>
        <w:pStyle w:val="BodyText"/>
      </w:pPr>
      <w:r>
        <w:rPr>
          <w:b/>
          <w:bCs/>
        </w:rPr>
        <w:t xml:space="preserve">1. Proteger la fuerza laboral central.</w:t>
      </w:r>
      <w:r>
        <w:t xml:space="preserve"> </w:t>
      </w:r>
      <w:r>
        <w:t xml:space="preserve">Usar primero los fondos generales estatales y los dólares de acuerdos para el personal permanente, mientras se asignan fondos federales y filantrópicos a gastos de programas variables. Esto podría mejorar la continuidad, pero podría ser criticado por usar dinero flexible para administración en lugar de servicios visibles.</w:t>
      </w:r>
    </w:p>
    <w:p>
      <w:pPr>
        <w:pStyle w:val="BodyText"/>
      </w:pPr>
      <w:r>
        <w:rPr>
          <w:b/>
          <w:bCs/>
        </w:rPr>
        <w:t xml:space="preserve">2. Organizarse alrededor de iniciativas financiadas por subvenciones.</w:t>
      </w:r>
      <w:r>
        <w:t xml:space="preserve"> </w:t>
      </w:r>
      <w:r>
        <w:t xml:space="preserve">Reestructurar los equipos para que los puestos y actividades se mapeen directamente a las convocatorias federales de financiamiento. Esto podría maximizar la competitividad de las adjudicaciones, pero podría fragmentar el continuo de atención y hacer que las prioridades cambien cada vez que cambie el lenguaje federal.</w:t>
      </w:r>
    </w:p>
    <w:p>
      <w:pPr>
        <w:pStyle w:val="BodyText"/>
      </w:pPr>
      <w:r>
        <w:rPr>
          <w:b/>
          <w:bCs/>
        </w:rPr>
        <w:t xml:space="preserve">3. Construir un modelo de financiamiento trenzado.</w:t>
      </w:r>
      <w:r>
        <w:t xml:space="preserve"> </w:t>
      </w:r>
      <w:r>
        <w:t xml:space="preserve">Apoyar cada servicio con múltiples flujos de financiamiento—por ejemplo, fondos federales para difusión, Medicaid para encuentros clínicos, fondos de acuerdos para navegación y donantes para asistencia de emergencia. El trenzado podría preservar los servicios, pero requeriría una asignación de tiempo sofisticada, contabilidad de costos, evaluación de elegibilidad y controles de auditoría.</w:t>
      </w:r>
    </w:p>
    <w:p>
      <w:pPr>
        <w:pStyle w:val="BodyText"/>
      </w:pPr>
      <w:r>
        <w:rPr>
          <w:b/>
          <w:bCs/>
        </w:rPr>
        <w:t xml:space="preserve">4. Transferir más entrega a socios locales.</w:t>
      </w:r>
      <w:r>
        <w:t xml:space="preserve"> </w:t>
      </w:r>
      <w:r>
        <w:t xml:space="preserve">Reducir la fuerza laboral central y distribuir fondos a condados, hospitales, organizaciones sin fines de lucro y organizaciones de recuperación. Los grupos locales podrían estar más cerca de los clientes, pero RDRS perdería control operativo y aún conservaría responsabilidades de supervisión. Las organizaciones más pequeñas podrían no tener el flujo de efectivo o la capacidad administrativa para gestionar el reembolso y el cumplimiento federal.</w:t>
      </w:r>
    </w:p>
    <w:p>
      <w:pPr>
        <w:pStyle w:val="BodyText"/>
      </w:pPr>
      <w:r>
        <w:rPr>
          <w:b/>
          <w:bCs/>
        </w:rPr>
        <w:t xml:space="preserve">5. Crear un fondo estatal de recuperación.</w:t>
      </w:r>
      <w:r>
        <w:t xml:space="preserve"> </w:t>
      </w:r>
      <w:r>
        <w:t xml:space="preserve">Buscar compromisos multianuales de sistemas de salud, empleadores, aseguradoras, fundaciones y donantes individuales. Un fondo colectivo podría pagar las brechas que las subvenciones gubernamentales excluían, pero los participantes privados podrían exigir derechos de gobernanza, preferencias geográficas o evidencia de impacto rápido.</w:t>
      </w:r>
    </w:p>
    <w:p>
      <w:pPr>
        <w:pStyle w:val="BodyText"/>
      </w:pPr>
      <w:r>
        <w:rPr>
          <w:b/>
          <w:bCs/>
        </w:rPr>
        <w:t xml:space="preserve">6. Reducir la misión.</w:t>
      </w:r>
      <w:r>
        <w:t xml:space="preserve"> </w:t>
      </w:r>
      <w:r>
        <w:t xml:space="preserve">Concentrarse en naloxona, acceso a tratamiento y administración de subvenciones, mientras se reducen las funciones de vivienda, empleo y recuperación a largo plazo. La agencia podría atender a más personas en la etapa aguda, pero podría debilitar los apoyos destinados a prevenir crisis repetidas.</w:t>
      </w:r>
    </w:p>
    <w:bookmarkEnd w:id="13"/>
    <w:bookmarkStart w:id="14" w:name="el-problema-de-la-medición"/>
    <w:p>
      <w:pPr>
        <w:pStyle w:val="Heading1"/>
      </w:pPr>
      <w:r>
        <w:t xml:space="preserve">El problema de la medición</w:t>
      </w:r>
    </w:p>
    <w:p>
      <w:pPr>
        <w:pStyle w:val="FirstParagraph"/>
      </w:pPr>
      <w:r>
        <w:t xml:space="preserve">Los resultados de la agencia eran difíciles de atribuir. Un kit de naloxona distribuido era fácil de contar; una muerte prevenida no lo era. El inicio del tratamiento podía medirse, pero la retención dependía de los proveedores, el transporte, la vivienda, el seguro y el suministro de drogas. Los resultados de empleo podían ocurrir meses después de que terminara una subvención. Las muertes en descenso podían reducir la urgencia política incluso si la capacidad del programa era responsable de parte del descenso.</w:t>
      </w:r>
    </w:p>
    <w:p>
      <w:pPr>
        <w:pStyle w:val="BodyText"/>
      </w:pPr>
      <w:r>
        <w:t xml:space="preserve">Los donantes solicitaban historias y medidas a corto plazo. Las agencias federales requerían resultados estandarizados y datos de subreceptores. Los funcionarios de presupuesto estatales querían resultados a nivel poblacional y evidencia de que los programas no eran duplicados. El personal de Marquez se preocupaba de que la agencia optimizara lo que era financiable y contable en lugar de lo que los clientes necesitaban.</w:t>
      </w:r>
    </w:p>
    <w:p>
      <w:pPr>
        <w:pStyle w:val="BodyText"/>
      </w:pPr>
      <w:r>
        <w:t xml:space="preserve">Exhibición 4. Criterios de decisión propuestos para el año fiscal 2027</w:t>
      </w:r>
    </w:p>
    <w:tbl>
      <w:tblPr>
        <w:tblStyle w:val="Table"/>
        <w:tblW w:type="pct" w:w="4935"/>
        <w:tblLayout w:type="fixed"/>
        <w:tblLook w:firstRow="1" w:lastRow="0" w:firstColumn="0" w:lastColumn="0" w:noHBand="0" w:noVBand="0" w:val="0020"/>
      </w:tblPr>
      <w:tblGrid>
        <w:gridCol w:w="1182"/>
        <w:gridCol w:w="3445"/>
        <w:gridCol w:w="3188"/>
      </w:tblGrid>
      <w:tr>
        <w:trPr>
          <w:tblHeader w:val="on"/>
        </w:trPr>
        <w:tc>
          <w:tcPr/>
          <w:p>
            <w:pPr>
              <w:pStyle w:val="Compact"/>
              <w:jc w:val="left"/>
            </w:pPr>
            <w:r>
              <w:t xml:space="preserve">Criterio</w:t>
            </w:r>
          </w:p>
        </w:tc>
        <w:tc>
          <w:tcPr/>
          <w:p>
            <w:pPr>
              <w:pStyle w:val="Compact"/>
              <w:jc w:val="left"/>
            </w:pPr>
            <w:r>
              <w:t xml:space="preserve">Medida ilustrativa</w:t>
            </w:r>
          </w:p>
        </w:tc>
        <w:tc>
          <w:tcPr/>
          <w:p>
            <w:pPr>
              <w:pStyle w:val="Compact"/>
              <w:jc w:val="left"/>
            </w:pPr>
            <w:r>
              <w:t xml:space="preserve">Pregunta sin resolver</w:t>
            </w:r>
          </w:p>
        </w:tc>
      </w:tr>
      <w:tr>
        <w:tc>
          <w:tcPr/>
          <w:p>
            <w:pPr>
              <w:pStyle w:val="Compact"/>
              <w:jc w:val="left"/>
            </w:pPr>
            <w:r>
              <w:t xml:space="preserve">Vidas y salud</w:t>
            </w:r>
          </w:p>
        </w:tc>
        <w:tc>
          <w:tcPr/>
          <w:p>
            <w:pPr>
              <w:pStyle w:val="Compact"/>
              <w:jc w:val="left"/>
            </w:pPr>
            <w:r>
              <w:t xml:space="preserve">Muertes por sobredosis, sobredosis no fatales, retención en tratam</w:t>
            </w:r>
          </w:p>
        </w:tc>
        <w:tc>
          <w:tcPr/>
          <w:p>
            <w:pPr>
              <w:pStyle w:val="Compact"/>
              <w:jc w:val="left"/>
            </w:pPr>
            <w:r>
              <w:t xml:space="preserve">iento ¿Cuánto cambio puede atribuirse a RDRS?</w:t>
            </w:r>
          </w:p>
        </w:tc>
      </w:tr>
      <w:tr>
        <w:tc>
          <w:tcPr/>
          <w:p>
            <w:pPr>
              <w:pStyle w:val="Compact"/>
              <w:jc w:val="left"/>
            </w:pPr>
            <w:r>
              <w:t xml:space="preserve">Acceso y equidad</w:t>
            </w:r>
          </w:p>
        </w:tc>
        <w:tc>
          <w:tcPr/>
          <w:p>
            <w:pPr>
              <w:pStyle w:val="Compact"/>
              <w:jc w:val="left"/>
            </w:pPr>
            <w:r>
              <w:t xml:space="preserve">Tiempo de viaje, tiempo de espera, tasas de servicio por región y</w:t>
            </w:r>
          </w:p>
        </w:tc>
        <w:tc>
          <w:tcPr/>
          <w:p>
            <w:pPr>
              <w:pStyle w:val="Compact"/>
              <w:jc w:val="left"/>
            </w:pPr>
            <w:r>
              <w:t xml:space="preserve">grupo ¿Debería el alcance rural de alto costo prevalecer sobre el volumen total?</w:t>
            </w:r>
          </w:p>
        </w:tc>
      </w:tr>
      <w:tr>
        <w:tc>
          <w:tcPr/>
          <w:p>
            <w:pPr>
              <w:pStyle w:val="Compact"/>
              <w:jc w:val="left"/>
            </w:pPr>
            <w:r>
              <w:t xml:space="preserve">Estabilidad en la recup</w:t>
            </w:r>
          </w:p>
        </w:tc>
        <w:tc>
          <w:tcPr/>
          <w:p>
            <w:pPr>
              <w:pStyle w:val="Compact"/>
              <w:jc w:val="left"/>
            </w:pPr>
            <w:r>
              <w:t xml:space="preserve">eración Vivienda, empleo, participación en el sistema de justicia</w:t>
            </w:r>
          </w:p>
        </w:tc>
        <w:tc>
          <w:tcPr/>
          <w:p>
            <w:pPr>
              <w:pStyle w:val="Compact"/>
              <w:jc w:val="left"/>
            </w:pPr>
            <w:r>
              <w:t xml:space="preserve">, reconexión con la atención ¿Qué resultados pertenecen a la misión de una agencia de salud?</w:t>
            </w:r>
          </w:p>
        </w:tc>
      </w:tr>
      <w:tr>
        <w:tc>
          <w:tcPr/>
          <w:p>
            <w:pPr>
              <w:pStyle w:val="Compact"/>
              <w:jc w:val="left"/>
            </w:pPr>
            <w:r>
              <w:t xml:space="preserve">Resiliencia financiera</w:t>
            </w:r>
          </w:p>
        </w:tc>
        <w:tc>
          <w:tcPr/>
          <w:p>
            <w:pPr>
              <w:pStyle w:val="Compact"/>
              <w:jc w:val="left"/>
            </w:pPr>
            <w:r>
              <w:t xml:space="preserve">Meses de nómina no restringidos; concentración por financiador</w:t>
            </w:r>
          </w:p>
        </w:tc>
        <w:tc>
          <w:tcPr/>
          <w:p>
            <w:pPr>
              <w:pStyle w:val="Compact"/>
              <w:jc w:val="left"/>
            </w:pPr>
            <w:r>
              <w:t xml:space="preserve">¿Cuánto servicio debería sacrificarse para construir reservas?</w:t>
            </w:r>
          </w:p>
        </w:tc>
      </w:tr>
      <w:tr>
        <w:tc>
          <w:tcPr/>
          <w:p>
            <w:pPr>
              <w:pStyle w:val="Compact"/>
              <w:jc w:val="left"/>
            </w:pPr>
            <w:r>
              <w:t xml:space="preserve">Continuidad de la fuerz</w:t>
            </w:r>
          </w:p>
        </w:tc>
        <w:tc>
          <w:tcPr/>
          <w:p>
            <w:pPr>
              <w:pStyle w:val="Compact"/>
              <w:jc w:val="left"/>
            </w:pPr>
            <w:r>
              <w:t xml:space="preserve">a laboral Vacantes, rotación, puestos financiados por subvencione</w:t>
            </w:r>
          </w:p>
        </w:tc>
        <w:tc>
          <w:tcPr/>
          <w:p>
            <w:pPr>
              <w:pStyle w:val="Compact"/>
              <w:jc w:val="left"/>
            </w:pPr>
            <w:r>
              <w:t xml:space="preserve">s en riesgo ¿Deberían los puestos permanentes ser sostenidos por fondos temporales?</w:t>
            </w:r>
          </w:p>
        </w:tc>
      </w:tr>
      <w:tr>
        <w:tc>
          <w:tcPr/>
          <w:p>
            <w:pPr>
              <w:pStyle w:val="Compact"/>
              <w:jc w:val="left"/>
            </w:pPr>
            <w:r>
              <w:t xml:space="preserve">Cumplimiento</w:t>
            </w:r>
          </w:p>
        </w:tc>
        <w:tc>
          <w:tcPr/>
          <w:p>
            <w:pPr>
              <w:pStyle w:val="Compact"/>
              <w:jc w:val="left"/>
            </w:pPr>
            <w:r>
              <w:t xml:space="preserve">Informes oportunos, hallazgos de auditoría, excepciones de costos</w:t>
            </w:r>
          </w:p>
        </w:tc>
        <w:tc>
          <w:tcPr/>
          <w:p>
            <w:pPr>
              <w:pStyle w:val="Compact"/>
              <w:jc w:val="left"/>
            </w:pPr>
            <w:r>
              <w:t xml:space="preserve">permitidos ¿Cuánta capacidad administrativa es suficiente?</w:t>
            </w:r>
          </w:p>
        </w:tc>
      </w:tr>
    </w:tbl>
    <w:bookmarkEnd w:id="14"/>
    <w:bookmarkStart w:id="15" w:name="el-retiro"/>
    <w:p>
      <w:pPr>
        <w:pStyle w:val="Heading1"/>
      </w:pPr>
      <w:r>
        <w:t xml:space="preserve">El retiro</w:t>
      </w:r>
    </w:p>
    <w:p>
      <w:pPr>
        <w:pStyle w:val="FirstParagraph"/>
      </w:pPr>
      <w:r>
        <w:t xml:space="preserve">En el retiro, la directora médica principal apoyó proteger las operaciones de tratamiento y naloxona.</w:t>
      </w:r>
      <w:r>
        <w:t xml:space="preserve"> </w:t>
      </w:r>
      <w:r>
        <w:t xml:space="preserve">“Un menor recuento de muertes es el resultado que queríamos,”</w:t>
      </w:r>
      <w:r>
        <w:t xml:space="preserve"> </w:t>
      </w:r>
      <w:r>
        <w:t xml:space="preserve">dijo.</w:t>
      </w:r>
      <w:r>
        <w:t xml:space="preserve"> </w:t>
      </w:r>
      <w:r>
        <w:t xml:space="preserve">“No es evidencia de que la infraestructura ya no sea necesaria.”</w:t>
      </w:r>
      <w:r>
        <w:t xml:space="preserve"> </w:t>
      </w:r>
      <w:r>
        <w:t xml:space="preserve">El director financiero contraargumentó que la agencia no podía tratar cada adjudicación de continuación como ingreso permanente. Quería una reserva equivalente a tres meses de nómina y una política que prohibiera nuevas contrataciones permanentes sin una fuente de financiamiento duradera.</w:t>
      </w:r>
    </w:p>
    <w:p>
      <w:pPr>
        <w:pStyle w:val="BodyText"/>
      </w:pPr>
      <w:r>
        <w:t xml:space="preserve">La directora de recuperación argumentó que la reserva propuesta se construiría negando servicios a personas actualmente en crisis. El director de subvenciones advirtió que varias solicitudes federales obtendrían malas calificaciones a menos que RDRS se comprometiera con las iniciativas especificadas en las convocatorias. Un comisionado del condado dijo que el estado debería dejar de diseñar programas desde la capital y dar a los condados asignaciones flexibles. Un representante de una fundación se ofreció a convocar a los donantes, pero advirtió que la filantropía no podía reemplazar al gobierno a gran escala.</w:t>
      </w:r>
    </w:p>
    <w:p>
      <w:pPr>
        <w:pStyle w:val="BodyText"/>
      </w:pPr>
      <w:r>
        <w:t xml:space="preserve">Marquez escribió cuatro preguntas en la pizarra:</w:t>
      </w:r>
    </w:p>
    <w:p>
      <w:pPr>
        <w:pStyle w:val="BlockText"/>
      </w:pPr>
      <w:r>
        <w:t xml:space="preserve">• ¿Qué servicios constituyen la plataforma estatal innegociable?</w:t>
      </w:r>
    </w:p>
    <w:p>
      <w:pPr>
        <w:pStyle w:val="BlockText"/>
      </w:pPr>
      <w:r>
        <w:t xml:space="preserve">• ¿Qué grupos deberían recibir prioridad cuando los fondos restringidos no pueden redirigirse?</w:t>
      </w:r>
    </w:p>
    <w:p>
      <w:pPr>
        <w:pStyle w:val="BlockText"/>
      </w:pPr>
      <w:r>
        <w:t xml:space="preserve">• ¿Cuánta capacidad organizacional debería dedicarse a buscar y cumplir con las subvenciones?</w:t>
      </w:r>
    </w:p>
    <w:p>
      <w:pPr>
        <w:pStyle w:val="BlockText"/>
      </w:pPr>
      <w:r>
        <w:t xml:space="preserve">• ¿Qué estructura de financiamiento permitiría a RDRS retener al personal a través de cambios en las prioridades políticas y los requisitos de los programas?</w:t>
      </w:r>
    </w:p>
    <w:p>
      <w:pPr>
        <w:pStyle w:val="FirstParagraph"/>
      </w:pPr>
      <w:r>
        <w:t xml:space="preserve">La oficina de presupuesto del gobernador esperaba la recomendación de RDRS en tres semanas. Las convocatorias federales de continuación podrían llegar antes de esa fecha—o varios meses después. Los acuerdos laborales requerían un aviso de 90 días para ciertos despidos. Los pedidos de naloxona debían realizarse con seis meses de anticipación para asegurar precios favorables. Dos propuestas importantes de fundaciones vencían en noviembre, pero ambas requerían que RDRS identificara una iniciativa estrechamente definida y un resultado medible a tres años.</w:t>
      </w:r>
    </w:p>
    <w:p>
      <w:pPr>
        <w:pStyle w:val="BodyText"/>
      </w:pPr>
      <w:r>
        <w:t xml:space="preserve">Marquez podía presentar una estrategia única, un plan contingente vinculado a resultados de financiamiento, o una cartera de opciones de servicio y financiamiento. Cualquier cosa que propusiera revelaría una respuesta implícita a una pregunta mayor: ¿era RDRS una organización de respuesta a emergencias, una autoridad de tratamiento, una agencia de recuperación a largo plazo, o una plataforma de financiamiento y coordinación para las tres cosas?</w:t>
      </w:r>
    </w:p>
    <w:bookmarkEnd w:id="15"/>
    <w:bookmarkStart w:id="16" w:name="preguntas-de-discusión"/>
    <w:p>
      <w:pPr>
        <w:pStyle w:val="Heading1"/>
      </w:pPr>
      <w:r>
        <w:t xml:space="preserve">Preguntas de discusión</w:t>
      </w:r>
    </w:p>
    <w:p>
      <w:pPr>
        <w:numPr>
          <w:ilvl w:val="0"/>
          <w:numId w:val="1001"/>
        </w:numPr>
      </w:pPr>
      <w:r>
        <w:t xml:space="preserve">¿Cuál es la decisión que enfrenta la comisionada Marquez? ¿Qué decisiones son estratégicas y cuáles son operativas?</w:t>
      </w:r>
    </w:p>
    <w:p>
      <w:pPr>
        <w:numPr>
          <w:ilvl w:val="0"/>
          <w:numId w:val="1001"/>
        </w:numPr>
      </w:pPr>
      <w:r>
        <w:t xml:space="preserve">¿Cómo debería RDRS distinguir su plataforma operativa central de las iniciativas financiadas por subvenciones?</w:t>
      </w:r>
    </w:p>
    <w:p>
      <w:pPr>
        <w:numPr>
          <w:ilvl w:val="0"/>
          <w:numId w:val="1001"/>
        </w:numPr>
      </w:pPr>
      <w:r>
        <w:t xml:space="preserve">¿Qué poblaciones o servicios deberían recibir prioridad si ocurre el escenario central de financiamiento del año fiscal 2027?</w:t>
      </w:r>
    </w:p>
    <w:p>
      <w:pPr>
        <w:numPr>
          <w:ilvl w:val="0"/>
          <w:numId w:val="1001"/>
        </w:numPr>
      </w:pPr>
      <w:r>
        <w:t xml:space="preserve">¿Cómo debería la agencia evaluar la distribución universal de naloxona en relación con el tratamiento y el apoyo a la recuperación a largo plazo?</w:t>
      </w:r>
    </w:p>
    <w:p>
      <w:pPr>
        <w:numPr>
          <w:ilvl w:val="0"/>
          <w:numId w:val="1001"/>
        </w:numPr>
      </w:pPr>
      <w:r>
        <w:t xml:space="preserve">¿Cuáles son las ventajas y riesgos del financiamiento trenzado? ¿Qué capacidades administrativas requeriría?</w:t>
      </w:r>
    </w:p>
    <w:p>
      <w:pPr>
        <w:numPr>
          <w:ilvl w:val="0"/>
          <w:numId w:val="1001"/>
        </w:numPr>
      </w:pPr>
      <w:r>
        <w:t xml:space="preserve">¿Debería la disminución de las muertes por sobredosis fortalecer o debilitar el argumento a favor de continuar el financiamiento?</w:t>
      </w:r>
    </w:p>
    <w:p>
      <w:pPr>
        <w:numPr>
          <w:ilvl w:val="0"/>
          <w:numId w:val="1001"/>
        </w:numPr>
      </w:pPr>
      <w:r>
        <w:t xml:space="preserve">¿Qué métricas debería usar RDRS cuando los resultados están retrasados, son difíciles de atribuir o no se pueden observar completamente?</w:t>
      </w:r>
    </w:p>
    <w:p>
      <w:pPr>
        <w:numPr>
          <w:ilvl w:val="0"/>
          <w:numId w:val="1001"/>
        </w:numPr>
      </w:pPr>
      <w:r>
        <w:t xml:space="preserve">¿Cuánta reserva financiera debería mantener una agencia pública cuando hacerlo puede reducir los servicios actuales?</w:t>
      </w:r>
    </w:p>
    <w:p>
      <w:pPr>
        <w:numPr>
          <w:ilvl w:val="0"/>
          <w:numId w:val="1001"/>
        </w:numPr>
      </w:pPr>
      <w:r>
        <w:t xml:space="preserve">¿Qué papel deberían desempeñar los condados, los sistemas de salud, los empleadores, las aseguradoras y los donantes privados?</w:t>
      </w:r>
    </w:p>
    <w:p>
      <w:pPr>
        <w:numPr>
          <w:ilvl w:val="0"/>
          <w:numId w:val="1001"/>
        </w:numPr>
      </w:pPr>
      <w:r>
        <w:t xml:space="preserve">Diseñe un proceso para investigar alternativas antes del plazo de tres semanas del gobernador. ¿Qué información tiene el mayor valor?</w:t>
      </w:r>
    </w:p>
    <w:bookmarkEnd w:id="16"/>
    <w:bookmarkStart w:id="22" w:name="preguntas-de-encuadre-de-decisiones"/>
    <w:p>
      <w:pPr>
        <w:pStyle w:val="Heading1"/>
      </w:pPr>
      <w:r>
        <w:t xml:space="preserve">Preguntas de encuadre de decisiones</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17">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18">
        <w:r>
          <w:rPr>
            <w:rStyle w:val="Hyperlink"/>
          </w:rPr>
          <w:t xml:space="preserve">herramienta de priorización de decisiones</w:t>
        </w:r>
      </w:hyperlink>
      <w:r>
        <w:t xml:space="preserve"> </w:t>
      </w:r>
      <w:r>
        <w:t xml:space="preserve">para primero enumerar los diferentes tipos de decisiones (use los</w:t>
      </w:r>
      <w:r>
        <w:t xml:space="preserve"> </w:t>
      </w:r>
      <w:hyperlink r:id="rId19">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agarrar el manejador (tres barras) más a la izquierda en cada fila para moverla hacia arriba o hacia abajo. Ordene las filas de manera que las decisiones con el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ninguna decisión con impacto medio o alto en las métricas más importantes, revise su lista de decisiones.</w:t>
      </w:r>
    </w:p>
    <w:p>
      <w:pPr>
        <w:numPr>
          <w:ilvl w:val="0"/>
          <w:numId w:val="1002"/>
        </w:numPr>
      </w:pPr>
      <w:r>
        <w:t xml:space="preserve">Repita el proceso para enumerar y priorizar las incertidumbres usando la</w:t>
      </w:r>
      <w:r>
        <w:t xml:space="preserve"> </w:t>
      </w:r>
      <w:hyperlink r:id="rId20">
        <w:r>
          <w:rPr>
            <w:rStyle w:val="Hyperlink"/>
          </w:rPr>
          <w:t xml:space="preserve">herramienta de priorización de incertidumbres</w:t>
        </w:r>
      </w:hyperlink>
      <w:r>
        <w:t xml:space="preserve">. Use las</w:t>
      </w:r>
      <w:r>
        <w:t xml:space="preserve"> </w:t>
      </w:r>
      <w:hyperlink r:id="rId21">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incluido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2"/>
    <w:bookmarkStart w:id="23" w:name="X2e6c00c6a24ce524e3dba26bf85269515dc9d88"/>
    <w:p>
      <w:pPr>
        <w:pStyle w:val="Heading1"/>
      </w:pPr>
      <w:r>
        <w:t xml:space="preserve">Notas de datos públicos y de financiamiento</w:t>
      </w:r>
    </w:p>
    <w:p>
      <w:pPr>
        <w:pStyle w:val="FirstParagraph"/>
      </w:pPr>
      <w:r>
        <w:t xml:space="preserve">• CDC,</w:t>
      </w:r>
      <w:r>
        <w:t xml:space="preserve"> </w:t>
      </w:r>
      <w:r>
        <w:t xml:space="preserve">“Data Resources | Overdose Prevention,”</w:t>
      </w:r>
      <w:r>
        <w:t xml:space="preserve"> </w:t>
      </w:r>
      <w:r>
        <w:t xml:space="preserve">estimación preliminar de 69,973 muertes por sobredosis de drogas en EE.UU. para los 12 meses que terminaron en diciembre de 2025, una disminución del 13.9% respecto al año anterior (versión de mayo de 2026).</w:t>
      </w:r>
    </w:p>
    <w:p>
      <w:pPr>
        <w:pStyle w:val="BodyText"/>
      </w:pPr>
      <w:r>
        <w:t xml:space="preserve">• CDC/NCHS,</w:t>
      </w:r>
      <w:r>
        <w:t xml:space="preserve"> </w:t>
      </w:r>
      <w:r>
        <w:t xml:space="preserve">“Drug Overdose Deaths in the United States, 2023–2024,”</w:t>
      </w:r>
      <w:r>
        <w:t xml:space="preserve"> </w:t>
      </w:r>
      <w:r>
        <w:t xml:space="preserve">reportando 54,045 muertes relacionadas con opioides en 2024 y 47,735 relacionadas con opioides sintéticos distintos de la metadona.</w:t>
      </w:r>
    </w:p>
    <w:p>
      <w:pPr>
        <w:pStyle w:val="BodyText"/>
      </w:pPr>
      <w:r>
        <w:t xml:space="preserve">• SAMHSA, Encuesta Nacional sobre el Uso de Drogas y la Salud de 2024, reportando 4.8 millones de personas de 12 años o más con trastorno por uso de opioides en el último año y 818,000 (17.0%) recibiendo medicamentos para el trastorno por uso de opioides.</w:t>
      </w:r>
    </w:p>
    <w:p>
      <w:pPr>
        <w:pStyle w:val="BodyText"/>
      </w:pPr>
      <w:r>
        <w:t xml:space="preserve">• SAMHSA, Subvenciones de Respuesta Estatal a Opioides del año fiscal 2024 (TI-24-008): financiamiento total anticipado disponible de $1.4805 mil millones, hasta 59 adjudicaciones, con la continuación dependiente de la disponibilidad de fondos, el desempeño, los informes y el cumplimiento.</w:t>
      </w:r>
    </w:p>
    <w:p>
      <w:pPr>
        <w:pStyle w:val="BodyText"/>
      </w:pPr>
      <w:r>
        <w:t xml:space="preserve">• HHS, anuncio del 22 de septiembre de 2025, de más de $1.5 mil millones en adjudicaciones de continuación de la Respuesta Estatal y Tribal a Opioides del año fiscal 2025.</w:t>
      </w:r>
    </w:p>
    <w:p>
      <w:pPr>
        <w:pStyle w:val="BodyText"/>
      </w:pPr>
      <w:r>
        <w:t xml:space="preserve">• GAO de EE.UU., GAO-25-106944,</w:t>
      </w:r>
      <w:r>
        <w:t xml:space="preserve"> </w:t>
      </w:r>
      <w:r>
        <w:t xml:space="preserve">“Opioid Use Disorder Grants,”</w:t>
      </w:r>
      <w:r>
        <w:t xml:space="preserve"> </w:t>
      </w:r>
      <w:r>
        <w:t xml:space="preserve">describiendo cargas de informes, retrasos en el financiamiento y las adquisiciones, ventanas de implementación acortadas, y requisitos relacionados con los receptores finales.</w:t>
      </w:r>
    </w:p>
    <w:p>
      <w:pPr>
        <w:pStyle w:val="BodyText"/>
      </w:pPr>
      <w:r>
        <w:t xml:space="preserve">• CDC,</w:t>
      </w:r>
      <w:r>
        <w:t xml:space="preserve"> </w:t>
      </w:r>
      <w:r>
        <w:t xml:space="preserve">“Reverse Opioid Overdose to Prevent Death,”</w:t>
      </w:r>
      <w:r>
        <w:t xml:space="preserve"> </w:t>
      </w:r>
      <w:r>
        <w:t xml:space="preserve">describiendo la naloxona como un medicamento que puede revertir una sobredosis de opioides cuando se administra a tiempo.</w:t>
      </w:r>
    </w:p>
    <w:bookmarkEnd w:id="23"/>
    <w:bookmarkStart w:id="26" w:name="comentarios-de-chatgpt"/>
    <w:p>
      <w:pPr>
        <w:pStyle w:val="Heading1"/>
      </w:pPr>
      <w:r>
        <w:t xml:space="preserve">Comentarios de ChatGPT</w:t>
      </w:r>
    </w:p>
    <w:bookmarkStart w:id="24" w:name="prompt"/>
    <w:p>
      <w:pPr>
        <w:pStyle w:val="Heading2"/>
      </w:pPr>
      <w:r>
        <w:t xml:space="preserve">Prompt</w:t>
      </w:r>
    </w:p>
    <w:p>
      <w:pPr>
        <w:pStyle w:val="FirstParagraph"/>
      </w:pPr>
      <w:r>
        <w:t xml:space="preserve">Cree un estudio de caso de 4-6 páginas que describa los desafíos que enfrenta una agencia estatal de salud que trata con la adicción y que necesita recaudar financiamiento para apoyar sus operaciones. El costo principal es su personal, responsable de distribuir kits de naloxona, tratar la adicción y ayudar a las personas a reincorporarse. La agencia necesita equilibrar a qué grupos puede atender, con el desafío de enhebrar la aguja del financiamiento de agencias federales y estatales junto con donantes locales. El financiamiento gubernamental es incierto y viene con requisitos para llevar a cabo iniciativas específicas. Respalde su resumen con estadísticas sobre la adicción y los cambios en el financiamiento gubernamental.</w:t>
      </w:r>
    </w:p>
    <w:bookmarkEnd w:id="24"/>
    <w:bookmarkStart w:id="25" w:name="resumen"/>
    <w:p>
      <w:pPr>
        <w:pStyle w:val="Heading2"/>
      </w:pPr>
      <w:r>
        <w:t xml:space="preserve">Resumen</w:t>
      </w:r>
    </w:p>
    <w:p>
      <w:pPr>
        <w:pStyle w:val="FirstParagraph"/>
      </w:pPr>
      <w:r>
        <w:t xml:space="preserve">El caso presenta una agencia estatal ficticia de adicciones que trata de preservar su personal y equilibrar la distribución de naloxona, el tratamiento de la adicción y el apoyo a la recuperación a largo plazo mientras reúne subvenciones federales restringidas, asignaciones estatales, fondos de acuerdos de opioides, ingresos de Medicaid y donaciones privadas.</w:t>
      </w:r>
    </w:p>
    <w:p>
      <w:pPr>
        <w:pStyle w:val="BodyText"/>
      </w:pPr>
      <w:r>
        <w:t xml:space="preserve">Incluye:</w:t>
      </w:r>
    </w:p>
    <w:p>
      <w:pPr>
        <w:numPr>
          <w:ilvl w:val="0"/>
          <w:numId w:val="1005"/>
        </w:numPr>
      </w:pPr>
      <w:r>
        <w:t xml:space="preserve">Un presupuesto operativo de $118 millones y una fuerza laboral de 506 personas</w:t>
      </w:r>
    </w:p>
    <w:p>
      <w:pPr>
        <w:numPr>
          <w:ilvl w:val="0"/>
          <w:numId w:val="1005"/>
        </w:numPr>
      </w:pPr>
      <w:r>
        <w:t xml:space="preserve">Escenarios alternativos de financiamiento y un déficit proyectado de $18.6 millones</w:t>
      </w:r>
    </w:p>
    <w:p>
      <w:pPr>
        <w:numPr>
          <w:ilvl w:val="0"/>
          <w:numId w:val="1005"/>
        </w:numPr>
      </w:pPr>
      <w:r>
        <w:t xml:space="preserve">Propuestas competidoras para atender a comunidades rurales, personas involucradas en el sistema de justicia, familias y personas que necesitan vivienda o asistencia laboral</w:t>
      </w:r>
    </w:p>
    <w:p>
      <w:pPr>
        <w:numPr>
          <w:ilvl w:val="0"/>
          <w:numId w:val="1005"/>
        </w:numPr>
      </w:pPr>
      <w:r>
        <w:t xml:space="preserve">Restricciones de subvenciones federales, cargas de informes e incertidumbre en el momento del financiamiento</w:t>
      </w:r>
    </w:p>
    <w:p>
      <w:pPr>
        <w:numPr>
          <w:ilvl w:val="0"/>
          <w:numId w:val="1005"/>
        </w:numPr>
      </w:pPr>
      <w:r>
        <w:t xml:space="preserve">Exhibiciones cuantitativas y diez preguntas de discusión</w:t>
      </w:r>
    </w:p>
    <w:p>
      <w:pPr>
        <w:numPr>
          <w:ilvl w:val="0"/>
          <w:numId w:val="1005"/>
        </w:numPr>
      </w:pPr>
      <w:r>
        <w:t xml:space="preserve">Ninguna solución claramente preferida</w:t>
      </w:r>
    </w:p>
    <w:p>
      <w:pPr>
        <w:pStyle w:val="FirstParagraph"/>
      </w:pPr>
      <w:r>
        <w:t xml:space="preserve">El contexto de salud pública utiliza estadísticas actuales del CDC y SAMHSA, incluidas estimaciones preliminares de aproximadamente 69,973 muertes por sobredosis en EE.UU. durante 2025 y el hallazgo de que solo el 17% de los aproximadamente 4.8 millones de personas con trastorno por uso de opioides recibieron tratamiento con medicamentos en 2024. La información sobre financiamiento federal se basa en el anuncio de subvenciones de Respuesta Estatal a Opioides de $1.4805 mil millones del año fiscal 2024, más de $1.5 mil millones en adjudicaciones de continuación del año fiscal 2025, y los hallazgos de la GAO sobre retrasos en subvenciones y cargas de informes.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2026-09-11T15:27:44Z</dcterms:created>
  <dcterms:modified xsi:type="dcterms:W3CDTF">2026-09-11T15:27:44Z</dcterms:modified>
</cp:coreProperties>
</file>

<file path=docProps/custom.xml><?xml version="1.0" encoding="utf-8"?>
<Properties xmlns="http://schemas.openxmlformats.org/officeDocument/2006/custom-properties" xmlns:vt="http://schemas.openxmlformats.org/officeDocument/2006/docPropsVTypes"/>
</file>