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Ridgeway Industrial Systems</w:t>
      </w:r>
    </w:p>
    <w:p>
      <w:pPr>
        <w:pStyle w:val="BodyText"/>
      </w:pPr>
      <w:r>
        <w:t xml:space="preserve">El Cruce Energético</w:t>
      </w:r>
    </w:p>
    <w:p>
      <w:pPr>
        <w:pStyle w:val="BodyText"/>
      </w:pPr>
      <w:r>
        <w:t xml:space="preserve">Una decisión de red de manufactura ante el aumento de los costos eléctricos</w:t>
      </w:r>
    </w:p>
    <w:p>
      <w:pPr>
        <w:pStyle w:val="BodyText"/>
      </w:pPr>
      <w:r>
        <w:t xml:space="preserve">A las 6:20 a.m. de un lunes frío de febrero, Elena Marquez, directora de operaciones de Ridgeway Industrial Systems, abrió un correo electrónico de la empresa eléctrica de la compañía. La empresa eléctrica solicitaba permiso para realizar un estudio de ingeniería de la conexión de servicio de Ridgeway. La región había recibido solicitudes para varios centros de datos de gran tamaño, y la empresa eléctrica esperaba una inversión sustancial en subestaciones, equipo de transmisión y capacidad de generación. Algunos de esos costos, advertía la carta, podrían eventualmente reflejarse en las tarifas industriales.</w:t>
      </w:r>
    </w:p>
    <w:p>
      <w:pPr>
        <w:pStyle w:val="BodyText"/>
      </w:pPr>
      <w:r>
        <w:t xml:space="preserve">El mensaje llegó tres días antes de la reunión de estrategia de la junta directiva de Ridgeway. La planta principal de la compañía en el condado de Hamilton ya había visto su factura eléctrica anual subir de $8.6 millones a $13.9 millones en cuatro años. Su equipo de finanzas proyectaba que la factura podría superar los $19 millones para 2030 si se aprobaba la trayectoria tarifaria preliminar de la empresa eléctrica. La electricidad alguna vez había representado menos del 3% del costo de manufactura. Ahora se acercaba al 6%, con la mayor exposición concentrada en dos líneas de productos de uso intensivo de energía.</w:t>
      </w:r>
    </w:p>
    <w:p>
      <w:pPr>
        <w:pStyle w:val="BodyText"/>
      </w:pPr>
      <w:r>
        <w:t xml:space="preserve">Ridgeway fabricaba bombas de precisión, intercambiadores de calor industriales y ensamblajes resistentes a la corrosión para clientes de las industrias química, de procesamiento de alimentos y de tratamiento de agua. La planta de Hamilton empleaba a 1,180 personas, suministraba aproximadamente el 58% de los ingresos de la compañía, y contenía operaciones especializadas de mecanizado, soldadura, tratamiento térmico, recubrimiento y pruebas. Parte del equipo podía moverse. Otros sistemas estaban integrados en el edificio, ligados a cimientos, permisos ambientales y calificaciones de clientes.</w:t>
      </w:r>
    </w:p>
    <w:p>
      <w:pPr>
        <w:pStyle w:val="BodyText"/>
      </w:pPr>
      <w:r>
        <w:t xml:space="preserve">Se le había pedido a Marquez que recomendara un plan de investigación y una dirección estratégica inicial. Las alternativas aparentes eran claras: permanecer en el lugar y absorber o gestionar las tarifas más altas; instalar paneles solares y almacenamiento en baterías; convertir procesos eléctricos seleccionados a gas natural; o reubicar gran parte de la operación en otra región. Sin embargo, cada alternativa dependía de pronósticos inciertos, supuestos de ingeniería difíciles, y decisiones de las empresas eléctricas, reguladores, clientes y empleados.</w:t>
      </w:r>
    </w:p>
    <w:bookmarkStart w:id="9" w:name="la-decisión-ante-la-junta-directiva"/>
    <w:p>
      <w:pPr>
        <w:pStyle w:val="Heading2"/>
      </w:pPr>
      <w:r>
        <w:t xml:space="preserve">La decisión ante la junta directiva</w:t>
      </w:r>
    </w:p>
    <w:p>
      <w:pPr>
        <w:pStyle w:val="FirstParagraph"/>
      </w:pPr>
      <w:r>
        <w:t xml:space="preserve">No se le pedía a la junta directiva que aprobara de inmediato una nueva planta. Se le pedía que decidiera con qué grado de agresividad debía Ridgeway investigar las alternativas, qué proyectos debían avanzar a pilotos o ingeniería detallada, y si la compañía debía comenzar a asegurar terrenos y capacidad de empresas eléctricas en otro lugar antes de que lo hicieran los competidores. La distinción importaba. Un estudio cauteloso podría preservar el efectivo pero permitir que desaparecieran sitios atractivos, posiciones de interconexión, o incentivos. Un programa agresivo podría consumir millones de dólares antes de que la dirección entendiera si el aumento actual de tarifas era temporal, estructural, o parcialmente autoinfligido.</w:t>
      </w:r>
    </w:p>
    <w:bookmarkEnd w:id="9"/>
    <w:bookmarkStart w:id="12" w:name="X2cd33711302f1de9bc2e9b168276bcfd1a86f76"/>
    <w:p>
      <w:pPr>
        <w:pStyle w:val="Heading1"/>
      </w:pPr>
      <w:r>
        <w:t xml:space="preserve">Un mercado eléctrico regional bajo presión</w:t>
      </w:r>
    </w:p>
    <w:p>
      <w:pPr>
        <w:pStyle w:val="FirstParagraph"/>
      </w:pPr>
      <w:r>
        <w:t xml:space="preserve">El condado de Hamilton había pasado dos décadas reclutando manufactura avanzada. Más recientemente, la misma combinación de terreno económico, conectividad de fibra, acceso a autopistas, y un corredor de transmisión disponible había atraído a desarrolladores de centros de datos. Tres proyectos estaban en construcción y cinco más habían solicitado servicio de la empresa eléctrica. Los funcionarios locales daban la bienvenida a la base impositiva, pero los clientes industriales cuestionaban cómo se asignarían los costos de expansión de la red.</w:t>
      </w:r>
    </w:p>
    <w:p>
      <w:pPr>
        <w:pStyle w:val="BodyText"/>
      </w:pPr>
      <w:r>
        <w:t xml:space="preserve">La tendencia nacional era significativa. Berkeley Lab estimó que los centros de datos de EE. UU. usaron aproximadamente 176 teravatios-hora de electricidad en 2023, o aproximadamente el 4.4% del consumo eléctrico total de EE. UU., un aumento desde los 58 teravatios-hora en 2014. Su informe de 2024 estimó que los centros de datos podrían consumir entre el 6.7% y el 12% de la electricidad de EE. UU. para 2028. Una actualización posterior proyectó una estimación central del 11.8% para 2030, con un rango de 9.5% a 15.3%.¹ Las proyecciones no implicaban que cada fabricante enfrentaría el mismo aumento de costos, pero reforzaban la preocupación de Ridgeway de que la demanda eléctrica estaba entrando en un régimen de crecimiento diferente.</w:t>
      </w:r>
    </w:p>
    <w:p>
      <w:pPr>
        <w:pStyle w:val="BodyText"/>
      </w:pPr>
      <w:r>
        <w:t xml:space="preserve">La factura eléctrica de Ridgeway era más complicada que el número promedio de centavos por kilovatio-hora que se discutía en las reuniones de la junta directiva. La planta pagaba por la energía consumida, la demanda pico mensual, el servicio de transmisión, la capacidad, las penalizaciones por factor de potencia, y varios recargos. Un nuevo cargo de capacidad regional había aumentado marcadamente. La planta también había establecido tres picos de demanda inusualmente altos cuando se encendieron al mismo tiempo hornos grandes, compresores y bancos de prueba después de paradas de mantenimiento.</w:t>
      </w:r>
    </w:p>
    <w:bookmarkStart w:id="10" w:name="X088513363624e7b30221c79ee43071f0a5d35ea"/>
    <w:p>
      <w:pPr>
        <w:pStyle w:val="Heading2"/>
      </w:pPr>
      <w:r>
        <w:t xml:space="preserve">Figura 1. Uso y costo de electricidad de la planta de Hamilton</w:t>
      </w:r>
    </w:p>
    <w:tbl>
      <w:tblPr>
        <w:tblStyle w:val="Table"/>
        <w:tblW w:type="pct" w:w="4924"/>
        <w:tblLayout w:type="fixed"/>
        <w:tblLook w:firstRow="1" w:lastRow="0" w:firstColumn="0" w:lastColumn="0" w:noHBand="0" w:noVBand="0" w:val="0020"/>
      </w:tblPr>
      <w:tblGrid>
        <w:gridCol w:w="967"/>
        <w:gridCol w:w="1148"/>
        <w:gridCol w:w="1450"/>
        <w:gridCol w:w="1148"/>
        <w:gridCol w:w="1874"/>
        <w:gridCol w:w="1209"/>
      </w:tblGrid>
      <w:tr>
        <w:trPr>
          <w:tblHeader w:val="on"/>
        </w:trPr>
        <w:tc>
          <w:tcPr/>
          <w:p>
            <w:pPr>
              <w:pStyle w:val="Compact"/>
            </w:pPr>
            <w:r>
              <w:t xml:space="preserve">Año fiscal Í</w:t>
            </w:r>
          </w:p>
        </w:tc>
        <w:tc>
          <w:tcPr/>
          <w:p>
            <w:pPr>
              <w:pStyle w:val="Compact"/>
            </w:pPr>
            <w:r>
              <w:t xml:space="preserve">ndice de producción</w:t>
            </w:r>
          </w:p>
        </w:tc>
        <w:tc>
          <w:tcPr/>
          <w:p>
            <w:pPr>
              <w:pStyle w:val="Compact"/>
              <w:jc w:val="right"/>
            </w:pPr>
            <w:r>
              <w:t xml:space="preserve">Uso de electricidad (</w:t>
            </w:r>
          </w:p>
        </w:tc>
        <w:tc>
          <w:tcPr/>
          <w:p>
            <w:pPr>
              <w:pStyle w:val="Compact"/>
            </w:pPr>
            <w:r>
              <w:t xml:space="preserve">GWh) Demanda pico</w:t>
            </w:r>
          </w:p>
        </w:tc>
        <w:tc>
          <w:tcPr/>
          <w:p>
            <w:pPr>
              <w:pStyle w:val="Compact"/>
              <w:jc w:val="right"/>
            </w:pPr>
            <w:r>
              <w:t xml:space="preserve">(MW) Costo promedio total (\</w:t>
            </w:r>
          </w:p>
        </w:tc>
        <w:tc>
          <w:tcPr/>
          <w:p>
            <w:pPr>
              <w:pStyle w:val="Compact"/>
            </w:pPr>
            <w:r>
              <w:t xml:space="preserve">$/MWh) Factura anual ($M)</w:t>
            </w:r>
          </w:p>
        </w:tc>
      </w:tr>
      <w:tr>
        <w:tc>
          <w:tcPr/>
          <w:p>
            <w:pPr>
              <w:pStyle w:val="Compact"/>
            </w:pPr>
            <w:r>
              <w:t xml:space="preserve">2022</w:t>
            </w:r>
          </w:p>
        </w:tc>
        <w:tc>
          <w:tcPr/>
          <w:p>
            <w:pPr>
              <w:pStyle w:val="Compact"/>
            </w:pPr>
            <w:r>
              <w:t xml:space="preserve">100</w:t>
            </w:r>
          </w:p>
        </w:tc>
        <w:tc>
          <w:tcPr/>
          <w:p>
            <w:pPr>
              <w:pStyle w:val="Compact"/>
              <w:jc w:val="right"/>
            </w:pPr>
            <w:r>
              <w:t xml:space="preserve">112</w:t>
            </w:r>
          </w:p>
        </w:tc>
        <w:tc>
          <w:tcPr/>
          <w:p>
            <w:pPr>
              <w:pStyle w:val="Compact"/>
            </w:pPr>
            <w:r>
              <w:t xml:space="preserve">19.8</w:t>
            </w:r>
          </w:p>
        </w:tc>
        <w:tc>
          <w:tcPr/>
          <w:p>
            <w:pPr>
              <w:pStyle w:val="Compact"/>
              <w:jc w:val="right"/>
            </w:pPr>
            <w:r>
              <w:t xml:space="preserve">$77</w:t>
            </w:r>
          </w:p>
        </w:tc>
        <w:tc>
          <w:tcPr/>
          <w:p>
            <w:pPr>
              <w:pStyle w:val="Compact"/>
            </w:pPr>
            <w:r>
              <w:t xml:space="preserve">$8.6</w:t>
            </w:r>
          </w:p>
        </w:tc>
      </w:tr>
      <w:tr>
        <w:tc>
          <w:tcPr/>
          <w:p>
            <w:pPr>
              <w:pStyle w:val="Compact"/>
            </w:pPr>
            <w:r>
              <w:t xml:space="preserve">2023</w:t>
            </w:r>
          </w:p>
        </w:tc>
        <w:tc>
          <w:tcPr/>
          <w:p>
            <w:pPr>
              <w:pStyle w:val="Compact"/>
            </w:pPr>
            <w:r>
              <w:t xml:space="preserve">104</w:t>
            </w:r>
          </w:p>
        </w:tc>
        <w:tc>
          <w:tcPr/>
          <w:p>
            <w:pPr>
              <w:pStyle w:val="Compact"/>
              <w:jc w:val="right"/>
            </w:pPr>
            <w:r>
              <w:t xml:space="preserve">116</w:t>
            </w:r>
          </w:p>
        </w:tc>
        <w:tc>
          <w:tcPr/>
          <w:p>
            <w:pPr>
              <w:pStyle w:val="Compact"/>
            </w:pPr>
            <w:r>
              <w:t xml:space="preserve">20.5</w:t>
            </w:r>
          </w:p>
        </w:tc>
        <w:tc>
          <w:tcPr/>
          <w:p>
            <w:pPr>
              <w:pStyle w:val="Compact"/>
              <w:jc w:val="right"/>
            </w:pPr>
            <w:r>
              <w:t xml:space="preserve">$83</w:t>
            </w:r>
          </w:p>
        </w:tc>
        <w:tc>
          <w:tcPr/>
          <w:p>
            <w:pPr>
              <w:pStyle w:val="Compact"/>
            </w:pPr>
            <w:r>
              <w:t xml:space="preserve">$9.6</w:t>
            </w:r>
          </w:p>
        </w:tc>
      </w:tr>
      <w:tr>
        <w:tc>
          <w:tcPr/>
          <w:p>
            <w:pPr>
              <w:pStyle w:val="Compact"/>
            </w:pPr>
            <w:r>
              <w:t xml:space="preserve">2024</w:t>
            </w:r>
          </w:p>
        </w:tc>
        <w:tc>
          <w:tcPr/>
          <w:p>
            <w:pPr>
              <w:pStyle w:val="Compact"/>
            </w:pPr>
            <w:r>
              <w:t xml:space="preserve">107</w:t>
            </w:r>
          </w:p>
        </w:tc>
        <w:tc>
          <w:tcPr/>
          <w:p>
            <w:pPr>
              <w:pStyle w:val="Compact"/>
              <w:jc w:val="right"/>
            </w:pPr>
            <w:r>
              <w:t xml:space="preserve">119</w:t>
            </w:r>
          </w:p>
        </w:tc>
        <w:tc>
          <w:tcPr/>
          <w:p>
            <w:pPr>
              <w:pStyle w:val="Compact"/>
            </w:pPr>
            <w:r>
              <w:t xml:space="preserve">21.4</w:t>
            </w:r>
          </w:p>
        </w:tc>
        <w:tc>
          <w:tcPr/>
          <w:p>
            <w:pPr>
              <w:pStyle w:val="Compact"/>
              <w:jc w:val="right"/>
            </w:pPr>
            <w:r>
              <w:t xml:space="preserve">$92</w:t>
            </w:r>
          </w:p>
        </w:tc>
        <w:tc>
          <w:tcPr/>
          <w:p>
            <w:pPr>
              <w:pStyle w:val="Compact"/>
            </w:pPr>
            <w:r>
              <w:t xml:space="preserve">$10.9</w:t>
            </w:r>
          </w:p>
        </w:tc>
      </w:tr>
      <w:tr>
        <w:tc>
          <w:tcPr/>
          <w:p>
            <w:pPr>
              <w:pStyle w:val="Compact"/>
            </w:pPr>
            <w:r>
              <w:t xml:space="preserve">2025</w:t>
            </w:r>
          </w:p>
        </w:tc>
        <w:tc>
          <w:tcPr/>
          <w:p>
            <w:pPr>
              <w:pStyle w:val="Compact"/>
            </w:pPr>
            <w:r>
              <w:t xml:space="preserve">105</w:t>
            </w:r>
          </w:p>
        </w:tc>
        <w:tc>
          <w:tcPr/>
          <w:p>
            <w:pPr>
              <w:pStyle w:val="Compact"/>
              <w:jc w:val="right"/>
            </w:pPr>
            <w:r>
              <w:t xml:space="preserve">117</w:t>
            </w:r>
          </w:p>
        </w:tc>
        <w:tc>
          <w:tcPr/>
          <w:p>
            <w:pPr>
              <w:pStyle w:val="Compact"/>
            </w:pPr>
            <w:r>
              <w:t xml:space="preserve">22.8</w:t>
            </w:r>
          </w:p>
        </w:tc>
        <w:tc>
          <w:tcPr/>
          <w:p>
            <w:pPr>
              <w:pStyle w:val="Compact"/>
              <w:jc w:val="right"/>
            </w:pPr>
            <w:r>
              <w:t xml:space="preserve">$104</w:t>
            </w:r>
          </w:p>
        </w:tc>
        <w:tc>
          <w:tcPr/>
          <w:p>
            <w:pPr>
              <w:pStyle w:val="Compact"/>
            </w:pPr>
            <w:r>
              <w:t xml:space="preserve">$12.2</w:t>
            </w:r>
          </w:p>
        </w:tc>
      </w:tr>
      <w:tr>
        <w:tc>
          <w:tcPr/>
          <w:p>
            <w:pPr>
              <w:pStyle w:val="Compact"/>
            </w:pPr>
            <w:r>
              <w:t xml:space="preserve">Pronóstico 2026</w:t>
            </w:r>
          </w:p>
        </w:tc>
        <w:tc>
          <w:tcPr/>
          <w:p>
            <w:pPr>
              <w:pStyle w:val="Compact"/>
            </w:pPr>
            <w:r>
              <w:t xml:space="preserve">109</w:t>
            </w:r>
          </w:p>
        </w:tc>
        <w:tc>
          <w:tcPr/>
          <w:p>
            <w:pPr>
              <w:pStyle w:val="Compact"/>
              <w:jc w:val="right"/>
            </w:pPr>
            <w:r>
              <w:t xml:space="preserve">120</w:t>
            </w:r>
          </w:p>
        </w:tc>
        <w:tc>
          <w:tcPr/>
          <w:p>
            <w:pPr>
              <w:pStyle w:val="Compact"/>
            </w:pPr>
            <w:r>
              <w:t xml:space="preserve">23.2</w:t>
            </w:r>
          </w:p>
        </w:tc>
        <w:tc>
          <w:tcPr/>
          <w:p>
            <w:pPr>
              <w:pStyle w:val="Compact"/>
              <w:jc w:val="right"/>
            </w:pPr>
            <w:r>
              <w:t xml:space="preserve">$116</w:t>
            </w:r>
          </w:p>
        </w:tc>
        <w:tc>
          <w:tcPr/>
          <w:p>
            <w:pPr>
              <w:pStyle w:val="Compact"/>
            </w:pPr>
            <w:r>
              <w:t xml:space="preserve">$13.9</w:t>
            </w:r>
          </w:p>
        </w:tc>
      </w:tr>
    </w:tbl>
    <w:p>
      <w:pPr>
        <w:pStyle w:val="BodyText"/>
      </w:pPr>
      <w:r>
        <w:t xml:space="preserve">La gerente de energía de la planta, Priya Shah, argumentó que la compañía aún no había separado el problema externo de las tarifas del problema propio de gestión de carga. Estimó que una mejor secuenciación de los arranques, la reparación de fugas de aire comprimido, la revisión de la programación de hornos, y el apagado automático del equipo inactivo podrían reducir el costo eléctrico anual entre $1.4 millones y $2.1 millones. Los gerentes de operaciones eran escépticos. Temían que una gestión agresiva de picos aumentara el inventario en proceso, las horas extras, o las entregas incumplidas.</w:t>
      </w:r>
    </w:p>
    <w:bookmarkEnd w:id="10"/>
    <w:bookmarkStart w:id="11" w:name="el-proceso-de-manufactura"/>
    <w:p>
      <w:pPr>
        <w:pStyle w:val="Heading2"/>
      </w:pPr>
      <w:r>
        <w:t xml:space="preserve">El proceso de manufactura</w:t>
      </w:r>
    </w:p>
    <w:p>
      <w:pPr>
        <w:pStyle w:val="FirstParagraph"/>
      </w:pPr>
      <w:r>
        <w:t xml:space="preserve">La operación de Hamilton no era un único proceso continuo. El mecanizado y el bombeo eran intensivos en electricidad pero relativamente flexibles. El tratamiento térmico y el curado requerían perfiles de temperatura controlados. Las líneas de recubrimiento tenían requisitos estrictos de ventilación. El centro de pruebas hidráulicas creaba cargas grandes pero intermitentes. Los planificadores de producción programaban en función de las fechas de entrega de los clientes, la disponibilidad de máquinas, las habilidades laborales, y las retenciones de calidad, no de los precios de la electricidad.</w:t>
      </w:r>
    </w:p>
    <w:p>
      <w:pPr>
        <w:pStyle w:val="BodyText"/>
      </w:pPr>
      <w:r>
        <w:t xml:space="preserve">La dirección enfrentaba, por lo tanto, un problema de sistemas. Una reducción en el costo de la electricidad podría crear costos en otros lugares: tiempos de entrega más largos, configuraciones adicionales, lotes más grandes, más inventario, menor capacidad de respuesta, o menor utilización del equipo. Por el contrario, los cambios realizados por razones energéticas también podrían mejorar la disciplina de mantenimiento y la planificación de la producción.</w:t>
      </w:r>
    </w:p>
    <w:bookmarkEnd w:id="11"/>
    <w:bookmarkEnd w:id="12"/>
    <w:bookmarkStart w:id="17" w:name="cuatro-rutas-estratégicas"/>
    <w:p>
      <w:pPr>
        <w:pStyle w:val="Heading1"/>
      </w:pPr>
      <w:r>
        <w:t xml:space="preserve">Cuatro rutas estratégicas</w:t>
      </w:r>
    </w:p>
    <w:bookmarkStart w:id="13" w:name="mejorar-y-permanecer"/>
    <w:p>
      <w:pPr>
        <w:pStyle w:val="Heading2"/>
      </w:pPr>
      <w:r>
        <w:t xml:space="preserve">1. Mejorar y permanecer</w:t>
      </w:r>
    </w:p>
    <w:p>
      <w:pPr>
        <w:pStyle w:val="FirstParagraph"/>
      </w:pPr>
      <w:r>
        <w:t xml:space="preserve">La ruta menos disruptiva era conservar la planta de Hamilton y enfocarse primero en la eficiencia, la programación, el rediseño de tarifas, y la adquisición de energía. La empresa eléctrica había ofrecido evaluar una tarifa de servicio interrumpible que podría reducir los cargos anuales en un estimado de $900,000, pero Ridgeway tendría que reducir la carga con poco aviso durante un número limitado de emergencias de red. Un comercializador de energía propuso un contrato de precio fijo a diez años para parte del uso de la compañía. El precio fijo estaba por encima de la curva a plazo actual pero por debajo del escenario de tarifa alta de la empresa eléctrica.</w:t>
      </w:r>
    </w:p>
    <w:p>
      <w:pPr>
        <w:pStyle w:val="BodyText"/>
      </w:pPr>
      <w:r>
        <w:t xml:space="preserve">Esta ruta requería el menor compromiso de capital a corto plazo y preservaba la flexibilidad. También dejaba a Ridgeway expuesta a una red regional restringida y a la posibilidad de que la empresa eléctrica asignara una parte sustancial de los nuevos costos de infraestructura a los clientes industriales existentes.</w:t>
      </w:r>
    </w:p>
    <w:bookmarkEnd w:id="13"/>
    <w:bookmarkStart w:id="14" w:name="Xe21082647cbc11ed8a65e0531b5baf5cd22be42"/>
    <w:p>
      <w:pPr>
        <w:pStyle w:val="Heading2"/>
      </w:pPr>
      <w:r>
        <w:t xml:space="preserve">2. Generación solar y almacenamiento en baterías</w:t>
      </w:r>
    </w:p>
    <w:p>
      <w:pPr>
        <w:pStyle w:val="FirstParagraph"/>
      </w:pPr>
      <w:r>
        <w:t xml:space="preserve">Un desarrollador propuso una instalación solar de 14 megavatios utilizando el techo de la planta, marquesinas de estacionamiento, y una parcela adyacente. La producción esperada del primer año era de 19.5 gigavatios-hora, aproximadamente el 16% del consumo anual de la planta. Debido a que la mayor parte de la producción ocurría en días laborables, el desarrollador esperaba un alto nivel de uso en el sitio. El proyecto no eliminaría la conexión de la planta a la red ni la mayoría de las compras nocturnas.</w:t>
      </w:r>
    </w:p>
    <w:p>
      <w:pPr>
        <w:pStyle w:val="BodyText"/>
      </w:pPr>
      <w:r>
        <w:t xml:space="preserve">Una propuesta separada combinaba solar con una batería de 10 megavatios y 40 megavatios-hora. La batería podría reducir los picos de demanda, desplazar la producción solar hacia las operaciones vespertinas, y apoyar cargas críticas seleccionadas durante interrupciones cortas. No podría operar toda la planta durante un apagón prolongado. La economía dependía en gran medida de las reglas de cargos por demanda, la degradación de la batería, la calidad del despacho, el tratamiento fiscal, el costo de interconexión, y el valor asignado a la confiabilidad.</w:t>
      </w:r>
    </w:p>
    <w:bookmarkEnd w:id="14"/>
    <w:bookmarkStart w:id="15" w:name="X8532559cacf39cc08cf558bde981f0a8e6d1a71"/>
    <w:p>
      <w:pPr>
        <w:pStyle w:val="Heading2"/>
      </w:pPr>
      <w:r>
        <w:t xml:space="preserve">Figura 2. Propuestas preliminares de energía en el sitio</w:t>
      </w:r>
    </w:p>
    <w:tbl>
      <w:tblPr>
        <w:tblStyle w:val="Table"/>
        <w:tblW w:type="pct" w:w="4926"/>
        <w:tblLayout w:type="fixed"/>
        <w:tblLook w:firstRow="1" w:lastRow="0" w:firstColumn="0" w:lastColumn="0" w:noHBand="0" w:noVBand="0" w:val="0020"/>
      </w:tblPr>
      <w:tblGrid>
        <w:gridCol w:w="1514"/>
        <w:gridCol w:w="1048"/>
        <w:gridCol w:w="1572"/>
        <w:gridCol w:w="990"/>
        <w:gridCol w:w="2678"/>
      </w:tblGrid>
      <w:tr>
        <w:trPr>
          <w:tblHeader w:val="on"/>
        </w:trPr>
        <w:tc>
          <w:tcPr/>
          <w:p>
            <w:pPr>
              <w:pStyle w:val="Compact"/>
              <w:jc w:val="left"/>
            </w:pPr>
            <w:r>
              <w:t xml:space="preserve">Alternativa</w:t>
            </w:r>
          </w:p>
        </w:tc>
        <w:tc>
          <w:tcPr/>
          <w:p>
            <w:pPr>
              <w:pStyle w:val="Compact"/>
              <w:jc w:val="left"/>
            </w:pPr>
            <w:r>
              <w:t xml:space="preserve">Capital inicial</w:t>
            </w:r>
          </w:p>
        </w:tc>
        <w:tc>
          <w:tcPr/>
          <w:p>
            <w:pPr>
              <w:pStyle w:val="Compact"/>
            </w:pPr>
            <w:r>
              <w:t xml:space="preserve">Ahorro anual estimado Rec</w:t>
            </w:r>
          </w:p>
        </w:tc>
        <w:tc>
          <w:tcPr/>
          <w:p>
            <w:pPr>
              <w:pStyle w:val="Compact"/>
            </w:pPr>
            <w:r>
              <w:t xml:space="preserve">uperación simple</w:t>
            </w:r>
          </w:p>
        </w:tc>
        <w:tc>
          <w:tcPr/>
          <w:p>
            <w:pPr>
              <w:pStyle w:val="Compact"/>
              <w:jc w:val="center"/>
            </w:pPr>
            <w:r>
              <w:t xml:space="preserve">Principales incertidumbres</w:t>
            </w:r>
          </w:p>
        </w:tc>
      </w:tr>
      <w:tr>
        <w:tc>
          <w:tcPr/>
          <w:p>
            <w:pPr>
              <w:pStyle w:val="Compact"/>
              <w:jc w:val="left"/>
            </w:pPr>
            <w:r>
              <w:t xml:space="preserve">Eficiencia y controles</w:t>
            </w:r>
            <w:r>
              <w:br/>
            </w:r>
          </w:p>
        </w:tc>
        <w:tc>
          <w:tcPr/>
          <w:p>
            <w:pPr>
              <w:pStyle w:val="Compact"/>
              <w:jc w:val="left"/>
            </w:pPr>
            <w:r>
              <w:t xml:space="preserve">$6.5M</w:t>
            </w:r>
            <w:r>
              <w:br/>
            </w:r>
          </w:p>
        </w:tc>
        <w:tc>
          <w:tcPr/>
          <w:p>
            <w:pPr>
              <w:pStyle w:val="Compact"/>
            </w:pPr>
            <w:r>
              <w:t xml:space="preserve">$1.4M-$2.1M 3</w:t>
            </w:r>
          </w:p>
        </w:tc>
        <w:tc>
          <w:tcPr/>
          <w:p>
            <w:pPr>
              <w:pStyle w:val="Compact"/>
            </w:pPr>
            <w:r>
              <w:t xml:space="preserve">-5 años Cu</w:t>
            </w:r>
          </w:p>
        </w:tc>
        <w:tc>
          <w:tcPr/>
          <w:p>
            <w:pPr>
              <w:pStyle w:val="Compact"/>
              <w:jc w:val="center"/>
            </w:pPr>
            <w:r>
              <w:t xml:space="preserve">mplimiento operativo; efectos en la producción</w:t>
            </w:r>
          </w:p>
        </w:tc>
      </w:tr>
      <w:tr>
        <w:tc>
          <w:tcPr/>
          <w:p>
            <w:pPr>
              <w:pStyle w:val="Compact"/>
              <w:jc w:val="left"/>
            </w:pPr>
            <w:r>
              <w:t xml:space="preserve">Solo solar</w:t>
            </w:r>
          </w:p>
        </w:tc>
        <w:tc>
          <w:tcPr/>
          <w:p>
            <w:pPr>
              <w:pStyle w:val="Compact"/>
              <w:jc w:val="left"/>
            </w:pPr>
            <w:r>
              <w:t xml:space="preserve">$31M</w:t>
            </w:r>
          </w:p>
        </w:tc>
        <w:tc>
          <w:tcPr/>
          <w:p>
            <w:pPr>
              <w:pStyle w:val="Compact"/>
            </w:pPr>
            <w:r>
              <w:t xml:space="preserve">$3.0M-$4.4M</w:t>
            </w:r>
          </w:p>
        </w:tc>
        <w:tc>
          <w:tcPr/>
          <w:p>
            <w:pPr>
              <w:pStyle w:val="Compact"/>
            </w:pPr>
            <w:r>
              <w:t xml:space="preserve">7-10 años I</w:t>
            </w:r>
          </w:p>
        </w:tc>
        <w:tc>
          <w:tcPr/>
          <w:p>
            <w:pPr>
              <w:pStyle w:val="Compact"/>
              <w:jc w:val="center"/>
            </w:pPr>
            <w:r>
              <w:t xml:space="preserve">nterconexión; incentivos; valor de exportación</w:t>
            </w:r>
          </w:p>
        </w:tc>
      </w:tr>
      <w:tr>
        <w:tc>
          <w:tcPr/>
          <w:p>
            <w:pPr>
              <w:pStyle w:val="Compact"/>
              <w:jc w:val="left"/>
            </w:pPr>
            <w:r>
              <w:t xml:space="preserve">Solar más batería</w:t>
            </w:r>
          </w:p>
        </w:tc>
        <w:tc>
          <w:tcPr/>
          <w:p>
            <w:pPr>
              <w:pStyle w:val="Compact"/>
              <w:jc w:val="left"/>
            </w:pPr>
            <w:r>
              <w:t xml:space="preserve">$48M</w:t>
            </w:r>
          </w:p>
        </w:tc>
        <w:tc>
          <w:tcPr/>
          <w:p>
            <w:pPr>
              <w:pStyle w:val="Compact"/>
            </w:pPr>
            <w:r>
              <w:t xml:space="preserve">$4.6M-$7.0M</w:t>
            </w:r>
          </w:p>
        </w:tc>
        <w:tc>
          <w:tcPr/>
          <w:p>
            <w:pPr>
              <w:pStyle w:val="Compact"/>
            </w:pPr>
            <w:r>
              <w:t xml:space="preserve">7-11 años</w:t>
            </w:r>
          </w:p>
        </w:tc>
        <w:tc>
          <w:tcPr/>
          <w:p>
            <w:pPr>
              <w:pStyle w:val="Compact"/>
              <w:jc w:val="center"/>
            </w:pPr>
            <w:r>
              <w:t xml:space="preserve">Cargos por demanda; degradación; valor de despacho</w:t>
            </w:r>
          </w:p>
        </w:tc>
      </w:tr>
      <w:tr>
        <w:tc>
          <w:tcPr/>
          <w:p>
            <w:pPr>
              <w:pStyle w:val="Compact"/>
              <w:jc w:val="left"/>
            </w:pPr>
            <w:r>
              <w:t xml:space="preserve">Solo batería</w:t>
            </w:r>
          </w:p>
        </w:tc>
        <w:tc>
          <w:tcPr/>
          <w:p>
            <w:pPr>
              <w:pStyle w:val="Compact"/>
              <w:jc w:val="left"/>
            </w:pPr>
            <w:r>
              <w:t xml:space="preserve">$18M</w:t>
            </w:r>
          </w:p>
        </w:tc>
        <w:tc>
          <w:tcPr/>
          <w:p>
            <w:pPr>
              <w:pStyle w:val="Compact"/>
            </w:pPr>
            <w:r>
              <w:t xml:space="preserve">$1.8M-$3.6M</w:t>
            </w:r>
          </w:p>
        </w:tc>
        <w:tc>
          <w:tcPr/>
          <w:p>
            <w:pPr>
              <w:pStyle w:val="Compact"/>
            </w:pPr>
            <w:r>
              <w:t xml:space="preserve">5-10 años</w:t>
            </w:r>
          </w:p>
        </w:tc>
        <w:tc>
          <w:tcPr/>
          <w:p>
            <w:pPr>
              <w:pStyle w:val="Compact"/>
              <w:jc w:val="center"/>
            </w:pPr>
            <w:r>
              <w:t xml:space="preserve">Previsibilidad de picos; reglas de mercado</w:t>
            </w:r>
          </w:p>
        </w:tc>
      </w:tr>
    </w:tbl>
    <w:p>
      <w:pPr>
        <w:pStyle w:val="BodyText"/>
      </w:pPr>
      <w:r>
        <w:t xml:space="preserve">El director financiero Daniel Brooks cuestionó la comparación. Las estimaciones de ahorro habían sido producidas por diferentes proveedores usando diferentes pronósticos de electricidad, supuestos de financiamiento, tasas de degradación, y definiciones de costo evitado. Algunos modelos acreditaban a la batería tanto el ahorro por demanda pico como el valor de respaldo de emergencia, aunque la misma energía almacenada no siempre podía servir a ambos propósitos a la vez.</w:t>
      </w:r>
    </w:p>
    <w:bookmarkEnd w:id="15"/>
    <w:bookmarkStart w:id="16" w:name="X32c5b50c939ebd082c875407d56e8322677a490"/>
    <w:p>
      <w:pPr>
        <w:pStyle w:val="Heading2"/>
      </w:pPr>
      <w:r>
        <w:t xml:space="preserve">3. Convertir el calor de proceso a gas natural</w:t>
      </w:r>
    </w:p>
    <w:p>
      <w:pPr>
        <w:pStyle w:val="FirstParagraph"/>
      </w:pPr>
      <w:r>
        <w:t xml:space="preserve">El grupo de ingeniería de Ridgeway identificó siete hornos eléctricos, dos sistemas de curado, y un sistema de calentamiento de agua de lavado como posibles candidatos para conversión a gas natural. En conjunto, representaban aproximadamente 26 gigavatios-hora de uso eléctrico anual y 5.8 megavatios de demanda pico coincidente. La conversión podría reducir la exposición eléctrica, pero aumentaría el uso directo de combustible y las emisiones.</w:t>
      </w:r>
    </w:p>
    <w:p>
      <w:pPr>
        <w:pStyle w:val="BodyText"/>
      </w:pPr>
      <w:r>
        <w:t xml:space="preserve">Los precios del gas natural habían sido históricamente volátiles, y los precios de la electricidad y el gas no eran independientes porque los generadores alimentados con gas a menudo influían en los precios mayoristas de la energía. La empresa local de gas también advirtió que Ridgeway podría necesitar financiar parte de un refuerzo de gasoducto. Los permisos ambientales podrían tardar de 12 a 24 meses. Varios clientes habían comenzado a solicitar información de emisiones a nivel de producto, lo que generaba la preocupación de que una conversión a gas pudiera entrar en conflicto con futuros requisitos de adquisición.</w:t>
      </w:r>
    </w:p>
    <w:bookmarkEnd w:id="16"/>
    <w:bookmarkEnd w:id="17"/>
    <w:bookmarkStart w:id="19" w:name="la-alternativa-de-reubicación"/>
    <w:p>
      <w:pPr>
        <w:pStyle w:val="Heading1"/>
      </w:pPr>
      <w:r>
        <w:t xml:space="preserve">La alternativa de reubicación</w:t>
      </w:r>
    </w:p>
    <w:p>
      <w:pPr>
        <w:pStyle w:val="FirstParagraph"/>
      </w:pPr>
      <w:r>
        <w:t xml:space="preserve">La opción de mayor trascendencia era construir o adquirir una planta en otra región. El asesor inmobiliario de Ridgeway identificó tres ubicaciones preliminares. Cada una tenía precios de electricidad industrial actuales más bajos que el condado de Hamilton, terreno industrial disponible, e incentivos estatales de desarrollo económico. Ninguna replicaba la mano de obra calificada, la red de proveedores, y la proximidad a los clientes de Hamilton.</w:t>
      </w:r>
    </w:p>
    <w:bookmarkStart w:id="18" w:name="Xe128fe58b47e294c80428ca0eaa208b499be091"/>
    <w:p>
      <w:pPr>
        <w:pStyle w:val="Heading2"/>
      </w:pPr>
      <w:r>
        <w:t xml:space="preserve">Figura 3. Comparación preliminar de ubicaciones</w:t>
      </w:r>
    </w:p>
    <w:tbl>
      <w:tblPr>
        <w:tblStyle w:val="Table"/>
        <w:tblW w:type="pct" w:w="4905"/>
        <w:tblLayout w:type="fixed"/>
        <w:tblLook w:firstRow="1" w:lastRow="0" w:firstColumn="0" w:lastColumn="0" w:noHBand="0" w:noVBand="0" w:val="0020"/>
      </w:tblPr>
      <w:tblGrid>
        <w:gridCol w:w="2640"/>
        <w:gridCol w:w="1357"/>
        <w:gridCol w:w="1357"/>
        <w:gridCol w:w="1206"/>
        <w:gridCol w:w="1206"/>
      </w:tblGrid>
      <w:tr>
        <w:trPr>
          <w:tblHeader w:val="on"/>
        </w:trPr>
        <w:tc>
          <w:tcPr/>
          <w:p>
            <w:pPr>
              <w:pStyle w:val="Compact"/>
              <w:jc w:val="left"/>
            </w:pPr>
            <w:r>
              <w:t xml:space="preserve">Factor</w:t>
            </w:r>
          </w:p>
        </w:tc>
        <w:tc>
          <w:tcPr/>
          <w:p>
            <w:pPr>
              <w:pStyle w:val="Compact"/>
            </w:pPr>
            <w:r>
              <w:t xml:space="preserve">Condado de Hamilto</w:t>
            </w:r>
          </w:p>
        </w:tc>
        <w:tc>
          <w:tcPr/>
          <w:p>
            <w:pPr>
              <w:pStyle w:val="Compact"/>
            </w:pPr>
            <w:r>
              <w:t xml:space="preserve">n Riverbend Stat</w:t>
            </w:r>
          </w:p>
        </w:tc>
        <w:tc>
          <w:tcPr/>
          <w:p>
            <w:pPr>
              <w:pStyle w:val="Compact"/>
            </w:pPr>
            <w:r>
              <w:t xml:space="preserve">e Prairie Stat</w:t>
            </w:r>
          </w:p>
        </w:tc>
        <w:tc>
          <w:tcPr/>
          <w:p>
            <w:pPr>
              <w:pStyle w:val="Compact"/>
            </w:pPr>
            <w:r>
              <w:t xml:space="preserve">e Gulf State</w:t>
            </w:r>
          </w:p>
        </w:tc>
      </w:tr>
      <w:tr>
        <w:tc>
          <w:tcPr/>
          <w:p>
            <w:pPr>
              <w:pStyle w:val="Compact"/>
              <w:jc w:val="left"/>
            </w:pPr>
            <w:r>
              <w:t xml:space="preserve">Energía industrial: total actual</w:t>
            </w:r>
          </w:p>
        </w:tc>
        <w:tc>
          <w:tcPr/>
          <w:p>
            <w:pPr>
              <w:pStyle w:val="Compact"/>
            </w:pPr>
            <w:r>
              <w:t xml:space="preserve">$116/MWh</w:t>
            </w:r>
          </w:p>
        </w:tc>
        <w:tc>
          <w:tcPr/>
          <w:p>
            <w:pPr>
              <w:pStyle w:val="Compact"/>
            </w:pPr>
            <w:r>
              <w:t xml:space="preserve">$73/MWh</w:t>
            </w:r>
          </w:p>
        </w:tc>
        <w:tc>
          <w:tcPr/>
          <w:p>
            <w:pPr>
              <w:pStyle w:val="Compact"/>
            </w:pPr>
            <w:r>
              <w:t xml:space="preserve">$68/MWh</w:t>
            </w:r>
          </w:p>
        </w:tc>
        <w:tc>
          <w:tcPr/>
          <w:p>
            <w:pPr>
              <w:pStyle w:val="Compact"/>
            </w:pPr>
            <w:r>
              <w:t xml:space="preserve">$79/MWh</w:t>
            </w:r>
          </w:p>
        </w:tc>
      </w:tr>
      <w:tr>
        <w:tc>
          <w:tcPr/>
          <w:p>
            <w:pPr>
              <w:pStyle w:val="Compact"/>
              <w:jc w:val="left"/>
            </w:pPr>
            <w:r>
              <w:t xml:space="preserve">Incertidumbre de tarifa a 10 años</w:t>
            </w:r>
          </w:p>
        </w:tc>
        <w:tc>
          <w:tcPr/>
          <w:p>
            <w:pPr>
              <w:pStyle w:val="Compact"/>
            </w:pPr>
            <w:r>
              <w:t xml:space="preserve">Alta</w:t>
            </w:r>
          </w:p>
        </w:tc>
        <w:tc>
          <w:tcPr/>
          <w:p>
            <w:pPr>
              <w:pStyle w:val="Compact"/>
            </w:pPr>
            <w:r>
              <w:t xml:space="preserve">Media</w:t>
            </w:r>
          </w:p>
        </w:tc>
        <w:tc>
          <w:tcPr/>
          <w:p>
            <w:pPr>
              <w:pStyle w:val="Compact"/>
            </w:pPr>
            <w:r>
              <w:t xml:space="preserve">Media</w:t>
            </w:r>
          </w:p>
        </w:tc>
        <w:tc>
          <w:tcPr/>
          <w:p>
            <w:pPr>
              <w:pStyle w:val="Compact"/>
            </w:pPr>
            <w:r>
              <w:t xml:space="preserve">Alta</w:t>
            </w:r>
          </w:p>
        </w:tc>
      </w:tr>
      <w:tr>
        <w:tc>
          <w:tcPr/>
          <w:p>
            <w:pPr>
              <w:pStyle w:val="Compact"/>
              <w:jc w:val="left"/>
            </w:pPr>
            <w:r>
              <w:t xml:space="preserve">Acceso a gas natural</w:t>
            </w:r>
          </w:p>
        </w:tc>
        <w:tc>
          <w:tcPr/>
          <w:p>
            <w:pPr>
              <w:pStyle w:val="Compact"/>
            </w:pPr>
            <w:r>
              <w:t xml:space="preserve">Adecuado</w:t>
            </w:r>
          </w:p>
        </w:tc>
        <w:tc>
          <w:tcPr/>
          <w:p>
            <w:pPr>
              <w:pStyle w:val="Compact"/>
            </w:pPr>
            <w:r>
              <w:t xml:space="preserve">Fuerte</w:t>
            </w:r>
          </w:p>
        </w:tc>
        <w:tc>
          <w:tcPr/>
          <w:p>
            <w:pPr>
              <w:pStyle w:val="Compact"/>
            </w:pPr>
            <w:r>
              <w:t xml:space="preserve">Fuerte</w:t>
            </w:r>
          </w:p>
        </w:tc>
        <w:tc>
          <w:tcPr/>
          <w:p>
            <w:pPr>
              <w:pStyle w:val="Compact"/>
            </w:pPr>
            <w:r>
              <w:t xml:space="preserve">Fuerte</w:t>
            </w:r>
          </w:p>
        </w:tc>
      </w:tr>
      <w:tr>
        <w:tc>
          <w:tcPr/>
          <w:p>
            <w:pPr>
              <w:pStyle w:val="Compact"/>
              <w:jc w:val="left"/>
            </w:pPr>
            <w:r>
              <w:t xml:space="preserve">Inversión estimada en nueva planta</w:t>
            </w:r>
          </w:p>
        </w:tc>
        <w:tc>
          <w:tcPr/>
          <w:p>
            <w:pPr>
              <w:pStyle w:val="Compact"/>
            </w:pPr>
            <w:r>
              <w:t xml:space="preserve">N/A</w:t>
            </w:r>
          </w:p>
        </w:tc>
        <w:tc>
          <w:tcPr/>
          <w:p>
            <w:pPr>
              <w:pStyle w:val="Compact"/>
            </w:pPr>
            <w:r>
              <w:t xml:space="preserve">$410M</w:t>
            </w:r>
          </w:p>
        </w:tc>
        <w:tc>
          <w:tcPr/>
          <w:p>
            <w:pPr>
              <w:pStyle w:val="Compact"/>
            </w:pPr>
            <w:r>
              <w:t xml:space="preserve">$385M</w:t>
            </w:r>
          </w:p>
        </w:tc>
        <w:tc>
          <w:tcPr/>
          <w:p>
            <w:pPr>
              <w:pStyle w:val="Compact"/>
            </w:pPr>
            <w:r>
              <w:t xml:space="preserve">$430M</w:t>
            </w:r>
          </w:p>
        </w:tc>
      </w:tr>
      <w:tr>
        <w:tc>
          <w:tcPr/>
          <w:p>
            <w:pPr>
              <w:pStyle w:val="Compact"/>
              <w:jc w:val="left"/>
            </w:pPr>
            <w:r>
              <w:t xml:space="preserve">Período de transición</w:t>
            </w:r>
          </w:p>
        </w:tc>
        <w:tc>
          <w:tcPr/>
          <w:p>
            <w:pPr>
              <w:pStyle w:val="Compact"/>
            </w:pPr>
            <w:r>
              <w:t xml:space="preserve">N/A</w:t>
            </w:r>
          </w:p>
        </w:tc>
        <w:tc>
          <w:tcPr/>
          <w:p>
            <w:pPr>
              <w:pStyle w:val="Compact"/>
            </w:pPr>
            <w:r>
              <w:t xml:space="preserve">4-5 años</w:t>
            </w:r>
          </w:p>
        </w:tc>
        <w:tc>
          <w:tcPr/>
          <w:p>
            <w:pPr>
              <w:pStyle w:val="Compact"/>
            </w:pPr>
            <w:r>
              <w:t xml:space="preserve">4-6 años</w:t>
            </w:r>
          </w:p>
        </w:tc>
        <w:tc>
          <w:tcPr/>
          <w:p>
            <w:pPr>
              <w:pStyle w:val="Compact"/>
            </w:pPr>
            <w:r>
              <w:t xml:space="preserve">4-5 años</w:t>
            </w:r>
          </w:p>
        </w:tc>
      </w:tr>
      <w:tr>
        <w:tc>
          <w:tcPr/>
          <w:p>
            <w:pPr>
              <w:pStyle w:val="Compact"/>
              <w:jc w:val="left"/>
            </w:pPr>
            <w:r>
              <w:t xml:space="preserve">Disponibilidad de mano de obra cali</w:t>
            </w:r>
          </w:p>
        </w:tc>
        <w:tc>
          <w:tcPr/>
          <w:p>
            <w:pPr>
              <w:pStyle w:val="Compact"/>
            </w:pPr>
            <w:r>
              <w:t xml:space="preserve">ficada Fue</w:t>
            </w:r>
          </w:p>
        </w:tc>
        <w:tc>
          <w:tcPr/>
          <w:p>
            <w:pPr>
              <w:pStyle w:val="Compact"/>
            </w:pPr>
            <w:r>
              <w:t xml:space="preserve">rte Mod</w:t>
            </w:r>
          </w:p>
        </w:tc>
        <w:tc>
          <w:tcPr/>
          <w:p>
            <w:pPr>
              <w:pStyle w:val="Compact"/>
            </w:pPr>
            <w:r>
              <w:t xml:space="preserve">erada</w:t>
            </w:r>
          </w:p>
        </w:tc>
        <w:tc>
          <w:tcPr/>
          <w:p>
            <w:pPr>
              <w:pStyle w:val="Compact"/>
            </w:pPr>
            <w:r>
              <w:t xml:space="preserve">Limitada Moderada</w:t>
            </w:r>
          </w:p>
        </w:tc>
      </w:tr>
      <w:tr>
        <w:tc>
          <w:tcPr/>
          <w:p>
            <w:pPr>
              <w:pStyle w:val="Compact"/>
              <w:jc w:val="left"/>
            </w:pPr>
            <w:r>
              <w:t xml:space="preserve">Efecto de flete para clientes</w:t>
            </w:r>
          </w:p>
        </w:tc>
        <w:tc>
          <w:tcPr/>
          <w:p>
            <w:pPr>
              <w:pStyle w:val="Compact"/>
            </w:pPr>
            <w:r>
              <w:t xml:space="preserve">Base</w:t>
            </w:r>
          </w:p>
        </w:tc>
        <w:tc>
          <w:tcPr/>
          <w:p>
            <w:pPr>
              <w:pStyle w:val="Compact"/>
            </w:pPr>
            <w:r>
              <w:t xml:space="preserve">+$7M/año</w:t>
            </w:r>
          </w:p>
        </w:tc>
        <w:tc>
          <w:tcPr/>
          <w:p>
            <w:pPr>
              <w:pStyle w:val="Compact"/>
            </w:pPr>
            <w:r>
              <w:t xml:space="preserve">+$13M/año</w:t>
            </w:r>
          </w:p>
        </w:tc>
        <w:tc>
          <w:tcPr/>
          <w:p>
            <w:pPr>
              <w:pStyle w:val="Compact"/>
            </w:pPr>
            <w:r>
              <w:t xml:space="preserve">+$9M/año</w:t>
            </w:r>
          </w:p>
        </w:tc>
      </w:tr>
      <w:tr>
        <w:tc>
          <w:tcPr/>
          <w:p>
            <w:pPr>
              <w:pStyle w:val="Compact"/>
              <w:jc w:val="left"/>
            </w:pPr>
            <w:r>
              <w:t xml:space="preserve">Incentivos estatales/locales</w:t>
            </w:r>
          </w:p>
        </w:tc>
        <w:tc>
          <w:tcPr/>
          <w:p>
            <w:pPr>
              <w:pStyle w:val="Compact"/>
            </w:pPr>
            <w:r>
              <w:t xml:space="preserve">Limitados</w:t>
            </w:r>
          </w:p>
        </w:tc>
        <w:tc>
          <w:tcPr/>
          <w:p>
            <w:pPr>
              <w:pStyle w:val="Compact"/>
            </w:pPr>
            <w:r>
              <w:t xml:space="preserve">$54M</w:t>
            </w:r>
          </w:p>
        </w:tc>
        <w:tc>
          <w:tcPr/>
          <w:p>
            <w:pPr>
              <w:pStyle w:val="Compact"/>
            </w:pPr>
            <w:r>
              <w:t xml:space="preserve">$72M</w:t>
            </w:r>
          </w:p>
        </w:tc>
        <w:tc>
          <w:tcPr/>
          <w:p>
            <w:pPr>
              <w:pStyle w:val="Compact"/>
            </w:pPr>
            <w:r>
              <w:t xml:space="preserve">$61M</w:t>
            </w:r>
          </w:p>
        </w:tc>
      </w:tr>
      <w:tr>
        <w:tc>
          <w:tcPr/>
          <w:p>
            <w:pPr>
              <w:pStyle w:val="Compact"/>
              <w:jc w:val="left"/>
            </w:pPr>
            <w:r>
              <w:t xml:space="preserve">Exposición climática</w:t>
            </w:r>
          </w:p>
        </w:tc>
        <w:tc>
          <w:tcPr/>
          <w:p>
            <w:pPr>
              <w:pStyle w:val="Compact"/>
            </w:pPr>
            <w:r>
              <w:t xml:space="preserve">Moderada</w:t>
            </w:r>
          </w:p>
        </w:tc>
        <w:tc>
          <w:tcPr/>
          <w:p>
            <w:pPr>
              <w:pStyle w:val="Compact"/>
            </w:pPr>
            <w:r>
              <w:t xml:space="preserve">Inundaciones</w:t>
            </w:r>
          </w:p>
        </w:tc>
        <w:tc>
          <w:tcPr/>
          <w:p>
            <w:pPr>
              <w:pStyle w:val="Compact"/>
            </w:pPr>
            <w:r>
              <w:t xml:space="preserve">Tormentas de i</w:t>
            </w:r>
          </w:p>
        </w:tc>
        <w:tc>
          <w:tcPr/>
          <w:p>
            <w:pPr>
              <w:pStyle w:val="Compact"/>
            </w:pPr>
            <w:r>
              <w:t xml:space="preserve">nvierno Huracanes</w:t>
            </w:r>
          </w:p>
        </w:tc>
      </w:tr>
    </w:tbl>
    <w:p>
      <w:pPr>
        <w:pStyle w:val="BodyText"/>
      </w:pPr>
      <w:r>
        <w:t xml:space="preserve">Una mudanza completa no era la única alternativa de red. Ridgeway podría reubicar solo los procesos de mayor consumo energético, agregar una segunda planta, subcontratar el tratamiento térmico, o construir nueva capacidad en otro lugar mientras reducía gradualmente el papel de Hamilton. Cada enfoque creaba costos de coordinación, inventario duplicado, y desafíos de control de calidad. Los clientes en industrias reguladas podrían requerir meses de validación antes de aceptar productos de una nueva instalación.</w:t>
      </w:r>
    </w:p>
    <w:p>
      <w:pPr>
        <w:pStyle w:val="BodyText"/>
      </w:pPr>
      <w:r>
        <w:t xml:space="preserve">Recursos humanos estimó que menos del 20% de los empleados de Hamilton se reubicarían. Reemplazar a soldadores, mecánicos, inspectores, especialistas en mantenimiento, y supervisores de producción experimentados podría extender el período de puesta en marcha. La comunidad de Hamilton había apoyado a Ridgeway durante crisis anteriores, y los funcionarios locales advirtieron que un cierre afectaría a los proveedores, las escuelas, y las finanzas municipales.</w:t>
      </w:r>
    </w:p>
    <w:bookmarkEnd w:id="18"/>
    <w:bookmarkEnd w:id="19"/>
    <w:bookmarkStart w:id="21" w:name="X9f2d0682824315ed88c9e104d6cb117d62f4dab"/>
    <w:p>
      <w:pPr>
        <w:pStyle w:val="Heading1"/>
      </w:pPr>
      <w:r>
        <w:t xml:space="preserve">¿Cuál era el problema que Ridgeway estaba resolviendo?</w:t>
      </w:r>
    </w:p>
    <w:p>
      <w:pPr>
        <w:pStyle w:val="FirstParagraph"/>
      </w:pPr>
      <w:r>
        <w:t xml:space="preserve">El equipo ejecutivo no se ponía de acuerdo sobre el objetivo. Brooks planteó el problema como la minimización del valor presente de los costos de energía y transición. Shah enfatizaba la reducción de la demanda pico y la resiliencia. El jefe de manufactura quería proteger el rendimiento, la calidad, y el servicio al cliente. El director de sostenibilidad argumentaba que las decisiones de capital debían ser consistentes con los probables requisitos de emisiones de los clientes. El director de estrategia veía el tema eléctrico como un elemento de una pregunta más amplia: si Hamilton seguía siendo la ubicación correcta para la próxima generación de tecnología de producción de Ridgeway.</w:t>
      </w:r>
    </w:p>
    <w:p>
      <w:pPr>
        <w:pStyle w:val="BodyText"/>
      </w:pPr>
      <w:r>
        <w:t xml:space="preserve">La elección del objetivo cambiaba el análisis. Un proyecto de solar más almacenamiento podría tener un retorno financiero menor que un proyecto de eficiencia pero brindar más protección contra los apagones. La conversión a gas natural podría reducir el costo a corto plazo pero aumentar la exposición a la regulación del carbono. La reubicación podría ofrecer precios de energía más bajos pero crear mayores costos de flete, mano de obra, y ejecución. Una decisión basada en las tarifas actuales podría verse diferente de una basada en la flexibilidad para responder a condiciones futuras.</w:t>
      </w:r>
    </w:p>
    <w:bookmarkStart w:id="20" w:name="X4290098c67214974e8c9879775a97f8a2f53f9f"/>
    <w:p>
      <w:pPr>
        <w:pStyle w:val="Heading2"/>
      </w:pPr>
      <w:r>
        <w:t xml:space="preserve">Medidas propuestas por el equipo del proyecto</w:t>
      </w:r>
    </w:p>
    <w:p>
      <w:pPr>
        <w:numPr>
          <w:ilvl w:val="0"/>
          <w:numId w:val="1001"/>
        </w:numPr>
      </w:pPr>
      <w:r>
        <w:t xml:space="preserve">Valor presente neto y requisitos de efectivo anuales en horizontes de 5, 10, 15, y 20 años.</w:t>
      </w:r>
    </w:p>
    <w:p>
      <w:pPr>
        <w:numPr>
          <w:ilvl w:val="0"/>
          <w:numId w:val="1001"/>
        </w:numPr>
      </w:pPr>
      <w:r>
        <w:t xml:space="preserve">Costo de manufactura por unidad, incluyendo energía, mano de obra, flete, inventario, y efectos de transición.</w:t>
      </w:r>
    </w:p>
    <w:p>
      <w:pPr>
        <w:numPr>
          <w:ilvl w:val="0"/>
          <w:numId w:val="1001"/>
        </w:numPr>
      </w:pPr>
      <w:r>
        <w:t xml:space="preserve">Horas de producción perdida esperadas y el valor de una mayor resiliencia.</w:t>
      </w:r>
    </w:p>
    <w:p>
      <w:pPr>
        <w:numPr>
          <w:ilvl w:val="0"/>
          <w:numId w:val="1001"/>
        </w:numPr>
      </w:pPr>
      <w:r>
        <w:t xml:space="preserve">Emisiones de gases de efecto invernadero y exposición a futuros requisitos regulatorios o de clientes.</w:t>
      </w:r>
    </w:p>
    <w:p>
      <w:pPr>
        <w:numPr>
          <w:ilvl w:val="0"/>
          <w:numId w:val="1001"/>
        </w:numPr>
      </w:pPr>
      <w:r>
        <w:t xml:space="preserve">Tiempo de implementación, probabilidad de retraso, y probabilidad de sobrecosto.</w:t>
      </w:r>
    </w:p>
    <w:p>
      <w:pPr>
        <w:numPr>
          <w:ilvl w:val="0"/>
          <w:numId w:val="1001"/>
        </w:numPr>
      </w:pPr>
      <w:r>
        <w:t xml:space="preserve">Reversibilidad: la capacidad de expandir, detener, o redirigir la inversión a medida que cambian las condiciones.</w:t>
      </w:r>
    </w:p>
    <w:p>
      <w:pPr>
        <w:numPr>
          <w:ilvl w:val="0"/>
          <w:numId w:val="1001"/>
        </w:numPr>
      </w:pPr>
      <w:r>
        <w:t xml:space="preserve">Efectos sobre los empleados, proveedores, clientes, y la comunidad de Hamilton.</w:t>
      </w:r>
    </w:p>
    <w:bookmarkEnd w:id="20"/>
    <w:bookmarkEnd w:id="21"/>
    <w:bookmarkStart w:id="24" w:name="incertidumbre-en-todas-las-direcciones"/>
    <w:p>
      <w:pPr>
        <w:pStyle w:val="Heading1"/>
      </w:pPr>
      <w:r>
        <w:t xml:space="preserve">Incertidumbre en todas las direcciones</w:t>
      </w:r>
    </w:p>
    <w:p>
      <w:pPr>
        <w:pStyle w:val="FirstParagraph"/>
      </w:pPr>
      <w:r>
        <w:t xml:space="preserve">El equipo del proyecto desarrolló tres escenarios de tarifas eléctricas pero no logró acordar probabilidades. El caso alto de la empresa eléctrica suponía un rápido crecimiento de los centros de datos y una inversión sustancial en transmisión. Su caso bajo suponía que los nuevos usuarios grandes financiarían más de la infraestructura requerida y que varios proyectos propuestos se retrasarían o cancelarían. Los consultores de Ridgeway agregaron una cuarta posibilidad: los reguladores regionales podrían introducir una tarifa especial para nuevas cargas muy grandes, reduciendo la presión de costos sobre los clientes existentes.</w:t>
      </w:r>
    </w:p>
    <w:bookmarkStart w:id="22" w:name="Xcaec85fe0a20887b565de7ad1558e0e33f7c572"/>
    <w:p>
      <w:pPr>
        <w:pStyle w:val="Heading2"/>
      </w:pPr>
      <w:r>
        <w:t xml:space="preserve">Figura 4. Escenarios de tarifa eléctrica de Hamilton</w:t>
      </w:r>
    </w:p>
    <w:tbl>
      <w:tblPr>
        <w:tblStyle w:val="Table"/>
        <w:tblW w:type="pct" w:w="4921"/>
        <w:tblLayout w:type="fixed"/>
        <w:tblLook w:firstRow="1" w:lastRow="0" w:firstColumn="0" w:lastColumn="0" w:noHBand="0" w:noVBand="0" w:val="0020"/>
      </w:tblPr>
      <w:tblGrid>
        <w:gridCol w:w="1194"/>
        <w:gridCol w:w="1194"/>
        <w:gridCol w:w="1194"/>
        <w:gridCol w:w="4211"/>
      </w:tblGrid>
      <w:tr>
        <w:trPr>
          <w:tblHeader w:val="on"/>
        </w:trPr>
        <w:tc>
          <w:tcPr/>
          <w:p>
            <w:pPr>
              <w:pStyle w:val="Compact"/>
              <w:jc w:val="left"/>
            </w:pPr>
            <w:r>
              <w:t xml:space="preserve">Escenario</w:t>
            </w:r>
          </w:p>
        </w:tc>
        <w:tc>
          <w:tcPr/>
          <w:p>
            <w:pPr>
              <w:pStyle w:val="Compact"/>
              <w:jc w:val="right"/>
            </w:pPr>
            <w:r>
              <w:t xml:space="preserve">Tarifa total 2030</w:t>
            </w:r>
          </w:p>
        </w:tc>
        <w:tc>
          <w:tcPr/>
          <w:p>
            <w:pPr>
              <w:pStyle w:val="Compact"/>
              <w:jc w:val="right"/>
            </w:pPr>
            <w:r>
              <w:t xml:space="preserve">Tarifa total 2035</w:t>
            </w:r>
          </w:p>
        </w:tc>
        <w:tc>
          <w:tcPr/>
          <w:p>
            <w:pPr>
              <w:pStyle w:val="Compact"/>
              <w:jc w:val="center"/>
            </w:pPr>
            <w:r>
              <w:t xml:space="preserve">Descripción</w:t>
            </w:r>
          </w:p>
        </w:tc>
      </w:tr>
      <w:tr>
        <w:tc>
          <w:tcPr/>
          <w:p>
            <w:pPr>
              <w:pStyle w:val="Compact"/>
              <w:jc w:val="left"/>
            </w:pPr>
            <w:r>
              <w:t xml:space="preserve">Alivio</w:t>
            </w:r>
          </w:p>
        </w:tc>
        <w:tc>
          <w:tcPr/>
          <w:p>
            <w:pPr>
              <w:pStyle w:val="Compact"/>
              <w:jc w:val="right"/>
            </w:pPr>
            <w:r>
              <w:t xml:space="preserve">$124/MWh</w:t>
            </w:r>
          </w:p>
        </w:tc>
        <w:tc>
          <w:tcPr/>
          <w:p>
            <w:pPr>
              <w:pStyle w:val="Compact"/>
              <w:jc w:val="right"/>
            </w:pPr>
            <w:r>
              <w:t xml:space="preserve">$130/MWh</w:t>
            </w:r>
          </w:p>
        </w:tc>
        <w:tc>
          <w:tcPr/>
          <w:p>
            <w:pPr>
              <w:pStyle w:val="Compact"/>
              <w:jc w:val="center"/>
            </w:pPr>
            <w:r>
              <w:t xml:space="preserve">Nuevas tarifas para cargas grandes y construcción más lenta de centros de datos</w:t>
            </w:r>
          </w:p>
        </w:tc>
      </w:tr>
      <w:tr>
        <w:tc>
          <w:tcPr/>
          <w:p>
            <w:pPr>
              <w:pStyle w:val="Compact"/>
              <w:jc w:val="left"/>
            </w:pPr>
            <w:r>
              <w:t xml:space="preserve">Crecimiento gestion</w:t>
            </w:r>
          </w:p>
        </w:tc>
        <w:tc>
          <w:tcPr/>
          <w:p>
            <w:pPr>
              <w:pStyle w:val="Compact"/>
              <w:jc w:val="right"/>
            </w:pPr>
            <w:r>
              <w:t xml:space="preserve">ado $145/MWh</w:t>
            </w:r>
          </w:p>
        </w:tc>
        <w:tc>
          <w:tcPr/>
          <w:p>
            <w:pPr>
              <w:pStyle w:val="Compact"/>
              <w:jc w:val="right"/>
            </w:pPr>
            <w:r>
              <w:t xml:space="preserve">$158/MWh</w:t>
            </w:r>
          </w:p>
        </w:tc>
        <w:tc>
          <w:tcPr/>
          <w:p>
            <w:pPr>
              <w:pStyle w:val="Compact"/>
              <w:jc w:val="center"/>
            </w:pPr>
            <w:r>
              <w:t xml:space="preserve">Inversión en la red distribuida entre clientes; crecimiento moderado de la demanda</w:t>
            </w:r>
          </w:p>
        </w:tc>
      </w:tr>
      <w:tr>
        <w:tc>
          <w:tcPr/>
          <w:p>
            <w:pPr>
              <w:pStyle w:val="Compact"/>
              <w:jc w:val="left"/>
            </w:pPr>
            <w:r>
              <w:t xml:space="preserve">Restricción de capa</w:t>
            </w:r>
          </w:p>
        </w:tc>
        <w:tc>
          <w:tcPr/>
          <w:p>
            <w:pPr>
              <w:pStyle w:val="Compact"/>
              <w:jc w:val="right"/>
            </w:pPr>
            <w:r>
              <w:t xml:space="preserve">cidad $171/MWh</w:t>
            </w:r>
          </w:p>
        </w:tc>
        <w:tc>
          <w:tcPr/>
          <w:p>
            <w:pPr>
              <w:pStyle w:val="Compact"/>
              <w:jc w:val="right"/>
            </w:pPr>
            <w:r>
              <w:t xml:space="preserve">$198/MWh</w:t>
            </w:r>
          </w:p>
        </w:tc>
        <w:tc>
          <w:tcPr/>
          <w:p>
            <w:pPr>
              <w:pStyle w:val="Compact"/>
              <w:jc w:val="center"/>
            </w:pPr>
            <w:r>
              <w:t xml:space="preserve">Adiciones rápidas de carga, retrasos en transmisión, altos cargos de capacidad</w:t>
            </w:r>
          </w:p>
        </w:tc>
      </w:tr>
      <w:tr>
        <w:tc>
          <w:tcPr/>
          <w:p>
            <w:pPr>
              <w:pStyle w:val="Compact"/>
              <w:jc w:val="left"/>
            </w:pPr>
            <w:r>
              <w:t xml:space="preserve">Red volátil $13</w:t>
            </w:r>
          </w:p>
        </w:tc>
        <w:tc>
          <w:tcPr/>
          <w:p>
            <w:pPr>
              <w:pStyle w:val="Compact"/>
              <w:jc w:val="right"/>
            </w:pPr>
            <w:r>
              <w:t xml:space="preserve">5-$190/MWh $14</w:t>
            </w:r>
          </w:p>
        </w:tc>
        <w:tc>
          <w:tcPr/>
          <w:p>
            <w:pPr>
              <w:pStyle w:val="Compact"/>
              <w:jc w:val="right"/>
            </w:pPr>
            <w:r>
              <w:t xml:space="preserve">0-$220/MWh Pico</w:t>
            </w:r>
          </w:p>
        </w:tc>
        <w:tc>
          <w:tcPr/>
          <w:p>
            <w:pPr>
              <w:pStyle w:val="Compact"/>
              <w:jc w:val="center"/>
            </w:pPr>
            <w:r>
              <w:t xml:space="preserve">s de precios frecuentes y estructuras tarifarias cambiantes</w:t>
            </w:r>
          </w:p>
        </w:tc>
      </w:tr>
    </w:tbl>
    <w:p>
      <w:pPr>
        <w:pStyle w:val="BodyText"/>
      </w:pPr>
      <w:r>
        <w:t xml:space="preserve">Los pronósticos de gas natural eran igualmente inciertos. El modelo de ingeniería usó un precio entregado de $6.40 por millón de Btu, con un aumento del 2.5% anual. Finanzas solicitó sensibilidades a $4, $8, y $12. El equipo de sostenibilidad pidió un escenario de costo del carbono. Operaciones preguntó si el servicio de gas se restringiría durante condiciones invernales extremas.</w:t>
      </w:r>
    </w:p>
    <w:p>
      <w:pPr>
        <w:pStyle w:val="BodyText"/>
      </w:pPr>
      <w:r>
        <w:t xml:space="preserve">Los supuestos de tecnología y política también importaban. Las ofertas de solar y batería podrían cambiar antes de la aprobación de la interconexión. Los incentivos fiscales podrían modificarse. El desempeño de la batería dependería de los patrones de ciclado y la temperatura. Un nuevo proceso de manufactura en desarrollo podría reducir el uso de hornos en un 40%, o no lograr calificar con los clientes. El cliente más grande de Ridgeway estaba negociando un contrato de cinco años que podría aumentar el volumen de Hamilton en un 18%, pero la adjudicación no estaba asegurada.</w:t>
      </w:r>
    </w:p>
    <w:bookmarkEnd w:id="22"/>
    <w:bookmarkStart w:id="23" w:name="Xd4e3659f989e03f184b13a5f684bcda1276e632"/>
    <w:p>
      <w:pPr>
        <w:pStyle w:val="Heading2"/>
      </w:pPr>
      <w:r>
        <w:t xml:space="preserve">Figura 5. Incertidumbres clave y decisiones potencialmente afectadas</w:t>
      </w:r>
    </w:p>
    <w:tbl>
      <w:tblPr>
        <w:tblStyle w:val="Table"/>
        <w:tblW w:type="pct" w:w="4938"/>
        <w:tblLayout w:type="fixed"/>
        <w:tblLook w:firstRow="1" w:lastRow="0" w:firstColumn="0" w:lastColumn="0" w:noHBand="0" w:noVBand="0" w:val="0020"/>
      </w:tblPr>
      <w:tblGrid>
        <w:gridCol w:w="1672"/>
        <w:gridCol w:w="1721"/>
        <w:gridCol w:w="2164"/>
        <w:gridCol w:w="2262"/>
      </w:tblGrid>
      <w:tr>
        <w:trPr>
          <w:tblHeader w:val="on"/>
        </w:trPr>
        <w:tc>
          <w:tcPr/>
          <w:p>
            <w:pPr>
              <w:pStyle w:val="Compact"/>
              <w:jc w:val="left"/>
            </w:pPr>
            <w:r>
              <w:t xml:space="preserve">Incertidumbre</w:t>
            </w:r>
          </w:p>
        </w:tc>
        <w:tc>
          <w:tcPr/>
          <w:p>
            <w:pPr>
              <w:pStyle w:val="Compact"/>
              <w:jc w:val="center"/>
            </w:pPr>
            <w:r>
              <w:t xml:space="preserve">Resultado bajo/alternativo</w:t>
            </w:r>
          </w:p>
        </w:tc>
        <w:tc>
          <w:tcPr/>
          <w:p>
            <w:pPr>
              <w:pStyle w:val="Compact"/>
              <w:jc w:val="center"/>
            </w:pPr>
            <w:r>
              <w:t xml:space="preserve">Resultado alto/alternativo</w:t>
            </w:r>
          </w:p>
        </w:tc>
        <w:tc>
          <w:tcPr/>
          <w:p>
            <w:pPr>
              <w:pStyle w:val="Compact"/>
              <w:jc w:val="center"/>
            </w:pPr>
            <w:r>
              <w:t xml:space="preserve">Decisiones más afectadas</w:t>
            </w:r>
          </w:p>
        </w:tc>
      </w:tr>
      <w:tr>
        <w:tc>
          <w:tcPr/>
          <w:p>
            <w:pPr>
              <w:pStyle w:val="Compact"/>
              <w:jc w:val="left"/>
            </w:pPr>
            <w:r>
              <w:t xml:space="preserve">Tarifas eléctricas regionales</w:t>
            </w:r>
          </w:p>
        </w:tc>
        <w:tc>
          <w:tcPr/>
          <w:p>
            <w:pPr>
              <w:pStyle w:val="Compact"/>
              <w:jc w:val="center"/>
            </w:pPr>
            <w:r>
              <w:t xml:space="preserve">Los costos se estabilizan</w:t>
            </w:r>
          </w:p>
        </w:tc>
        <w:tc>
          <w:tcPr/>
          <w:p>
            <w:pPr>
              <w:pStyle w:val="Compact"/>
              <w:jc w:val="center"/>
            </w:pPr>
            <w:r>
              <w:t xml:space="preserve">Las tarifas y los cargos por de</w:t>
            </w:r>
          </w:p>
        </w:tc>
        <w:tc>
          <w:tcPr/>
          <w:p>
            <w:pPr>
              <w:pStyle w:val="Compact"/>
              <w:jc w:val="center"/>
            </w:pPr>
            <w:r>
              <w:t xml:space="preserve">manda suben marcadamente Reubicación, solar, almacenamiento, eficiencia</w:t>
            </w:r>
          </w:p>
        </w:tc>
      </w:tr>
      <w:tr>
        <w:tc>
          <w:tcPr/>
          <w:p>
            <w:pPr>
              <w:pStyle w:val="Compact"/>
              <w:jc w:val="left"/>
            </w:pPr>
            <w:r>
              <w:t xml:space="preserve">Precios del gas natural</w:t>
            </w:r>
          </w:p>
        </w:tc>
        <w:tc>
          <w:tcPr/>
          <w:p>
            <w:pPr>
              <w:pStyle w:val="Compact"/>
              <w:jc w:val="center"/>
            </w:pPr>
            <w:r>
              <w:t xml:space="preserve">Suministro abundante; precios</w:t>
            </w:r>
          </w:p>
        </w:tc>
        <w:tc>
          <w:tcPr/>
          <w:p>
            <w:pPr>
              <w:pStyle w:val="Compact"/>
              <w:jc w:val="center"/>
            </w:pPr>
            <w:r>
              <w:t xml:space="preserve">moderados La demanda de exportación o la d</w:t>
            </w:r>
          </w:p>
        </w:tc>
        <w:tc>
          <w:tcPr/>
          <w:p>
            <w:pPr>
              <w:pStyle w:val="Compact"/>
              <w:jc w:val="center"/>
            </w:pPr>
            <w:r>
              <w:t xml:space="preserve">isrupción eleva los precios Conversión de procesos, cogeneración</w:t>
            </w:r>
          </w:p>
        </w:tc>
      </w:tr>
      <w:tr>
        <w:tc>
          <w:tcPr/>
          <w:p>
            <w:pPr>
              <w:pStyle w:val="Compact"/>
              <w:jc w:val="left"/>
            </w:pPr>
            <w:r>
              <w:t xml:space="preserve">Demanda de producción</w:t>
            </w:r>
          </w:p>
        </w:tc>
        <w:tc>
          <w:tcPr/>
          <w:p>
            <w:pPr>
              <w:pStyle w:val="Compact"/>
              <w:jc w:val="center"/>
            </w:pPr>
            <w:r>
              <w:t xml:space="preserve">Plana o en declive</w:t>
            </w:r>
          </w:p>
        </w:tc>
        <w:tc>
          <w:tcPr/>
          <w:p>
            <w:pPr>
              <w:pStyle w:val="Compact"/>
              <w:jc w:val="center"/>
            </w:pPr>
            <w:r>
              <w:t xml:space="preserve">Adjudicación de cliente importante; cr</w:t>
            </w:r>
          </w:p>
        </w:tc>
        <w:tc>
          <w:tcPr/>
          <w:p>
            <w:pPr>
              <w:pStyle w:val="Compact"/>
              <w:jc w:val="center"/>
            </w:pPr>
            <w:r>
              <w:t xml:space="preserve">ecimiento del 18% Dimensionamiento de la planta, reubicación, escala solar</w:t>
            </w:r>
          </w:p>
        </w:tc>
      </w:tr>
      <w:tr>
        <w:tc>
          <w:tcPr/>
          <w:p>
            <w:pPr>
              <w:pStyle w:val="Compact"/>
              <w:jc w:val="left"/>
            </w:pPr>
            <w:r>
              <w:t xml:space="preserve">Requisitos de emisiones de cliente</w:t>
            </w:r>
          </w:p>
        </w:tc>
        <w:tc>
          <w:tcPr/>
          <w:p>
            <w:pPr>
              <w:pStyle w:val="Compact"/>
              <w:jc w:val="center"/>
            </w:pPr>
            <w:r>
              <w:t xml:space="preserve">s Informe voluntario</w:t>
            </w:r>
          </w:p>
        </w:tc>
        <w:tc>
          <w:tcPr/>
          <w:p>
            <w:pPr>
              <w:pStyle w:val="Compact"/>
              <w:jc w:val="center"/>
            </w:pPr>
            <w:r>
              <w:t xml:space="preserve">Umbrales de adquisición vinculantes</w:t>
            </w:r>
          </w:p>
        </w:tc>
        <w:tc>
          <w:tcPr/>
          <w:p>
            <w:pPr>
              <w:pStyle w:val="Compact"/>
              <w:jc w:val="center"/>
            </w:pPr>
            <w:r>
              <w:t xml:space="preserve">Gas natural, reubicación, abastecimiento renovable</w:t>
            </w:r>
          </w:p>
        </w:tc>
      </w:tr>
      <w:tr>
        <w:tc>
          <w:tcPr/>
          <w:p>
            <w:pPr>
              <w:pStyle w:val="Compact"/>
              <w:jc w:val="left"/>
            </w:pPr>
            <w:r>
              <w:t xml:space="preserve">Tiempo de interconexión</w:t>
            </w:r>
          </w:p>
        </w:tc>
        <w:tc>
          <w:tcPr/>
          <w:p>
            <w:pPr>
              <w:pStyle w:val="Compact"/>
              <w:jc w:val="center"/>
            </w:pPr>
            <w:r>
              <w:t xml:space="preserve">18 meses</w:t>
            </w:r>
          </w:p>
        </w:tc>
        <w:tc>
          <w:tcPr/>
          <w:p>
            <w:pPr>
              <w:pStyle w:val="Compact"/>
              <w:jc w:val="center"/>
            </w:pPr>
            <w:r>
              <w:t xml:space="preserve">4+ años y costo de actualización importante</w:t>
            </w:r>
          </w:p>
        </w:tc>
        <w:tc>
          <w:tcPr/>
          <w:p>
            <w:pPr>
              <w:pStyle w:val="Compact"/>
              <w:jc w:val="center"/>
            </w:pPr>
            <w:r>
              <w:t xml:space="preserve">Solar y batería</w:t>
            </w:r>
          </w:p>
        </w:tc>
      </w:tr>
      <w:tr>
        <w:tc>
          <w:tcPr/>
          <w:p>
            <w:pPr>
              <w:pStyle w:val="Compact"/>
              <w:jc w:val="left"/>
            </w:pPr>
            <w:r>
              <w:t xml:space="preserve">Nueva tecnología de proceso</w:t>
            </w:r>
          </w:p>
        </w:tc>
        <w:tc>
          <w:tcPr/>
          <w:p>
            <w:pPr>
              <w:pStyle w:val="Compact"/>
              <w:jc w:val="center"/>
            </w:pPr>
            <w:r>
              <w:t xml:space="preserve">Calificación exitosa</w:t>
            </w:r>
          </w:p>
        </w:tc>
        <w:tc>
          <w:tcPr/>
          <w:p>
            <w:pPr>
              <w:pStyle w:val="Compact"/>
              <w:jc w:val="center"/>
            </w:pPr>
            <w:r>
              <w:t xml:space="preserve">Retraso o falla técnica</w:t>
            </w:r>
          </w:p>
        </w:tc>
        <w:tc>
          <w:tcPr/>
          <w:p>
            <w:pPr>
              <w:pStyle w:val="Compact"/>
              <w:jc w:val="center"/>
            </w:pPr>
            <w:r>
              <w:t xml:space="preserve">Conversión de hornos, planificación de capacidad</w:t>
            </w:r>
          </w:p>
        </w:tc>
      </w:tr>
      <w:tr>
        <w:tc>
          <w:tcPr/>
          <w:p>
            <w:pPr>
              <w:pStyle w:val="Compact"/>
              <w:jc w:val="left"/>
            </w:pPr>
            <w:r>
              <w:t xml:space="preserve">Riesgo de interrupción de la empre</w:t>
            </w:r>
          </w:p>
        </w:tc>
        <w:tc>
          <w:tcPr/>
          <w:p>
            <w:pPr>
              <w:pStyle w:val="Compact"/>
              <w:jc w:val="center"/>
            </w:pPr>
            <w:r>
              <w:t xml:space="preserve">sa eléctrica Continúa la confiabi</w:t>
            </w:r>
          </w:p>
        </w:tc>
        <w:tc>
          <w:tcPr/>
          <w:p>
            <w:pPr>
              <w:pStyle w:val="Compact"/>
              <w:jc w:val="center"/>
            </w:pPr>
            <w:r>
              <w:t xml:space="preserve">lidad histórica La congestión de la red au</w:t>
            </w:r>
          </w:p>
        </w:tc>
        <w:tc>
          <w:tcPr/>
          <w:p>
            <w:pPr>
              <w:pStyle w:val="Compact"/>
              <w:jc w:val="center"/>
            </w:pPr>
            <w:r>
              <w:t xml:space="preserve">menta las interrupciones Batería, microrred, reubicación</w:t>
            </w:r>
          </w:p>
        </w:tc>
      </w:tr>
    </w:tbl>
    <w:bookmarkEnd w:id="23"/>
    <w:bookmarkEnd w:id="24"/>
    <w:bookmarkStart w:id="25" w:name="aprender-antes-de-comprometerse"/>
    <w:p>
      <w:pPr>
        <w:pStyle w:val="Heading1"/>
      </w:pPr>
      <w:r>
        <w:t xml:space="preserve">Aprender antes de comprometerse</w:t>
      </w:r>
    </w:p>
    <w:p>
      <w:pPr>
        <w:pStyle w:val="FirstParagraph"/>
      </w:pPr>
      <w:r>
        <w:t xml:space="preserve">Marquez propuso que Ridgeway separara las acciones que generaban información de las acciones que comprometían a la compañía de forma irreversible. La submedición de las líneas de producción, la negociación de opciones tarifarias, la realización de estudios de techo e interconexión, la prueba de controles automatizados de picos, y la conversión de un pequeño horno podrían revelar información útil. Asegurar una opción sobre un terreno en otro estado podría preservar una alternativa de reubicación sin autorizar la construcción.</w:t>
      </w:r>
    </w:p>
    <w:p>
      <w:pPr>
        <w:pStyle w:val="BodyText"/>
      </w:pPr>
      <w:r>
        <w:t xml:space="preserve">Sin embargo, incluso el aprendizaje tenía un costo. Un programa integral de ingeniería y ubicación se estimó en $6.8 millones a lo largo de 18 meses. El desarrollador solar requería un depósito para mantener el precio. El sitio de reubicación más atractivo permanecería disponible solo durante seis meses. La cola de interconexión de la empresa eléctrica estaba creciendo. Esperar a tener certeza podría en sí mismo limitar las opciones de Ridgeway.</w:t>
      </w:r>
    </w:p>
    <w:bookmarkEnd w:id="25"/>
    <w:bookmarkStart w:id="27" w:name="el-programa-de-investigación-propuesto"/>
    <w:p>
      <w:pPr>
        <w:pStyle w:val="Heading1"/>
      </w:pPr>
      <w:r>
        <w:t xml:space="preserve">El programa de investigación propuesto</w:t>
      </w:r>
    </w:p>
    <w:p>
      <w:pPr>
        <w:pStyle w:val="FirstParagraph"/>
      </w:pPr>
      <w:r>
        <w:t xml:space="preserve">El comité ejecutivo reunió un programa de trabajo propuesto. La junta directiva podría aprobarlo en su totalidad, seleccionar partes, o pedir a la dirección que rediseñara el esfuerzo.</w:t>
      </w:r>
    </w:p>
    <w:bookmarkStart w:id="26" w:name="X4defef6aac74d6aa2e6292dd959cdd7baddb7c7"/>
    <w:p>
      <w:pPr>
        <w:pStyle w:val="Heading2"/>
      </w:pPr>
      <w:r>
        <w:t xml:space="preserve">Figura 6. Investigaciones y pilotos propuestos</w:t>
      </w:r>
    </w:p>
    <w:tbl>
      <w:tblPr>
        <w:tblStyle w:val="Table"/>
        <w:tblW w:type="pct" w:w="4943"/>
        <w:tblLayout w:type="fixed"/>
        <w:tblLook w:firstRow="1" w:lastRow="0" w:firstColumn="0" w:lastColumn="0" w:noHBand="0" w:noVBand="0" w:val="0020"/>
      </w:tblPr>
      <w:tblGrid>
        <w:gridCol w:w="1866"/>
        <w:gridCol w:w="455"/>
        <w:gridCol w:w="819"/>
        <w:gridCol w:w="3049"/>
        <w:gridCol w:w="1638"/>
      </w:tblGrid>
      <w:tr>
        <w:trPr>
          <w:tblHeader w:val="on"/>
        </w:trPr>
        <w:tc>
          <w:tcPr/>
          <w:p>
            <w:pPr>
              <w:pStyle w:val="Compact"/>
              <w:jc w:val="left"/>
            </w:pPr>
            <w:r>
              <w:t xml:space="preserve">Iniciativa</w:t>
            </w:r>
          </w:p>
        </w:tc>
        <w:tc>
          <w:tcPr/>
          <w:p>
            <w:pPr>
              <w:pStyle w:val="Compact"/>
              <w:jc w:val="left"/>
            </w:pPr>
            <w:r>
              <w:t xml:space="preserve">Costo</w:t>
            </w:r>
          </w:p>
        </w:tc>
        <w:tc>
          <w:tcPr/>
          <w:p>
            <w:pPr>
              <w:pStyle w:val="Compact"/>
              <w:jc w:val="center"/>
            </w:pPr>
            <w:r>
              <w:t xml:space="preserve">Tiempo</w:t>
            </w:r>
          </w:p>
        </w:tc>
        <w:tc>
          <w:tcPr/>
          <w:p>
            <w:pPr>
              <w:pStyle w:val="Compact"/>
              <w:jc w:val="center"/>
            </w:pPr>
            <w:r>
              <w:t xml:space="preserve">Objetivo principal de aprendizaje</w:t>
            </w:r>
          </w:p>
        </w:tc>
        <w:tc>
          <w:tcPr/>
          <w:p>
            <w:pPr>
              <w:pStyle w:val="Compact"/>
              <w:jc w:val="right"/>
            </w:pPr>
            <w:r>
              <w:t xml:space="preserve">Compromiso potencial creado</w:t>
            </w:r>
          </w:p>
        </w:tc>
      </w:tr>
      <w:tr>
        <w:tc>
          <w:tcPr/>
          <w:p>
            <w:pPr>
              <w:pStyle w:val="Compact"/>
              <w:jc w:val="left"/>
            </w:pPr>
            <w:r>
              <w:t xml:space="preserve">Estudio de datos de intervalo y energía d</w:t>
            </w:r>
          </w:p>
        </w:tc>
        <w:tc>
          <w:tcPr/>
          <w:p>
            <w:pPr>
              <w:pStyle w:val="Compact"/>
              <w:jc w:val="left"/>
            </w:pPr>
            <w:r>
              <w:t xml:space="preserve">e proceso</w:t>
            </w:r>
          </w:p>
        </w:tc>
        <w:tc>
          <w:tcPr/>
          <w:p>
            <w:pPr>
              <w:pStyle w:val="Compact"/>
              <w:jc w:val="center"/>
            </w:pPr>
            <w:r>
              <w:t xml:space="preserve">$0.55M 4 mese</w:t>
            </w:r>
          </w:p>
        </w:tc>
        <w:tc>
          <w:tcPr/>
          <w:p>
            <w:pPr>
              <w:pStyle w:val="Compact"/>
              <w:jc w:val="center"/>
            </w:pPr>
            <w:r>
              <w:t xml:space="preserve">s Identificar cargas, picos, flexibilidad, y consumo evita</w:t>
            </w:r>
          </w:p>
        </w:tc>
        <w:tc>
          <w:tcPr/>
          <w:p>
            <w:pPr>
              <w:pStyle w:val="Compact"/>
              <w:jc w:val="right"/>
            </w:pPr>
            <w:r>
              <w:t xml:space="preserve">ble Mínimo</w:t>
            </w:r>
          </w:p>
        </w:tc>
      </w:tr>
      <w:tr>
        <w:tc>
          <w:tcPr/>
          <w:p>
            <w:pPr>
              <w:pStyle w:val="Compact"/>
              <w:jc w:val="left"/>
            </w:pPr>
            <w:r>
              <w:t xml:space="preserve">Piloto de programación de producción</w:t>
            </w:r>
          </w:p>
        </w:tc>
        <w:tc>
          <w:tcPr/>
          <w:p>
            <w:pPr>
              <w:pStyle w:val="Compact"/>
              <w:jc w:val="left"/>
            </w:pPr>
            <w:r>
              <w:br/>
            </w:r>
          </w:p>
        </w:tc>
        <w:tc>
          <w:tcPr/>
          <w:p>
            <w:pPr>
              <w:pStyle w:val="Compact"/>
              <w:jc w:val="center"/>
            </w:pPr>
            <w:r>
              <w:t xml:space="preserve">$0.35M 6 meses</w:t>
            </w:r>
          </w:p>
        </w:tc>
        <w:tc>
          <w:tcPr/>
          <w:p>
            <w:pPr>
              <w:pStyle w:val="Compact"/>
              <w:jc w:val="center"/>
            </w:pPr>
            <w:r>
              <w:t xml:space="preserve">Medir el equilibrio entre picos de energía y desempeño en l</w:t>
            </w:r>
          </w:p>
        </w:tc>
        <w:tc>
          <w:tcPr/>
          <w:p>
            <w:pPr>
              <w:pStyle w:val="Compact"/>
              <w:jc w:val="right"/>
            </w:pPr>
            <w:r>
              <w:t xml:space="preserve">as entregas Disrupción operativa</w:t>
            </w:r>
          </w:p>
        </w:tc>
      </w:tr>
      <w:tr>
        <w:tc>
          <w:tcPr/>
          <w:p>
            <w:pPr>
              <w:pStyle w:val="Compact"/>
              <w:jc w:val="left"/>
            </w:pPr>
            <w:r>
              <w:t xml:space="preserve">Ingeniería de solar/interconexión</w:t>
            </w:r>
          </w:p>
        </w:tc>
        <w:tc>
          <w:tcPr/>
          <w:p>
            <w:pPr>
              <w:pStyle w:val="Compact"/>
              <w:jc w:val="left"/>
            </w:pPr>
            <w:r>
              <w:t xml:space="preserve">$0.80M</w:t>
            </w:r>
          </w:p>
        </w:tc>
        <w:tc>
          <w:tcPr/>
          <w:p>
            <w:pPr>
              <w:pStyle w:val="Compact"/>
              <w:jc w:val="center"/>
            </w:pPr>
            <w:r>
              <w:t xml:space="preserve">9-18 meses C</w:t>
            </w:r>
          </w:p>
        </w:tc>
        <w:tc>
          <w:tcPr/>
          <w:p>
            <w:pPr>
              <w:pStyle w:val="Compact"/>
              <w:jc w:val="center"/>
            </w:pPr>
            <w:r>
              <w:t xml:space="preserve">onfirmar tamaño factible, costo de actualización, y calendario</w:t>
            </w:r>
          </w:p>
        </w:tc>
        <w:tc>
          <w:tcPr/>
          <w:p>
            <w:pPr>
              <w:pStyle w:val="Compact"/>
              <w:jc w:val="right"/>
            </w:pPr>
            <w:r>
              <w:t xml:space="preserve">Depósito y posición en la cola</w:t>
            </w:r>
          </w:p>
        </w:tc>
      </w:tr>
      <w:tr>
        <w:tc>
          <w:tcPr/>
          <w:p>
            <w:pPr>
              <w:pStyle w:val="Compact"/>
              <w:jc w:val="left"/>
            </w:pPr>
            <w:r>
              <w:t xml:space="preserve">Piloto de batería de 2 MW / 8 MWh</w:t>
            </w:r>
          </w:p>
        </w:tc>
        <w:tc>
          <w:tcPr/>
          <w:p>
            <w:pPr>
              <w:pStyle w:val="Compact"/>
              <w:jc w:val="left"/>
            </w:pPr>
            <w:r>
              <w:t xml:space="preserve">$4.2</w:t>
            </w:r>
          </w:p>
        </w:tc>
        <w:tc>
          <w:tcPr/>
          <w:p>
            <w:pPr>
              <w:pStyle w:val="Compact"/>
              <w:jc w:val="center"/>
            </w:pPr>
            <w:r>
              <w:t xml:space="preserve">M 12 meses</w:t>
            </w:r>
          </w:p>
        </w:tc>
        <w:tc>
          <w:tcPr/>
          <w:p>
            <w:pPr>
              <w:pStyle w:val="Compact"/>
              <w:jc w:val="center"/>
            </w:pPr>
            <w:r>
              <w:t xml:space="preserve">Probar predicción de picos, controles, degradación, y resilienc</w:t>
            </w:r>
          </w:p>
        </w:tc>
        <w:tc>
          <w:tcPr/>
          <w:p>
            <w:pPr>
              <w:pStyle w:val="Compact"/>
              <w:jc w:val="right"/>
            </w:pPr>
            <w:r>
              <w:t xml:space="preserve">ia Equipo con incertidumbre de reventa</w:t>
            </w:r>
          </w:p>
        </w:tc>
      </w:tr>
      <w:tr>
        <w:tc>
          <w:tcPr/>
          <w:p>
            <w:pPr>
              <w:pStyle w:val="Compact"/>
              <w:jc w:val="left"/>
            </w:pPr>
            <w:r>
              <w:t xml:space="preserve">Conversión de un solo horno a gas</w:t>
            </w:r>
          </w:p>
        </w:tc>
        <w:tc>
          <w:tcPr/>
          <w:p>
            <w:pPr>
              <w:pStyle w:val="Compact"/>
              <w:jc w:val="left"/>
            </w:pPr>
            <w:r>
              <w:t xml:space="preserve">$1.6M</w:t>
            </w:r>
          </w:p>
        </w:tc>
        <w:tc>
          <w:tcPr/>
          <w:p>
            <w:pPr>
              <w:pStyle w:val="Compact"/>
              <w:jc w:val="center"/>
            </w:pPr>
            <w:r>
              <w:t xml:space="preserve">12-18 meses</w:t>
            </w:r>
          </w:p>
        </w:tc>
        <w:tc>
          <w:tcPr/>
          <w:p>
            <w:pPr>
              <w:pStyle w:val="Compact"/>
              <w:jc w:val="center"/>
            </w:pPr>
            <w:r>
              <w:t xml:space="preserve">Validar calidad del producto, ahorro de combustible, permisos, y</w:t>
            </w:r>
          </w:p>
        </w:tc>
        <w:tc>
          <w:tcPr/>
          <w:p>
            <w:pPr>
              <w:pStyle w:val="Compact"/>
              <w:jc w:val="right"/>
            </w:pPr>
            <w:r>
              <w:t xml:space="preserve">emisiones Activo específico del proceso</w:t>
            </w:r>
          </w:p>
        </w:tc>
      </w:tr>
      <w:tr>
        <w:tc>
          <w:tcPr/>
          <w:p>
            <w:pPr>
              <w:pStyle w:val="Compact"/>
              <w:jc w:val="left"/>
            </w:pPr>
            <w:r>
              <w:t xml:space="preserve">Diligencia debida de sitio alternativo</w:t>
            </w:r>
          </w:p>
        </w:tc>
        <w:tc>
          <w:tcPr/>
          <w:p>
            <w:pPr>
              <w:pStyle w:val="Compact"/>
            </w:pPr>
          </w:p>
        </w:tc>
        <w:tc>
          <w:tcPr/>
          <w:p>
            <w:pPr>
              <w:pStyle w:val="Compact"/>
              <w:jc w:val="center"/>
            </w:pPr>
            <w:r>
              <w:t xml:space="preserve">$1.1M 6 meses</w:t>
            </w:r>
          </w:p>
        </w:tc>
        <w:tc>
          <w:tcPr/>
          <w:p>
            <w:pPr>
              <w:pStyle w:val="Compact"/>
              <w:jc w:val="center"/>
            </w:pPr>
            <w:r>
              <w:t xml:space="preserve">Validar servicios públicos, mano de obra, incentivos, logí</w:t>
            </w:r>
          </w:p>
        </w:tc>
        <w:tc>
          <w:tcPr/>
          <w:p>
            <w:pPr>
              <w:pStyle w:val="Compact"/>
              <w:jc w:val="right"/>
            </w:pPr>
            <w:r>
              <w:t xml:space="preserve">stica, y permisos Indica posible reubicación</w:t>
            </w:r>
          </w:p>
        </w:tc>
      </w:tr>
      <w:tr>
        <w:tc>
          <w:tcPr/>
          <w:p>
            <w:pPr>
              <w:pStyle w:val="Compact"/>
              <w:jc w:val="left"/>
            </w:pPr>
            <w:r>
              <w:t xml:space="preserve">Opción de terreno en Riverbend</w:t>
            </w:r>
          </w:p>
        </w:tc>
        <w:tc>
          <w:tcPr/>
          <w:p>
            <w:pPr>
              <w:pStyle w:val="Compact"/>
              <w:jc w:val="left"/>
            </w:pPr>
            <w:r>
              <w:t xml:space="preserve">$2.</w:t>
            </w:r>
          </w:p>
        </w:tc>
        <w:tc>
          <w:tcPr/>
          <w:p>
            <w:pPr>
              <w:pStyle w:val="Compact"/>
              <w:jc w:val="center"/>
            </w:pPr>
            <w:r>
              <w:t xml:space="preserve">5M Opción a 18</w:t>
            </w:r>
          </w:p>
        </w:tc>
        <w:tc>
          <w:tcPr/>
          <w:p>
            <w:pPr>
              <w:pStyle w:val="Compact"/>
              <w:jc w:val="center"/>
            </w:pPr>
            <w:r>
              <w:t xml:space="preserve">meses Preservar el sitio preferido mientras continúa el análisis</w:t>
            </w:r>
          </w:p>
        </w:tc>
        <w:tc>
          <w:tcPr/>
          <w:p>
            <w:pPr>
              <w:pStyle w:val="Compact"/>
              <w:jc w:val="right"/>
            </w:pPr>
            <w:r>
              <w:t xml:space="preserve">La tarifa de la opción no es reembolsable</w:t>
            </w:r>
          </w:p>
        </w:tc>
      </w:tr>
    </w:tbl>
    <w:p>
      <w:pPr>
        <w:pStyle w:val="BodyText"/>
      </w:pPr>
      <w:r>
        <w:t xml:space="preserve">Las iniciativas no eran independientes. El piloto de programación podría reducir el valor aparente de una batería. La calificación exitosa del nuevo proceso de baja temperatura podría reducir tanto el consumo eléctrico como el argumento para la conversión a gas. Una decisión de reubicación podría dejar varadas las principales inversiones en Hamilton. Por otro lado, retrasar los proyectos de eficiencia debido a una posible mudanza podría resultar en años de costo evitable.</w:t>
      </w:r>
    </w:p>
    <w:bookmarkEnd w:id="26"/>
    <w:bookmarkEnd w:id="27"/>
    <w:bookmarkStart w:id="28" w:name="organizando-la-decisión"/>
    <w:p>
      <w:pPr>
        <w:pStyle w:val="Heading1"/>
      </w:pPr>
      <w:r>
        <w:t xml:space="preserve">Organizando la decisión</w:t>
      </w:r>
    </w:p>
    <w:p>
      <w:pPr>
        <w:pStyle w:val="FirstParagraph"/>
      </w:pPr>
      <w:r>
        <w:t xml:space="preserve">Marquez consideró un proceso escalonado con cuatro puertas. La primera diagnosticaría la fuente del aumento de la factura y establecería una línea base común. La segunda examinaría las alternativas en cuanto a factibilidad técnica, regulatoria, y operativa. La tercera autorizaría pilotos y preservaría opciones seleccionadas. La cuarta comprometería capital hacia una cartera a largo plazo o una transición de red de manufactura.</w:t>
      </w:r>
    </w:p>
    <w:p>
      <w:pPr>
        <w:pStyle w:val="BodyText"/>
      </w:pPr>
      <w:r>
        <w:t xml:space="preserve">Varios miembros de la junta directiva no simpatizaban con la aparente complejidad. Uno argumentó que Ridgeway debía trasladarse rápidamente a un estado de menor costo. Otro creía que las compañías manufactureras rutinariamente sobreestimaban los ahorros de reubicación y subestimaban la disrupción. Un tercero preguntó por qué Ridgeway debería poseer activos solares cuando un desarrollador podría financiarlos. El presidente quería una recomendación que fuera comprensible, medible, y vinculada a desencadenantes futuros explícitos.</w:t>
      </w:r>
    </w:p>
    <w:bookmarkEnd w:id="28"/>
    <w:bookmarkStart w:id="29" w:name="la-noche-antes-de-la-reunión"/>
    <w:p>
      <w:pPr>
        <w:pStyle w:val="Heading1"/>
      </w:pPr>
      <w:r>
        <w:t xml:space="preserve">La noche antes de la reunión</w:t>
      </w:r>
    </w:p>
    <w:p>
      <w:pPr>
        <w:pStyle w:val="FirstParagraph"/>
      </w:pPr>
      <w:r>
        <w:t xml:space="preserve">El miércoles por la noche, Marquez revisó la presentación más reciente. Contenía más de 70 diapositivas y ningún ranking único de las alternativas. El modelo financiero favorecía la eficiencia seguida de una conversión parcial a gas bajo sus supuestos base. El análisis de resiliencia favorecía la solar más almacenamiento. El análisis de sostenibilidad favorecía la eficiencia, la adquisición renovable, y la electrificación selectiva. El modelo de red favorecía conservar Hamilton a menos que el escenario de tarifa alta persistiera durante al menos siete años. El asesor inmobiliario advirtió que la opción de Riverbend podría no estar disponible después de la próxima reunión de la junta directiva.</w:t>
      </w:r>
    </w:p>
    <w:p>
      <w:pPr>
        <w:pStyle w:val="BodyText"/>
      </w:pPr>
      <w:r>
        <w:t xml:space="preserve">Marquez entendía por qué diferían los análisis: cada equipo estaba resolviendo una versión diferente del problema. Lo que no sabía era si la junta directiva debía exigir una recomendación integrada única en ese momento o aprobar una secuencia de investigaciones diseñadas para aclarar la decisión con el tiempo.</w:t>
      </w:r>
    </w:p>
    <w:p>
      <w:pPr>
        <w:pStyle w:val="BodyText"/>
      </w:pPr>
      <w:r>
        <w:t xml:space="preserve">A las 10:14 p.m., el director ejecutivo envió un último mensaje:</w:t>
      </w:r>
      <w:r>
        <w:t xml:space="preserve"> </w:t>
      </w:r>
      <w:r>
        <w:t xml:space="preserve">“Mañana, necesito que nos digan qué debemos investigar, qué debemos hacer de inmediato, y qué condiciones nos harían cambiar de rumbo”</w:t>
      </w:r>
      <w:r>
        <w:t xml:space="preserve">.</w:t>
      </w:r>
    </w:p>
    <w:bookmarkEnd w:id="29"/>
    <w:bookmarkStart w:id="30" w:name="preguntas-de-discusión"/>
    <w:p>
      <w:pPr>
        <w:pStyle w:val="Heading1"/>
      </w:pPr>
      <w:r>
        <w:t xml:space="preserve">Preguntas de discusión</w:t>
      </w:r>
    </w:p>
    <w:p>
      <w:pPr>
        <w:numPr>
          <w:ilvl w:val="0"/>
          <w:numId w:val="1002"/>
        </w:numPr>
      </w:pPr>
      <w:r>
        <w:t xml:space="preserve">¿Cómo debería Ridgeway definir el problema de decisión? ¿Es principalmente un problema de adquisición de energía, un problema de diseño de procesos, un problema de resiliencia, o un problema de red de manufactura?</w:t>
      </w:r>
    </w:p>
    <w:p>
      <w:pPr>
        <w:numPr>
          <w:ilvl w:val="0"/>
          <w:numId w:val="1002"/>
        </w:numPr>
      </w:pPr>
      <w:r>
        <w:t xml:space="preserve">¿Qué medidas de desempeño debería usar la dirección? ¿Cuáles medidas son objetivos, restricciones, o indicadores de diagnóstico?</w:t>
      </w:r>
    </w:p>
    <w:p>
      <w:pPr>
        <w:numPr>
          <w:ilvl w:val="0"/>
          <w:numId w:val="1002"/>
        </w:numPr>
      </w:pPr>
      <w:r>
        <w:t xml:space="preserve">¿Qué datos adicionales debería recopilar Ridgeway antes de comparar las alternativas? ¿Qué información faltante tiene más probabilidad de cambiar la decisión?</w:t>
      </w:r>
    </w:p>
    <w:p>
      <w:pPr>
        <w:numPr>
          <w:ilvl w:val="0"/>
          <w:numId w:val="1002"/>
        </w:numPr>
      </w:pPr>
      <w:r>
        <w:t xml:space="preserve">¿Cómo debería la compañía distinguir los aumentos de tarifas impulsados externamente de los costos causados por sus propias prácticas operativas?</w:t>
      </w:r>
    </w:p>
    <w:p>
      <w:pPr>
        <w:numPr>
          <w:ilvl w:val="0"/>
          <w:numId w:val="1002"/>
        </w:numPr>
      </w:pPr>
      <w:r>
        <w:t xml:space="preserve">¿Deberían evaluarse la solar, el almacenamiento en baterías, la conversión a gas natural, y la reubicación como alternativas mutuamente excluyentes o como elementos de carteras y estrategias escalonadas?</w:t>
      </w:r>
    </w:p>
    <w:p>
      <w:pPr>
        <w:numPr>
          <w:ilvl w:val="0"/>
          <w:numId w:val="1002"/>
        </w:numPr>
      </w:pPr>
      <w:r>
        <w:t xml:space="preserve">¿Cuáles de las investigaciones o pilotos propuestos tienen el mayor valor de información? ¿Cuáles parecen demasiado costosos o demasiado lentos en relación con lo que podrían enseñar?</w:t>
      </w:r>
    </w:p>
    <w:p>
      <w:pPr>
        <w:numPr>
          <w:ilvl w:val="0"/>
          <w:numId w:val="1002"/>
        </w:numPr>
      </w:pPr>
      <w:r>
        <w:t xml:space="preserve">¿Qué supuestos harían que la reubicación fuera atractiva? ¿Qué supuestos harían que la reubicación fuera claramente inferior?</w:t>
      </w:r>
    </w:p>
    <w:p>
      <w:pPr>
        <w:numPr>
          <w:ilvl w:val="0"/>
          <w:numId w:val="1002"/>
        </w:numPr>
      </w:pPr>
      <w:r>
        <w:t xml:space="preserve">¿Cómo debería Ridgeway valorar la confiabilidad, la reversibilidad, la exposición a emisiones, la disrupción de la fuerza laboral, y los efectos comunitarios junto con los retornos financieros?</w:t>
      </w:r>
    </w:p>
    <w:p>
      <w:pPr>
        <w:numPr>
          <w:ilvl w:val="0"/>
          <w:numId w:val="1002"/>
        </w:numPr>
      </w:pPr>
      <w:r>
        <w:t xml:space="preserve">¿Qué acciones debería tomar Ridgeway de inmediato, incluso antes de que se resuelva la incertidumbre? ¿Qué compromisos debería posponer?</w:t>
      </w:r>
    </w:p>
    <w:p>
      <w:pPr>
        <w:numPr>
          <w:ilvl w:val="0"/>
          <w:numId w:val="1002"/>
        </w:numPr>
      </w:pPr>
      <w:r>
        <w:t xml:space="preserve">Diseñe un conjunto de puertas de decisión y condiciones desencadenantes para los próximos tres años. ¿Qué observaciones harían que Ridgeway expandiera, detuviera, o redirigiera cada iniciativa?</w:t>
      </w:r>
    </w:p>
    <w:bookmarkEnd w:id="30"/>
    <w:bookmarkStart w:id="36" w:name="X7be973f0b94a7f0092f9c715206f723689fc512"/>
    <w:p>
      <w:pPr>
        <w:pStyle w:val="Heading1"/>
      </w:pPr>
      <w:r>
        <w:t xml:space="preserve">Preguntas de planteamiento de la decisión</w:t>
      </w:r>
    </w:p>
    <w:p>
      <w:pPr>
        <w:numPr>
          <w:ilvl w:val="0"/>
          <w:numId w:val="1003"/>
        </w:numPr>
      </w:pPr>
      <w:r>
        <w:t xml:space="preserve">Identifique y describa las responsabilidades del tomador de decisiones. Esto debería definir el alcance del problema.</w:t>
      </w:r>
    </w:p>
    <w:p>
      <w:pPr>
        <w:numPr>
          <w:ilvl w:val="0"/>
          <w:numId w:val="1003"/>
        </w:numPr>
      </w:pPr>
      <w:r>
        <w:t xml:space="preserve">Use la</w:t>
      </w:r>
      <w:r>
        <w:t xml:space="preserve"> </w:t>
      </w:r>
      <w:hyperlink r:id="rId31">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puntual (morado).</w:t>
      </w:r>
    </w:p>
    <w:p>
      <w:pPr>
        <w:numPr>
          <w:ilvl w:val="0"/>
          <w:numId w:val="1003"/>
        </w:numPr>
      </w:pPr>
      <w:r>
        <w:t xml:space="preserve">Use la</w:t>
      </w:r>
      <w:r>
        <w:t xml:space="preserve"> </w:t>
      </w:r>
      <w:hyperlink r:id="rId32">
        <w:r>
          <w:rPr>
            <w:rStyle w:val="Hyperlink"/>
          </w:rPr>
          <w:t xml:space="preserve">herramienta de priorización de decisiones</w:t>
        </w:r>
      </w:hyperlink>
      <w:r>
        <w:t xml:space="preserve"> </w:t>
      </w:r>
      <w:r>
        <w:t xml:space="preserve">para primero listar los diferentes tipos de decisiones (use los</w:t>
      </w:r>
      <w:r>
        <w:t xml:space="preserve"> </w:t>
      </w:r>
      <w:hyperlink r:id="rId33">
        <w:r>
          <w:rPr>
            <w:rStyle w:val="Hyperlink"/>
          </w:rPr>
          <w:t xml:space="preserve">tipos de decisiones</w:t>
        </w:r>
      </w:hyperlink>
      <w:r>
        <w:t xml:space="preserve"> </w:t>
      </w:r>
      <w:r>
        <w:t xml:space="preserve">como guía). Estas poblarán entonces las filas de la matriz a la derecha, donde las columnas son las métricas de desempeño ordenadas de izquierda a derecha según la prioridad en la pirámide de arriba. Haga clic en cada celda para indicar si el impacto de la decisión en cada métrica es alto (rojo), medio (naranja), bajo (amarillo), o nulo (blanco).</w:t>
      </w:r>
    </w:p>
    <w:p>
      <w:pPr>
        <w:numPr>
          <w:ilvl w:val="0"/>
          <w:numId w:val="1003"/>
        </w:numPr>
      </w:pPr>
      <w:r>
        <w:t xml:space="preserve">Puede tomar el asa (tres barras) más a la izquierda en cada fila para moverla hacia arriba o hacia abajo. Ordene las filas de manera que las decisiones con el mayor impacto en las métricas más importantes queden hacia arriba. Las celdas en la esquina superior izquierda deberían tener la mayor concentración de celdas rojas y naranjas. En este punto, identifique las decisiones que deberían recibir más atención en su estudio. Si no tiene decisiones con impacto medio o alto en las métricas más importantes, revise su lista de decisiones.</w:t>
      </w:r>
    </w:p>
    <w:p>
      <w:pPr>
        <w:numPr>
          <w:ilvl w:val="0"/>
          <w:numId w:val="1003"/>
        </w:numPr>
      </w:pPr>
      <w:r>
        <w:t xml:space="preserve">Repita el proceso para listar y priorizar las incertidumbres usando la</w:t>
      </w:r>
      <w:r>
        <w:t xml:space="preserve"> </w:t>
      </w:r>
      <w:hyperlink r:id="rId34">
        <w:r>
          <w:rPr>
            <w:rStyle w:val="Hyperlink"/>
          </w:rPr>
          <w:t xml:space="preserve">herramienta de priorización de incertidumbre</w:t>
        </w:r>
      </w:hyperlink>
      <w:r>
        <w:t xml:space="preserve">. Use las</w:t>
      </w:r>
      <w:r>
        <w:t xml:space="preserve"> </w:t>
      </w:r>
      <w:hyperlink r:id="rId35">
        <w:r>
          <w:rPr>
            <w:rStyle w:val="Hyperlink"/>
          </w:rPr>
          <w:t xml:space="preserve">categorías de incertidumbre</w:t>
        </w:r>
      </w:hyperlink>
      <w:r>
        <w:t xml:space="preserve"> </w:t>
      </w:r>
      <w:r>
        <w:t xml:space="preserve">para ayudarle a identificarlas.</w:t>
      </w:r>
    </w:p>
    <w:p>
      <w:pPr>
        <w:numPr>
          <w:ilvl w:val="0"/>
          <w:numId w:val="1003"/>
        </w:numPr>
      </w:pPr>
      <w:r>
        <w:t xml:space="preserve">Es importante diferenciar las incertidumbres que pueden evaluarse en promedio, o como eventos de riesgo:</w:t>
      </w:r>
    </w:p>
    <w:p>
      <w:pPr>
        <w:numPr>
          <w:ilvl w:val="1"/>
          <w:numId w:val="1004"/>
        </w:numPr>
      </w:pPr>
      <w:r>
        <w:t xml:space="preserve">¿Qué fuentes de incertidumbre se capturarían usando el desempeño promedio a lo largo del tiempo?</w:t>
      </w:r>
    </w:p>
    <w:p>
      <w:pPr>
        <w:numPr>
          <w:ilvl w:val="1"/>
          <w:numId w:val="1004"/>
        </w:numPr>
      </w:pPr>
      <w:r>
        <w:t xml:space="preserve">¿Qué fuentes de incertidumbre representan formas de riesgo que no se capturan adecuadamente usando promedios?</w:t>
      </w:r>
    </w:p>
    <w:p>
      <w:pPr>
        <w:numPr>
          <w:ilvl w:val="0"/>
          <w:numId w:val="1003"/>
        </w:numPr>
      </w:pPr>
      <w:r>
        <w:t xml:space="preserve">Elija la decisión única que parezca tener el mayor impacto en la métrica más importante.</w:t>
      </w:r>
    </w:p>
    <w:p>
      <w:pPr>
        <w:numPr>
          <w:ilvl w:val="1"/>
          <w:numId w:val="1005"/>
        </w:numPr>
      </w:pPr>
      <w:r>
        <w:t xml:space="preserve">¿Qué enfoque cree que usaría para tomar esta decisión?</w:t>
      </w:r>
    </w:p>
    <w:p>
      <w:pPr>
        <w:numPr>
          <w:ilvl w:val="1"/>
          <w:numId w:val="1005"/>
        </w:numPr>
      </w:pPr>
      <w:r>
        <w:t xml:space="preserve">¿Qué datos parecen ser necesarios para tomar esta decisión, incluyendo el cálculo de cualquier métrica de desempeño donde la decisión tendría un impacto alto o medio?</w:t>
      </w:r>
    </w:p>
    <w:p>
      <w:pPr>
        <w:numPr>
          <w:ilvl w:val="0"/>
          <w:numId w:val="1003"/>
        </w:numPr>
      </w:pPr>
      <w:r>
        <w:t xml:space="preserve">Usando la misma decisión que identificó en (7), identifique a las personas, departamentos, grupos, u organizaciones con los que necesitaría trabajar para implementar la decisión.</w:t>
      </w:r>
    </w:p>
    <w:bookmarkEnd w:id="36"/>
    <w:bookmarkStart w:id="37" w:name="notas-de-fuentes-y-convenciones-del-caso"/>
    <w:p>
      <w:pPr>
        <w:pStyle w:val="Heading1"/>
      </w:pPr>
      <w:r>
        <w:t xml:space="preserve">Notas de fuentes y convenciones del caso</w:t>
      </w:r>
    </w:p>
    <w:p>
      <w:pPr>
        <w:pStyle w:val="FirstParagraph"/>
      </w:pPr>
      <w:r>
        <w:t xml:space="preserve">Este es un caso ficticio desarrollado para discusión en el aula. Ridgeway Industrial Systems, el condado de Hamilton, todos los individuos, todas las propuestas de proyectos, y todos los datos operativos de la compañía son inventados. El caso es intencionalmente no resuelto y no implica que se prefiera ninguna alternativa.</w:t>
      </w:r>
    </w:p>
    <w:p>
      <w:pPr>
        <w:pStyle w:val="BodyText"/>
      </w:pPr>
      <w:r>
        <w:t xml:space="preserve">¹ El contexto nacional de centros de datos se basa en Lawrence Berkeley National Laboratory, 2024 United States Data Center Energy Usage Report y actualizaciones relacionadas. Berkeley Lab reportó aproximadamente 176 TWh de uso de electricidad de centros de datos de EE. UU. en 2023, alrededor del 4.4% de la electricidad total de EE. UU., y un rango de proyección para 2028 de 6.7%-12%. Su actualización de 2025 estimó que los centros de datos podrían representar entre el 9.5% y el 15.3% del uso de electricidad de EE. UU. en 2030, con una estimación central del 11.8%.</w:t>
      </w:r>
    </w:p>
    <w:p>
      <w:pPr>
        <w:pStyle w:val="BodyText"/>
      </w:pPr>
      <w:r>
        <w:t xml:space="preserve">Referencia contextual adicional: U.S. Energy Information Administration, Electric Power Monthly y Electricity Monthly Update. La EIA reportó un ingreso industrial promedio nacional de aproximadamente 8.71 centavos por kWh en mayo de 2026, aunque los precios industriales varían sustancialmente según la región, la tarifa, el perfil de carga, y los cargos específicos del cliente. La tarifa ficticia de Hamilton incluye cargos de demanda, capacidad, transmisión, y otros cargos, y por lo tanto no debe interpretarse como un promedio nacional.</w:t>
      </w:r>
    </w:p>
    <w:p>
      <w:pPr>
        <w:pStyle w:val="BodyText"/>
      </w:pPr>
      <w:r>
        <w:t xml:space="preserve">Las estimaciones de gas natural y tecnología en las figuras son supuestos del caso más que pronósticos. En un análisis real, Ridgeway usaría tarifas de empresas eléctricas específicas del sitio, datos de intervalo, cotizaciones de proveedores, estudios de ingeniería, asesoría fiscal, revisiones ambientales, y distribuciones de probabilidad en lugar de estimaciones de un solo punto.</w:t>
      </w:r>
    </w:p>
    <w:bookmarkEnd w:id="37"/>
    <w:bookmarkStart w:id="40" w:name="notas-de-chatgpt"/>
    <w:p>
      <w:pPr>
        <w:pStyle w:val="Heading1"/>
      </w:pPr>
      <w:r>
        <w:t xml:space="preserve">Notas de ChatGPT</w:t>
      </w:r>
    </w:p>
    <w:bookmarkStart w:id="38" w:name="instrucción"/>
    <w:p>
      <w:pPr>
        <w:pStyle w:val="Heading2"/>
      </w:pPr>
      <w:r>
        <w:t xml:space="preserve">Instrucción</w:t>
      </w:r>
    </w:p>
    <w:p>
      <w:pPr>
        <w:pStyle w:val="FirstParagraph"/>
      </w:pPr>
      <w:r>
        <w:t xml:space="preserve">Un fabricante industrial está lidiando con un gran aumento en su factura eléctrica a medida que las tarifas aumentan debido a las crecientes demandas de los centros de datos. La compañía puede trasladar su centro de manufactura (con gran costo) a una ubicación diferente. Puede invertir en paneles solares y almacenamiento en baterías. Puede cambiar su proceso de manufactura para desplazar sus necesidades energéticas de la electricidad al gas natural. Describa el proceso que una compañía podría usar para investigar alternativas.</w:t>
      </w:r>
    </w:p>
    <w:bookmarkEnd w:id="38"/>
    <w:bookmarkStart w:id="39" w:name="resumen"/>
    <w:p>
      <w:pPr>
        <w:pStyle w:val="Heading2"/>
      </w:pPr>
      <w:r>
        <w:t xml:space="preserve">Resumen</w:t>
      </w:r>
    </w:p>
    <w:p>
      <w:pPr>
        <w:pStyle w:val="FirstParagraph"/>
      </w:pPr>
      <w:r>
        <w:t xml:space="preserve">El caso incluye:</w:t>
      </w:r>
    </w:p>
    <w:p>
      <w:pPr>
        <w:numPr>
          <w:ilvl w:val="0"/>
          <w:numId w:val="1006"/>
        </w:numPr>
      </w:pPr>
      <w:r>
        <w:t xml:space="preserve">Un fabricante industrial ficticio que enfrenta costos eléctricos en rápido aumento</w:t>
      </w:r>
    </w:p>
    <w:p>
      <w:pPr>
        <w:numPr>
          <w:ilvl w:val="0"/>
          <w:numId w:val="1006"/>
        </w:numPr>
      </w:pPr>
      <w:r>
        <w:t xml:space="preserve">Crecimiento de la demanda eléctrica regional asociado con nuevos centros de datos</w:t>
      </w:r>
    </w:p>
    <w:p>
      <w:pPr>
        <w:numPr>
          <w:ilvl w:val="0"/>
          <w:numId w:val="1006"/>
        </w:numPr>
      </w:pPr>
      <w:r>
        <w:t xml:space="preserve">Datos detallados de uso energético de la planta y costo de la empresa eléctrica</w:t>
      </w:r>
    </w:p>
    <w:p>
      <w:pPr>
        <w:numPr>
          <w:ilvl w:val="0"/>
          <w:numId w:val="1006"/>
        </w:numPr>
      </w:pPr>
      <w:r>
        <w:t xml:space="preserve">Alternativas de solar, almacenamiento en baterías, conversión a gas natural, eficiencia, adquisición, y reubicación</w:t>
      </w:r>
    </w:p>
    <w:p>
      <w:pPr>
        <w:numPr>
          <w:ilvl w:val="0"/>
          <w:numId w:val="1006"/>
        </w:numPr>
      </w:pPr>
      <w:r>
        <w:t xml:space="preserve">Tres regiones potenciales de reubicación</w:t>
      </w:r>
    </w:p>
    <w:p>
      <w:pPr>
        <w:numPr>
          <w:ilvl w:val="0"/>
          <w:numId w:val="1006"/>
        </w:numPr>
      </w:pPr>
      <w:r>
        <w:t xml:space="preserve">Escenarios de precios de electricidad hasta 2035</w:t>
      </w:r>
    </w:p>
    <w:p>
      <w:pPr>
        <w:numPr>
          <w:ilvl w:val="0"/>
          <w:numId w:val="1006"/>
        </w:numPr>
      </w:pPr>
      <w:r>
        <w:t xml:space="preserve">Consideraciones operativas, financieras, ambientales, laborales, y de servicio al cliente</w:t>
      </w:r>
    </w:p>
    <w:p>
      <w:pPr>
        <w:numPr>
          <w:ilvl w:val="0"/>
          <w:numId w:val="1006"/>
        </w:numPr>
      </w:pPr>
      <w:r>
        <w:t xml:space="preserve">Investigaciones y proyectos piloto propuestos</w:t>
      </w:r>
    </w:p>
    <w:p>
      <w:pPr>
        <w:numPr>
          <w:ilvl w:val="0"/>
          <w:numId w:val="1006"/>
        </w:numPr>
      </w:pPr>
      <w:r>
        <w:t xml:space="preserve">Perspectivas ejecutivas en competencia y ninguna solución claramente preferida</w:t>
      </w:r>
    </w:p>
    <w:p>
      <w:pPr>
        <w:numPr>
          <w:ilvl w:val="0"/>
          <w:numId w:val="1006"/>
        </w:numPr>
      </w:pPr>
      <w:r>
        <w:t xml:space="preserve">Diez preguntas de discusión en el aula</w:t>
      </w:r>
    </w:p>
    <w:p>
      <w:pPr>
        <w:pStyle w:val="FirstParagraph"/>
      </w:pPr>
      <w:r>
        <w:t xml:space="preserve">El contexto nacional de centros de datos está respaldado por estimaciones del Lawrence Berkeley National Laboratory que muestran un crecimiento sustancial en el consumo eléctrico de los centros de datos de EE. UU. y un amplio rango de demanda posible hasta 2030.</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2026-09-11T15:29:34Z</dcterms:created>
  <dcterms:modified xsi:type="dcterms:W3CDTF">2026-09-11T15:29:34Z</dcterms:modified>
</cp:coreProperties>
</file>

<file path=docProps/custom.xml><?xml version="1.0" encoding="utf-8"?>
<Properties xmlns="http://schemas.openxmlformats.org/officeDocument/2006/custom-properties" xmlns:vt="http://schemas.openxmlformats.org/officeDocument/2006/docPropsVTypes"/>
</file>