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¿Cómo debería responder un condado cuando las muertes por sobredosis siguen siendo altas—pero la crisis nacional parece estar disminuyendo?</w:t>
      </w:r>
    </w:p>
    <w:tbl>
      <w:tblPr>
        <w:tblStyle w:val="Table"/>
        <w:tblW w:type="auto" w:w="0"/>
        <w:tblLook w:firstRow="0" w:lastRow="0" w:firstColumn="0" w:lastColumn="0" w:noHBand="0" w:noVBand="0" w:val="0000"/>
      </w:tblPr>
      <w:tblGrid>
        <w:gridCol w:w="7920"/>
      </w:tblGrid>
      <w:tr>
        <w:tc>
          <w:tcPr/>
          <w:p>
            <w:pPr>
              <w:pStyle w:val="Compact"/>
              <w:jc w:val="left"/>
            </w:pPr>
            <w:r>
              <w:t xml:space="preserve">ENTORNO  RESPONSABLE DE LA DECISIÓN  FECHA DE LA DECISIÓN\</w:t>
            </w:r>
          </w:p>
        </w:tc>
      </w:tr>
      <w:tr>
        <w:tc>
          <w:tcPr/>
          <w:p>
            <w:pPr>
              <w:pStyle w:val="Compact"/>
              <w:jc w:val="left"/>
            </w:pPr>
            <w:r>
              <w:t xml:space="preserve">Condado de Riverton, un condado ficticio mixto urbano-rural Dra. Elena Torres, Comisionada de Salud del Condado Septiembre de 2026</w:t>
            </w:r>
          </w:p>
        </w:tc>
      </w:tr>
    </w:tbl>
    <w:p>
      <w:r>
        <w:pict>
          <v:rect style="width:0;height:1.5pt" o:hralign="center" o:hrstd="t" o:hr="t"/>
        </w:pict>
      </w:r>
    </w:p>
    <w:bookmarkStart w:id="9" w:name="section"/>
    <w:p>
      <w:pPr>
        <w:pStyle w:val="Heading1"/>
      </w:pPr>
    </w:p>
    <w:bookmarkEnd w:id="9"/>
    <w:bookmarkStart w:id="11" w:name="una-mañana-de-lunes-difícil"/>
    <w:p>
      <w:pPr>
        <w:pStyle w:val="Heading1"/>
      </w:pPr>
      <w:r>
        <w:t xml:space="preserve">Una mañana de lunes difícil</w:t>
      </w:r>
    </w:p>
    <w:p>
      <w:pPr>
        <w:pStyle w:val="FirstParagraph"/>
      </w:pPr>
      <w:r>
        <w:t xml:space="preserve">A las 7:10 a.m., la Dra. Elena Torres abrió el panel semanal de mortalidad y vio otro marcador rojo: un empleado de almacén de 31 años había muerto por una presunta sobredosis de fentanilo en un motel cerca de la Interestatal 48. Era la cuadragésima tercera muerte por sobredosis del año en el condado de Riverton. Otras dos muertes aún esperaban resultados de toxicología.</w:t>
      </w:r>
    </w:p>
    <w:p>
      <w:pPr>
        <w:pStyle w:val="BodyText"/>
      </w:pPr>
      <w:r>
        <w:t xml:space="preserve">La cifra era menor que en el mismo punto del año anterior, pero no se sentía como un progreso. Los servicios médicos de emergencia habían administrado naloxona 286 veces desde enero. La cárcel del condado informó que casi uno de cada tres nuevos detenidos daba positivo en la detección de un trastorno por uso de sustancias. El departamento de emergencias del hospital más grande había atendido 412 sobredosis no fatales, y los equipos de alcance comunitario observaban cada vez más personas combinando fentanilo con cocaína o metanfetamina.</w:t>
      </w:r>
    </w:p>
    <w:p>
      <w:pPr>
        <w:pStyle w:val="BodyText"/>
      </w:pPr>
      <w:r>
        <w:t xml:space="preserve">Sin embargo, a nivel nacional, el panorama había cambiado. Las muertes por sobredosis de drogas en EE. UU. cayeron drásticamente en 2024 y de nuevo en 2025. Las muertes estimadas relacionadas con opioides disminuyeron de aproximadamente 83,140 en 2023 a alrededor de 54,743 en 2024, y luego a 44,564 en 2025. La mejora era alentadora—pero desigual: varios estados aún registraron aumentos en 2025.¹ ²</w:t>
      </w:r>
    </w:p>
    <w:p>
      <w:pPr>
        <w:pStyle w:val="BodyText"/>
      </w:pPr>
      <w:r>
        <w:t xml:space="preserve">El ejecutivo del condado de Riverton había convocado a Torres a una reunión presupuestaria a las 4:00 p.m. Una subvención federal temporal que respaldaba a trabajadores de alcance comunitario, distribución de naloxona y una unidad móvil de tratamiento expiraría en nueve meses. El condado solo podía reemplazar una parte del financiamiento. Se le había pedido a Torres que recomendara qué debía preservarse, qué debía rediseñarse y qué—si algo—debía discontinuarse.</w:t>
      </w:r>
    </w:p>
    <w:bookmarkStart w:id="10" w:name="el-desafío-central"/>
    <w:p>
      <w:pPr>
        <w:pStyle w:val="Heading2"/>
      </w:pPr>
      <w:r>
        <w:t xml:space="preserve">El desafío central</w:t>
      </w:r>
    </w:p>
    <w:p>
      <w:pPr>
        <w:pStyle w:val="FirstParagraph"/>
      </w:pPr>
      <w:r>
        <w:t xml:space="preserve">¿Debería Riverton tratar la reciente disminución de muertes como evidencia de que su estrategia actual está funcionando, como un respiro temporal, o como una señal de que los recursos deberían desplazarse hacia una fase diferente de la epidemia?</w:t>
      </w:r>
    </w:p>
    <w:bookmarkEnd w:id="10"/>
    <w:bookmarkEnd w:id="11"/>
    <w:bookmarkStart w:id="12" w:name="condado-de-riverton"/>
    <w:p>
      <w:pPr>
        <w:pStyle w:val="Heading1"/>
      </w:pPr>
      <w:r>
        <w:t xml:space="preserve">Condado de Riverton</w:t>
      </w:r>
    </w:p>
    <w:p>
      <w:pPr>
        <w:pStyle w:val="FirstParagraph"/>
      </w:pPr>
      <w:r>
        <w:t xml:space="preserve">El condado de Riverton tenía 618,000 residentes. Su corredor oriental incluía una universidad, dos hospitales, y empresas tecnológicas y de logística en crecimiento. Sus municipios occidentales eran más rurales, con menos proveedores de tratamiento y transporte público limitado. El ingreso familiar promedio era de $71,400, pero cinco vecindarios tenían tasas de pobreza superiores al 25%. La población del condado era 46% blanca, 27% negra, 19% hispana, 5% asiática, y 3% de otra raza o multirracial. Todos los datos de Riverton en este caso son ficticios pero están diseñados para reflejar las condiciones que enfrentan muchas comunidades de EE. UU.</w:t>
      </w:r>
    </w:p>
    <w:bookmarkEnd w:id="12"/>
    <w:bookmarkStart w:id="13" w:name="un-entorno-de-sobredosis-cambiante"/>
    <w:p>
      <w:pPr>
        <w:pStyle w:val="Heading1"/>
      </w:pPr>
      <w:r>
        <w:t xml:space="preserve">Un entorno de sobredosis cambiante</w:t>
      </w:r>
    </w:p>
    <w:p>
      <w:pPr>
        <w:pStyle w:val="FirstParagraph"/>
      </w:pPr>
      <w:r>
        <w:t xml:space="preserve">La respuesta a la sobredosis en Riverton había sido diseñada durante un período de muertes en rápido aumento. Para 2026, el entorno era más complicado. Menos personas estaban muriendo, sin embargo, el suministro ilícito de drogas seguía siendo impredecible. El fentanilo continuaba siendo la amenaza dominante, y muchas muertes involucraban múltiples sustancias. Los datos nacionales mostraron que las tasas de muerte por opioides sintéticos cayeron sustancialmente de 2023 a 2024, pero la tasa se mantuvo en 14.3 muertes por cada 100,000 personas.³</w:t>
      </w:r>
    </w:p>
    <w:p>
      <w:pPr>
        <w:pStyle w:val="BodyText"/>
      </w:pPr>
      <w:r>
        <w:t xml:space="preserve">El sistema de vigilancia del condado también tenía limitaciones. Los datos de mortalidad confirmados tenían un retraso de tres a cinco meses. Los registros de EMS estaban disponibles dentro de días pero solo capturaban incidentes que involucraban una respuesta al 911. Los datos hospitalarios excluían a personas tratadas fuera del condado o a aquellas que se negaban al transporte. Los equipos de alcance comunitario recopilaban observaciones valiosas, pero sus informes no estaban estandarizados.</w:t>
      </w:r>
    </w:p>
    <w:bookmarkEnd w:id="13"/>
    <w:bookmarkStart w:id="14" w:name="la-cartera-de-respuesta-actual"/>
    <w:p>
      <w:pPr>
        <w:pStyle w:val="Heading1"/>
      </w:pPr>
      <w:r>
        <w:t xml:space="preserve">La cartera de respuesta actual</w:t>
      </w:r>
    </w:p>
    <w:p>
      <w:pPr>
        <w:pStyle w:val="FirstParagraph"/>
      </w:pPr>
      <w:r>
        <w:rPr>
          <w:b/>
          <w:bCs/>
        </w:rPr>
        <w:t xml:space="preserve">Acceso a naloxona:</w:t>
      </w:r>
      <w:r>
        <w:t xml:space="preserve"> </w:t>
      </w:r>
      <w:r>
        <w:t xml:space="preserve">Kits gratuitos a través de farmacias, bibliotecas, refugios, equipos de alcance comunitario y máquinas expendedoras. La distribución se había expandido de 8,400 kits en 2023 a 22,600 en 2025.</w:t>
      </w:r>
    </w:p>
    <w:p>
      <w:pPr>
        <w:pStyle w:val="BodyText"/>
      </w:pPr>
      <w:r>
        <w:rPr>
          <w:b/>
          <w:bCs/>
        </w:rPr>
        <w:t xml:space="preserve">Tratamiento móvil:</w:t>
      </w:r>
      <w:r>
        <w:t xml:space="preserve"> </w:t>
      </w:r>
      <w:r>
        <w:t xml:space="preserve">Un autobús visitaba seis ubicaciones de alto riesgo cada semana y podía iniciar buprenorfina, brindar atención de heridas y conectar a los pacientes con atención a largo plazo.</w:t>
      </w:r>
    </w:p>
    <w:p>
      <w:pPr>
        <w:pStyle w:val="BodyText"/>
      </w:pPr>
      <w:r>
        <w:rPr>
          <w:b/>
          <w:bCs/>
        </w:rPr>
        <w:t xml:space="preserve">Alcance comunitario posterior a la sobredosis:</w:t>
      </w:r>
      <w:r>
        <w:t xml:space="preserve"> </w:t>
      </w:r>
      <w:r>
        <w:t xml:space="preserve">Especialistas en recuperación entre pares intentaban contactar a los sobrevivientes de sobredosis dentro de las 48 horas de un encuentro con EMS o el hospital.</w:t>
      </w:r>
    </w:p>
    <w:p>
      <w:pPr>
        <w:pStyle w:val="BodyText"/>
      </w:pPr>
      <w:r>
        <w:rPr>
          <w:b/>
          <w:bCs/>
        </w:rPr>
        <w:t xml:space="preserve">Prevención escolar y laboral:</w:t>
      </w:r>
      <w:r>
        <w:t xml:space="preserve"> </w:t>
      </w:r>
      <w:r>
        <w:t xml:space="preserve">Programas enfocados en el estigma, prescripción más segura, reconocimiento de sobredosis y rutas hacia la atención.</w:t>
      </w:r>
    </w:p>
    <w:p>
      <w:pPr>
        <w:pStyle w:val="BodyText"/>
      </w:pPr>
      <w:r>
        <w:rPr>
          <w:b/>
          <w:bCs/>
        </w:rPr>
        <w:t xml:space="preserve">Coordinación de datos:</w:t>
      </w:r>
      <w:r>
        <w:t xml:space="preserve"> </w:t>
      </w:r>
      <w:r>
        <w:t xml:space="preserve">Un pequeño equipo de epidemiología combinaba información de EMS, hospitales, cárceles, tratamiento y mortalidad en un panel mensual.</w:t>
      </w:r>
    </w:p>
    <w:bookmarkEnd w:id="14"/>
    <w:bookmarkStart w:id="15" w:name="puntos-de-vista-conflictivos"/>
    <w:p>
      <w:pPr>
        <w:pStyle w:val="Heading1"/>
      </w:pPr>
      <w:r>
        <w:t xml:space="preserve">Puntos de vista conflictivos</w:t>
      </w:r>
    </w:p>
    <w:p>
      <w:pPr>
        <w:pStyle w:val="FirstParagraph"/>
      </w:pPr>
      <w:r>
        <w:t xml:space="preserve">El ejecutivo del condado Marcus Lee se enfocaba en la sostenibilidad fiscal. Apoyaba la naloxona pero cuestionaba si un condado debería operar un autobús de tratamiento cuando existían proveedores privados. El sistema hospitalario favorecía expandir el tratamiento con medicamentos en los departamentos de emergencia, pero quería que el condado financiara navegadores que pudieran organizar la atención de seguimiento. Los líderes policiales argumentaban que los mercados abiertos de drogas y las sobredosis repetidas estaban forzando los recursos de seguridad pública. Los defensores comunitarios advertían que los enfoques centrados en la aplicación de la ley podrían llevar a las personas hacia entornos más aislados, donde sería menos probable que alguien fuera testigo de una sobredosis.</w:t>
      </w:r>
    </w:p>
    <w:p>
      <w:pPr>
        <w:pStyle w:val="BodyText"/>
      </w:pPr>
      <w:r>
        <w:t xml:space="preserve">Los proveedores de tratamiento enfatizaban la capacidad más que el alcance comunitario. Sus clínicas tenían citas disponibles, pero muchos pacientes no permanecían en atención. El transporte, la vivienda inestable, el miedo a la abstinencia, experiencias negativas previas y los horarios de trabajo eran barreras comunes. A nivel nacional, 48.4 millones de personas de 12 años o más tenían un trastorno por uso de sustancias en 2024.⁴ La encuesta nacional también mostró una variación sustancial en la severidad y el tipo de trastorno por uso de opioides, complicando cualquier modelo único de atención.⁵</w:t>
      </w:r>
    </w:p>
    <w:bookmarkEnd w:id="15"/>
    <w:bookmarkStart w:id="16" w:name="preocupaciones-de-equidad"/>
    <w:p>
      <w:pPr>
        <w:pStyle w:val="Heading1"/>
      </w:pPr>
      <w:r>
        <w:t xml:space="preserve">Preocupaciones de equidad</w:t>
      </w:r>
    </w:p>
    <w:p>
      <w:pPr>
        <w:pStyle w:val="FirstParagraph"/>
      </w:pPr>
      <w:r>
        <w:t xml:space="preserve">La disminución general del condado ocultaba tendencias divergentes. Las sobredosis fatales habían caído un 28% entre los residentes blancos desde 2023 pero solo un 6% entre los residentes negros; las muertes entre residentes de 45 a 64 años no habían disminuido en absoluto. Investigaciones anteriores de los CDC encontraron disparidades raciales que se ampliaban y vincularon tasas más altas de sobredosis con la desigualdad de ingresos y el acceso limitado previo al tratamiento.⁶ La junta asesora del condado insistió en que Torres abordara estas diferencias explícitamente, pero los miembros no se pusieron de acuerdo sobre si los recursos debían asignarse proporcionalmente a la población, la carga de sobredosis, las brechas de tratamiento, o la desventaja del vecindario.</w:t>
      </w:r>
    </w:p>
    <w:bookmarkEnd w:id="16"/>
    <w:bookmarkStart w:id="17" w:name="el-abismo-del-financiamiento"/>
    <w:p>
      <w:pPr>
        <w:pStyle w:val="Heading1"/>
      </w:pPr>
      <w:r>
        <w:t xml:space="preserve">El abismo del financiamiento</w:t>
      </w:r>
    </w:p>
    <w:p>
      <w:pPr>
        <w:pStyle w:val="FirstParagraph"/>
      </w:pPr>
      <w:r>
        <w:t xml:space="preserve">La subvención que expiraba suministraba $4.8 millones del presupuesto anual de respuesta a la sobredosis de Riverton, de $12.6 millones. El ejecutivo del condado ofreció $2.4 millones en fondos de reemplazo, dejando una brecha de $2.4 millones. Torres podía presentar un paquete que combinara reducciones, rediseño de programas y una solicitud de fondos adicionales del condado, pero cualquier solicitud por encima de $2.4 millones competiría con la salud materna, la vigilancia de enfermedades transmisibles, y el personal de salud ambiental.</w:t>
      </w:r>
    </w:p>
    <w:bookmarkEnd w:id="17"/>
    <w:bookmarkStart w:id="18" w:name="programas-bajo-revisión"/>
    <w:p>
      <w:pPr>
        <w:pStyle w:val="Heading1"/>
      </w:pPr>
      <w:r>
        <w:t xml:space="preserve">Programas bajo revisión</w:t>
      </w:r>
    </w:p>
    <w:tbl>
      <w:tblPr>
        <w:tblStyle w:val="Table"/>
        <w:tblW w:type="pct" w:w="4931"/>
        <w:tblLayout w:type="fixed"/>
        <w:tblLook w:firstRow="1" w:lastRow="0" w:firstColumn="0" w:lastColumn="0" w:noHBand="0" w:noVBand="0" w:val="0020"/>
      </w:tblPr>
      <w:tblGrid>
        <w:gridCol w:w="1201"/>
        <w:gridCol w:w="764"/>
        <w:gridCol w:w="2184"/>
        <w:gridCol w:w="2894"/>
        <w:gridCol w:w="764"/>
      </w:tblGrid>
      <w:tr>
        <w:trPr>
          <w:tblHeader w:val="on"/>
        </w:trPr>
        <w:tc>
          <w:tcPr/>
          <w:p>
            <w:pPr>
              <w:pStyle w:val="Compact"/>
              <w:jc w:val="left"/>
            </w:pPr>
            <w:r>
              <w:t xml:space="preserve">Programa</w:t>
            </w:r>
          </w:p>
        </w:tc>
        <w:tc>
          <w:tcPr/>
          <w:p>
            <w:pPr>
              <w:pStyle w:val="Compact"/>
              <w:jc w:val="center"/>
            </w:pPr>
            <w:r>
              <w:t xml:space="preserve">Costo anual</w:t>
            </w:r>
          </w:p>
        </w:tc>
        <w:tc>
          <w:tcPr/>
          <w:p>
            <w:pPr>
              <w:pStyle w:val="Compact"/>
              <w:jc w:val="center"/>
            </w:pPr>
            <w:r>
              <w:t xml:space="preserve">Resultado seleccionado</w:t>
            </w:r>
          </w:p>
        </w:tc>
        <w:tc>
          <w:tcPr/>
          <w:p>
            <w:pPr>
              <w:pStyle w:val="Compact"/>
              <w:jc w:val="center"/>
            </w:pPr>
            <w:r>
              <w:t xml:space="preserve">Preocupación observada</w:t>
            </w:r>
          </w:p>
        </w:tc>
        <w:tc>
          <w:tcPr/>
          <w:p>
            <w:pPr>
              <w:pStyle w:val="Compact"/>
              <w:jc w:val="right"/>
            </w:pPr>
            <w:r>
              <w:t xml:space="preserve">Porción de la subvención</w:t>
            </w:r>
          </w:p>
        </w:tc>
      </w:tr>
      <w:tr>
        <w:tc>
          <w:tcPr/>
          <w:p>
            <w:pPr>
              <w:pStyle w:val="Compact"/>
              <w:jc w:val="left"/>
            </w:pPr>
            <w:r>
              <w:t xml:space="preserve">Red de naloxona</w:t>
            </w:r>
          </w:p>
        </w:tc>
        <w:tc>
          <w:tcPr/>
          <w:p>
            <w:pPr>
              <w:pStyle w:val="Compact"/>
              <w:jc w:val="center"/>
            </w:pPr>
            <w:r>
              <w:t xml:space="preserve">$2.1M</w:t>
            </w:r>
          </w:p>
        </w:tc>
        <w:tc>
          <w:tcPr/>
          <w:p>
            <w:pPr>
              <w:pStyle w:val="Compact"/>
              <w:jc w:val="center"/>
            </w:pPr>
            <w:r>
              <w:t xml:space="preserve">22,600 kits; 1,140 reversiones reportada</w:t>
            </w:r>
          </w:p>
        </w:tc>
        <w:tc>
          <w:tcPr/>
          <w:p>
            <w:pPr>
              <w:pStyle w:val="Compact"/>
              <w:jc w:val="center"/>
            </w:pPr>
            <w:r>
              <w:t xml:space="preserve">s Tasa de uso desconocida; los kits de reemplazo a</w:t>
            </w:r>
          </w:p>
        </w:tc>
        <w:tc>
          <w:tcPr/>
          <w:p>
            <w:pPr>
              <w:pStyle w:val="Compact"/>
              <w:jc w:val="right"/>
            </w:pPr>
            <w:r>
              <w:t xml:space="preserve">menudo no se rastrean 38%</w:t>
            </w:r>
          </w:p>
        </w:tc>
      </w:tr>
      <w:tr>
        <w:tc>
          <w:tcPr/>
          <w:p>
            <w:pPr>
              <w:pStyle w:val="Compact"/>
              <w:jc w:val="left"/>
            </w:pPr>
            <w:r>
              <w:t xml:space="preserve">Unidad móvil</w:t>
            </w:r>
          </w:p>
        </w:tc>
        <w:tc>
          <w:tcPr/>
          <w:p>
            <w:pPr>
              <w:pStyle w:val="Compact"/>
              <w:jc w:val="center"/>
            </w:pPr>
            <w:r>
              <w:t xml:space="preserve">$2.8M</w:t>
            </w:r>
          </w:p>
        </w:tc>
        <w:tc>
          <w:tcPr/>
          <w:p>
            <w:pPr>
              <w:pStyle w:val="Compact"/>
              <w:jc w:val="center"/>
            </w:pPr>
            <w:r>
              <w:t xml:space="preserve">3,420 visitas; 684 inicios de medicament</w:t>
            </w:r>
          </w:p>
        </w:tc>
        <w:tc>
          <w:tcPr/>
          <w:p>
            <w:pPr>
              <w:pStyle w:val="Compact"/>
              <w:jc w:val="center"/>
            </w:pPr>
            <w:r>
              <w:t xml:space="preserve">o Solo el 34% retenido en tratamiento a los 90 dí</w:t>
            </w:r>
          </w:p>
        </w:tc>
        <w:tc>
          <w:tcPr/>
          <w:p>
            <w:pPr>
              <w:pStyle w:val="Compact"/>
              <w:jc w:val="right"/>
            </w:pPr>
            <w:r>
              <w:t xml:space="preserve">as 61%</w:t>
            </w:r>
          </w:p>
        </w:tc>
      </w:tr>
      <w:tr>
        <w:tc>
          <w:tcPr/>
          <w:p>
            <w:pPr>
              <w:pStyle w:val="Compact"/>
              <w:jc w:val="left"/>
            </w:pPr>
            <w:r>
              <w:t xml:space="preserve">Pares posteriores a so</w:t>
            </w:r>
          </w:p>
        </w:tc>
        <w:tc>
          <w:tcPr/>
          <w:p>
            <w:pPr>
              <w:pStyle w:val="Compact"/>
              <w:jc w:val="center"/>
            </w:pPr>
            <w:r>
              <w:t xml:space="preserve">bredosis $1</w:t>
            </w:r>
          </w:p>
        </w:tc>
        <w:tc>
          <w:tcPr/>
          <w:p>
            <w:pPr>
              <w:pStyle w:val="Compact"/>
              <w:jc w:val="center"/>
            </w:pPr>
            <w:r>
              <w:t xml:space="preserve">.7M 1,126 referencias; 438 contac</w:t>
            </w:r>
          </w:p>
        </w:tc>
        <w:tc>
          <w:tcPr/>
          <w:p>
            <w:pPr>
              <w:pStyle w:val="Compact"/>
              <w:jc w:val="center"/>
            </w:pPr>
            <w:r>
              <w:t xml:space="preserve">tos Muchos sobrevivientes inalcanzables o rechazan</w:t>
            </w:r>
          </w:p>
        </w:tc>
        <w:tc>
          <w:tcPr/>
          <w:p>
            <w:pPr>
              <w:pStyle w:val="Compact"/>
              <w:jc w:val="right"/>
            </w:pPr>
            <w:r>
              <w:t xml:space="preserve">la ayuda 47%</w:t>
            </w:r>
          </w:p>
        </w:tc>
      </w:tr>
      <w:tr>
        <w:tc>
          <w:tcPr/>
          <w:p>
            <w:pPr>
              <w:pStyle w:val="Compact"/>
              <w:jc w:val="left"/>
            </w:pPr>
            <w:r>
              <w:t xml:space="preserve">Programas de prevenció</w:t>
            </w:r>
          </w:p>
        </w:tc>
        <w:tc>
          <w:tcPr/>
          <w:p>
            <w:pPr>
              <w:pStyle w:val="Compact"/>
              <w:jc w:val="center"/>
            </w:pPr>
            <w:r>
              <w:t xml:space="preserve">n $1.3M</w:t>
            </w:r>
          </w:p>
        </w:tc>
        <w:tc>
          <w:tcPr/>
          <w:p>
            <w:pPr>
              <w:pStyle w:val="Compact"/>
              <w:jc w:val="center"/>
            </w:pPr>
            <w:r>
              <w:t xml:space="preserve">18,400 estudiantes/trabajadores alca</w:t>
            </w:r>
          </w:p>
        </w:tc>
        <w:tc>
          <w:tcPr/>
          <w:p>
            <w:pPr>
              <w:pStyle w:val="Compact"/>
              <w:jc w:val="center"/>
            </w:pPr>
            <w:r>
              <w:t xml:space="preserve">nzados Sin vínculo directo con resultados de mort</w:t>
            </w:r>
          </w:p>
        </w:tc>
        <w:tc>
          <w:tcPr/>
          <w:p>
            <w:pPr>
              <w:pStyle w:val="Compact"/>
              <w:jc w:val="right"/>
            </w:pPr>
            <w:r>
              <w:t xml:space="preserve">alidad 29%</w:t>
            </w:r>
          </w:p>
        </w:tc>
      </w:tr>
      <w:tr>
        <w:tc>
          <w:tcPr/>
          <w:p>
            <w:pPr>
              <w:pStyle w:val="Compact"/>
              <w:jc w:val="left"/>
            </w:pPr>
            <w:r>
              <w:t xml:space="preserve">Vigilancia/datos</w:t>
            </w:r>
          </w:p>
        </w:tc>
        <w:tc>
          <w:tcPr/>
          <w:p>
            <w:pPr>
              <w:pStyle w:val="Compact"/>
              <w:jc w:val="center"/>
            </w:pPr>
            <w:r>
              <w:t xml:space="preserve">$1.2M</w:t>
            </w:r>
          </w:p>
        </w:tc>
        <w:tc>
          <w:tcPr/>
          <w:p>
            <w:pPr>
              <w:pStyle w:val="Compact"/>
              <w:jc w:val="center"/>
            </w:pPr>
            <w:r>
              <w:t xml:space="preserve">Panel mensual; alertas de puntos calie</w:t>
            </w:r>
          </w:p>
        </w:tc>
        <w:tc>
          <w:tcPr/>
          <w:p>
            <w:pPr>
              <w:pStyle w:val="Compact"/>
              <w:jc w:val="center"/>
            </w:pPr>
            <w:r>
              <w:t xml:space="preserve">ntes Retrasos en el intercambio de datos y defi</w:t>
            </w:r>
          </w:p>
        </w:tc>
        <w:tc>
          <w:tcPr/>
          <w:p>
            <w:pPr>
              <w:pStyle w:val="Compact"/>
              <w:jc w:val="right"/>
            </w:pPr>
            <w:r>
              <w:t xml:space="preserve">niciones inconsistentes 52%</w:t>
            </w:r>
          </w:p>
        </w:tc>
      </w:tr>
      <w:tr>
        <w:tc>
          <w:tcPr/>
          <w:p>
            <w:pPr>
              <w:pStyle w:val="Compact"/>
              <w:jc w:val="left"/>
            </w:pPr>
            <w:r>
              <w:t xml:space="preserve">Contratos con proveedo</w:t>
            </w:r>
          </w:p>
        </w:tc>
        <w:tc>
          <w:tcPr/>
          <w:p>
            <w:pPr>
              <w:pStyle w:val="Compact"/>
              <w:jc w:val="center"/>
            </w:pPr>
            <w:r>
              <w:t xml:space="preserve">res $3.5M</w:t>
            </w:r>
          </w:p>
        </w:tc>
        <w:tc>
          <w:tcPr/>
          <w:p>
            <w:pPr>
              <w:pStyle w:val="Compact"/>
              <w:jc w:val="center"/>
            </w:pPr>
            <w:r>
              <w:t xml:space="preserve">2,260 cupos de tratamiento financ</w:t>
            </w:r>
          </w:p>
        </w:tc>
        <w:tc>
          <w:tcPr/>
          <w:p>
            <w:pPr>
              <w:pStyle w:val="Compact"/>
              <w:jc w:val="center"/>
            </w:pPr>
            <w:r>
              <w:t xml:space="preserve">iados Utilización promedia del 72%; acceso rura</w:t>
            </w:r>
          </w:p>
        </w:tc>
        <w:tc>
          <w:tcPr/>
          <w:p>
            <w:pPr>
              <w:pStyle w:val="Compact"/>
              <w:jc w:val="right"/>
            </w:pPr>
            <w:r>
              <w:t xml:space="preserve">l limitado 23%</w:t>
            </w:r>
          </w:p>
        </w:tc>
      </w:tr>
    </w:tbl>
    <w:p>
      <w:pPr>
        <w:pStyle w:val="BodyText"/>
      </w:pPr>
      <w:r>
        <w:t xml:space="preserve">Nota: Los costos y resultados son ficticios.</w:t>
      </w:r>
      <w:r>
        <w:t xml:space="preserve"> </w:t>
      </w:r>
      <w:r>
        <w:t xml:space="preserve">“Porción de la subvención”</w:t>
      </w:r>
      <w:r>
        <w:t xml:space="preserve"> </w:t>
      </w:r>
      <w:r>
        <w:t xml:space="preserve">es la parte actualmente respaldada por la subvención federal que expira.</w:t>
      </w:r>
    </w:p>
    <w:bookmarkEnd w:id="18"/>
    <w:bookmarkStart w:id="19" w:name="Xed6522eb934b98603d11de1bc5c7317db718843"/>
    <w:p>
      <w:pPr>
        <w:pStyle w:val="Heading1"/>
      </w:pPr>
      <w:r>
        <w:t xml:space="preserve">Posibles direcciones—no mutuamente excluyentes</w:t>
      </w:r>
    </w:p>
    <w:p>
      <w:pPr>
        <w:pStyle w:val="FirstParagraph"/>
      </w:pPr>
      <w:r>
        <w:rPr>
          <w:b/>
          <w:bCs/>
        </w:rPr>
        <w:t xml:space="preserve">Concentrarse en la prevención de mortalidad.</w:t>
      </w:r>
      <w:r>
        <w:t xml:space="preserve"> </w:t>
      </w:r>
      <w:r>
        <w:t xml:space="preserve">Proteger la distribución de naloxona y el alcance en puntos calientes, aceptando una continuidad más débil del tratamiento.</w:t>
      </w:r>
    </w:p>
    <w:p>
      <w:pPr>
        <w:pStyle w:val="BodyText"/>
      </w:pPr>
      <w:r>
        <w:rPr>
          <w:b/>
          <w:bCs/>
        </w:rPr>
        <w:t xml:space="preserve">Cambiar hacia la retención del tratamiento.</w:t>
      </w:r>
      <w:r>
        <w:t xml:space="preserve"> </w:t>
      </w:r>
      <w:r>
        <w:t xml:space="preserve">Reducir la distribución amplia e invertir en transporte, navegación de atención, manejo de contingencias, y seguimiento más prolongado.</w:t>
      </w:r>
    </w:p>
    <w:p>
      <w:pPr>
        <w:pStyle w:val="BodyText"/>
      </w:pPr>
      <w:r>
        <w:rPr>
          <w:b/>
          <w:bCs/>
        </w:rPr>
        <w:t xml:space="preserve">Enfocarse en poblaciones y lugares de alta carga.</w:t>
      </w:r>
      <w:r>
        <w:t xml:space="preserve"> </w:t>
      </w:r>
      <w:r>
        <w:t xml:space="preserve">Usar datos de vecindarios y demográficos para concentrar recursos, incluso si el acceso a nivel de condado se vuelve menos uniforme.</w:t>
      </w:r>
    </w:p>
    <w:p>
      <w:pPr>
        <w:pStyle w:val="BodyText"/>
      </w:pPr>
      <w:r>
        <w:rPr>
          <w:b/>
          <w:bCs/>
        </w:rPr>
        <w:t xml:space="preserve">Trasladar los servicios a instituciones convencionales.</w:t>
      </w:r>
      <w:r>
        <w:t xml:space="preserve"> </w:t>
      </w:r>
      <w:r>
        <w:t xml:space="preserve">Contratar con hospitales, prácticas de atención primaria, farmacias y la cárcel en lugar de mantener programas operados por el condado.</w:t>
      </w:r>
    </w:p>
    <w:p>
      <w:pPr>
        <w:pStyle w:val="BodyText"/>
      </w:pPr>
      <w:r>
        <w:rPr>
          <w:b/>
          <w:bCs/>
        </w:rPr>
        <w:t xml:space="preserve">Construir una cartera más adaptativa.</w:t>
      </w:r>
      <w:r>
        <w:t xml:space="preserve"> </w:t>
      </w:r>
      <w:r>
        <w:t xml:space="preserve">Reservar parte del presupuesto para experimentos rápidos vinculados a indicadores adelantados, con programas expandidos o detenidos a medida que se acumula evidencia.</w:t>
      </w:r>
    </w:p>
    <w:bookmarkEnd w:id="19"/>
    <w:bookmarkStart w:id="20" w:name="qué-significaría-el-éxito"/>
    <w:p>
      <w:pPr>
        <w:pStyle w:val="Heading1"/>
      </w:pPr>
      <w:r>
        <w:t xml:space="preserve">¿Qué significaría el éxito?</w:t>
      </w:r>
    </w:p>
    <w:p>
      <w:pPr>
        <w:pStyle w:val="FirstParagraph"/>
      </w:pPr>
      <w:r>
        <w:t xml:space="preserve">Los interesados no estaban de acuerdo sobre el objetivo. El ejecutivo del condado quería menos muertes por dólar. El hospital priorizaba el inicio del tratamiento y la reducción del uso del departamento de emergencias. Los defensores enfatizaban la supervivencia, la dignidad y el acceso equitativo. Los líderes policiales se enfocaban en el consumo de drogas en la vía pública y las llamadas repetidas. Los proveedores medían la retención en la atención. El equipo de epidemiología advirtió que una mejora aparente en cualquier métrica podría reflejar desplazamiento, retrasos en los informes, cambios en la composición de las drogas, o regresión a la media.</w:t>
      </w:r>
    </w:p>
    <w:p>
      <w:pPr>
        <w:pStyle w:val="BodyText"/>
      </w:pPr>
      <w:r>
        <w:t xml:space="preserve">Torres también tuvo que decidir cuánta evidencia era suficiente. Una gran intervención comunitaria financiada por el gobierno federal no logró demostrar una reducción estadísticamente significativa en las tasas de muerte por sobredosis de opioides durante su período de evaluación, a pesar de aumentar las prácticas basadas en evidencia—una ilustración de lo difícil que puede ser traducir un paquete amplio de servicios en resultados poblacionales medibles.⁷</w:t>
      </w:r>
    </w:p>
    <w:bookmarkEnd w:id="20"/>
    <w:bookmarkStart w:id="21" w:name="X14e26c5e12b370fedac8f562e968ee5dbe3e454"/>
    <w:p>
      <w:pPr>
        <w:pStyle w:val="Heading1"/>
      </w:pPr>
      <w:r>
        <w:t xml:space="preserve">Figura 1. Indicadores de sobredosis de Riverton</w:t>
      </w:r>
    </w:p>
    <w:tbl>
      <w:tblPr>
        <w:tblStyle w:val="Table"/>
        <w:tblW w:type="pct" w:w="4899"/>
        <w:tblLayout w:type="fixed"/>
        <w:tblLook w:firstRow="1" w:lastRow="0" w:firstColumn="0" w:lastColumn="0" w:noHBand="0" w:noVBand="0" w:val="0020"/>
      </w:tblPr>
      <w:tblGrid>
        <w:gridCol w:w="2880"/>
        <w:gridCol w:w="960"/>
        <w:gridCol w:w="960"/>
        <w:gridCol w:w="960"/>
        <w:gridCol w:w="960"/>
        <w:gridCol w:w="1040"/>
      </w:tblGrid>
      <w:tr>
        <w:trPr>
          <w:tblHeader w:val="on"/>
        </w:trPr>
        <w:tc>
          <w:tcPr/>
          <w:p>
            <w:pPr>
              <w:pStyle w:val="Compact"/>
              <w:jc w:val="left"/>
            </w:pPr>
            <w:r>
              <w:t xml:space="preserve">Indicador</w:t>
            </w:r>
          </w:p>
        </w:tc>
        <w:tc>
          <w:tcPr/>
          <w:p>
            <w:pPr>
              <w:pStyle w:val="Compact"/>
              <w:jc w:val="left"/>
            </w:pPr>
            <w:r>
              <w:t xml:space="preserve">2022</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c>
          <w:tcPr/>
          <w:p>
            <w:pPr>
              <w:pStyle w:val="Compact"/>
            </w:pPr>
            <w:r>
              <w:t xml:space="preserve">2026 hasta la fecha*</w:t>
            </w:r>
          </w:p>
        </w:tc>
      </w:tr>
      <w:tr>
        <w:tc>
          <w:tcPr/>
          <w:p>
            <w:pPr>
              <w:pStyle w:val="Compact"/>
              <w:jc w:val="left"/>
            </w:pPr>
            <w:r>
              <w:t xml:space="preserve">Sobredosis fatales</w:t>
            </w:r>
          </w:p>
        </w:tc>
        <w:tc>
          <w:tcPr/>
          <w:p>
            <w:pPr>
              <w:pStyle w:val="Compact"/>
              <w:jc w:val="left"/>
            </w:pPr>
            <w:r>
              <w:t xml:space="preserve">118</w:t>
            </w:r>
          </w:p>
        </w:tc>
        <w:tc>
          <w:tcPr/>
          <w:p>
            <w:pPr>
              <w:pStyle w:val="Compact"/>
              <w:jc w:val="left"/>
            </w:pPr>
            <w:r>
              <w:t xml:space="preserve">136</w:t>
            </w:r>
          </w:p>
        </w:tc>
        <w:tc>
          <w:tcPr/>
          <w:p>
            <w:pPr>
              <w:pStyle w:val="Compact"/>
              <w:jc w:val="left"/>
            </w:pPr>
            <w:r>
              <w:t xml:space="preserve">129</w:t>
            </w:r>
          </w:p>
        </w:tc>
        <w:tc>
          <w:tcPr/>
          <w:p>
            <w:pPr>
              <w:pStyle w:val="Compact"/>
              <w:jc w:val="left"/>
            </w:pPr>
            <w:r>
              <w:t xml:space="preserve">101</w:t>
            </w:r>
          </w:p>
        </w:tc>
        <w:tc>
          <w:tcPr/>
          <w:p>
            <w:pPr>
              <w:pStyle w:val="Compact"/>
            </w:pPr>
            <w:r>
              <w:t xml:space="preserve">43</w:t>
            </w:r>
          </w:p>
        </w:tc>
      </w:tr>
      <w:tr>
        <w:tc>
          <w:tcPr/>
          <w:p>
            <w:pPr>
              <w:pStyle w:val="Compact"/>
              <w:jc w:val="left"/>
            </w:pPr>
            <w:r>
              <w:t xml:space="preserve">Sobredosis no fatales tratadas por E</w:t>
            </w:r>
          </w:p>
        </w:tc>
        <w:tc>
          <w:tcPr/>
          <w:p>
            <w:pPr>
              <w:pStyle w:val="Compact"/>
              <w:jc w:val="left"/>
            </w:pPr>
            <w:r>
              <w:t xml:space="preserve">MS 642</w:t>
            </w:r>
          </w:p>
        </w:tc>
        <w:tc>
          <w:tcPr/>
          <w:p>
            <w:pPr>
              <w:pStyle w:val="Compact"/>
              <w:jc w:val="left"/>
            </w:pPr>
            <w:r>
              <w:t xml:space="preserve">714</w:t>
            </w:r>
          </w:p>
        </w:tc>
        <w:tc>
          <w:tcPr/>
          <w:p>
            <w:pPr>
              <w:pStyle w:val="Compact"/>
              <w:jc w:val="left"/>
            </w:pPr>
            <w:r>
              <w:t xml:space="preserve">746</w:t>
            </w:r>
          </w:p>
        </w:tc>
        <w:tc>
          <w:tcPr/>
          <w:p>
            <w:pPr>
              <w:pStyle w:val="Compact"/>
              <w:jc w:val="left"/>
            </w:pPr>
            <w:r>
              <w:t xml:space="preserve">691</w:t>
            </w:r>
          </w:p>
        </w:tc>
        <w:tc>
          <w:tcPr/>
          <w:p>
            <w:pPr>
              <w:pStyle w:val="Compact"/>
            </w:pPr>
            <w:r>
              <w:t xml:space="preserve">286</w:t>
            </w:r>
          </w:p>
        </w:tc>
      </w:tr>
      <w:tr>
        <w:tc>
          <w:tcPr/>
          <w:p>
            <w:pPr>
              <w:pStyle w:val="Compact"/>
              <w:jc w:val="left"/>
            </w:pPr>
            <w:r>
              <w:t xml:space="preserve">Administraciones de naloxona por EMS</w:t>
            </w:r>
          </w:p>
        </w:tc>
        <w:tc>
          <w:tcPr/>
          <w:p>
            <w:pPr>
              <w:pStyle w:val="Compact"/>
              <w:jc w:val="left"/>
            </w:pPr>
            <w:r>
              <w:t xml:space="preserve">508</w:t>
            </w:r>
          </w:p>
        </w:tc>
        <w:tc>
          <w:tcPr/>
          <w:p>
            <w:pPr>
              <w:pStyle w:val="Compact"/>
              <w:jc w:val="left"/>
            </w:pPr>
            <w:r>
              <w:t xml:space="preserve">575</w:t>
            </w:r>
          </w:p>
        </w:tc>
        <w:tc>
          <w:tcPr/>
          <w:p>
            <w:pPr>
              <w:pStyle w:val="Compact"/>
              <w:jc w:val="left"/>
            </w:pPr>
            <w:r>
              <w:t xml:space="preserve">612</w:t>
            </w:r>
          </w:p>
        </w:tc>
        <w:tc>
          <w:tcPr/>
          <w:p>
            <w:pPr>
              <w:pStyle w:val="Compact"/>
              <w:jc w:val="left"/>
            </w:pPr>
            <w:r>
              <w:t xml:space="preserve">584</w:t>
            </w:r>
          </w:p>
        </w:tc>
        <w:tc>
          <w:tcPr/>
          <w:p>
            <w:pPr>
              <w:pStyle w:val="Compact"/>
            </w:pPr>
            <w:r>
              <w:t xml:space="preserve">241</w:t>
            </w:r>
          </w:p>
        </w:tc>
      </w:tr>
      <w:tr>
        <w:tc>
          <w:tcPr/>
          <w:p>
            <w:pPr>
              <w:pStyle w:val="Compact"/>
              <w:jc w:val="left"/>
            </w:pPr>
            <w:r>
              <w:t xml:space="preserve">Encuentros hospitalarios por sobredo</w:t>
            </w:r>
          </w:p>
        </w:tc>
        <w:tc>
          <w:tcPr/>
          <w:p>
            <w:pPr>
              <w:pStyle w:val="Compact"/>
              <w:jc w:val="left"/>
            </w:pPr>
            <w:r>
              <w:t xml:space="preserve">sis</w:t>
            </w:r>
          </w:p>
        </w:tc>
        <w:tc>
          <w:tcPr/>
          <w:p>
            <w:pPr>
              <w:pStyle w:val="Compact"/>
              <w:jc w:val="left"/>
            </w:pPr>
            <w:r>
              <w:t xml:space="preserve">884</w:t>
            </w:r>
          </w:p>
        </w:tc>
        <w:tc>
          <w:tcPr/>
          <w:p>
            <w:pPr>
              <w:pStyle w:val="Compact"/>
              <w:jc w:val="left"/>
            </w:pPr>
            <w:r>
              <w:t xml:space="preserve">963</w:t>
            </w:r>
          </w:p>
        </w:tc>
        <w:tc>
          <w:tcPr/>
          <w:p>
            <w:pPr>
              <w:pStyle w:val="Compact"/>
              <w:jc w:val="left"/>
            </w:pPr>
            <w:r>
              <w:t xml:space="preserve">1,022</w:t>
            </w:r>
          </w:p>
        </w:tc>
        <w:tc>
          <w:tcPr/>
          <w:p>
            <w:pPr>
              <w:pStyle w:val="Compact"/>
            </w:pPr>
            <w:r>
              <w:t xml:space="preserve">947 412</w:t>
            </w:r>
          </w:p>
        </w:tc>
      </w:tr>
      <w:tr>
        <w:tc>
          <w:tcPr/>
          <w:p>
            <w:pPr>
              <w:pStyle w:val="Compact"/>
              <w:jc w:val="left"/>
            </w:pPr>
            <w:r>
              <w:t xml:space="preserve">Inicios de tratamiento con medicamen</w:t>
            </w:r>
          </w:p>
        </w:tc>
        <w:tc>
          <w:tcPr/>
          <w:p>
            <w:pPr>
              <w:pStyle w:val="Compact"/>
              <w:jc w:val="left"/>
            </w:pPr>
            <w:r>
              <w:t xml:space="preserve">tos</w:t>
            </w:r>
          </w:p>
        </w:tc>
        <w:tc>
          <w:tcPr/>
          <w:p>
            <w:pPr>
              <w:pStyle w:val="Compact"/>
              <w:jc w:val="left"/>
            </w:pPr>
            <w:r>
              <w:t xml:space="preserve">611</w:t>
            </w:r>
          </w:p>
        </w:tc>
        <w:tc>
          <w:tcPr/>
          <w:p>
            <w:pPr>
              <w:pStyle w:val="Compact"/>
              <w:jc w:val="left"/>
            </w:pPr>
            <w:r>
              <w:t xml:space="preserve">782</w:t>
            </w:r>
          </w:p>
        </w:tc>
        <w:tc>
          <w:tcPr/>
          <w:p>
            <w:pPr>
              <w:pStyle w:val="Compact"/>
              <w:jc w:val="left"/>
            </w:pPr>
            <w:r>
              <w:t xml:space="preserve">1,036</w:t>
            </w:r>
          </w:p>
        </w:tc>
        <w:tc>
          <w:tcPr/>
          <w:p>
            <w:pPr>
              <w:pStyle w:val="Compact"/>
            </w:pPr>
            <w:r>
              <w:t xml:space="preserve">1,194 566</w:t>
            </w:r>
          </w:p>
        </w:tc>
      </w:tr>
      <w:tr>
        <w:tc>
          <w:tcPr/>
          <w:p>
            <w:pPr>
              <w:pStyle w:val="Compact"/>
              <w:jc w:val="left"/>
            </w:pPr>
            <w:r>
              <w:t xml:space="preserve">Retención en tratamiento a 90 días</w:t>
            </w:r>
          </w:p>
        </w:tc>
        <w:tc>
          <w:tcPr/>
          <w:p>
            <w:pPr>
              <w:pStyle w:val="Compact"/>
              <w:jc w:val="left"/>
            </w:pPr>
            <w:r>
              <w:t xml:space="preserve">29%</w:t>
            </w:r>
          </w:p>
        </w:tc>
        <w:tc>
          <w:tcPr/>
          <w:p>
            <w:pPr>
              <w:pStyle w:val="Compact"/>
              <w:jc w:val="left"/>
            </w:pPr>
            <w:r>
              <w:t xml:space="preserve">31%</w:t>
            </w:r>
          </w:p>
        </w:tc>
        <w:tc>
          <w:tcPr/>
          <w:p>
            <w:pPr>
              <w:pStyle w:val="Compact"/>
              <w:jc w:val="left"/>
            </w:pPr>
            <w:r>
              <w:t xml:space="preserve">34%</w:t>
            </w:r>
          </w:p>
        </w:tc>
        <w:tc>
          <w:tcPr/>
          <w:p>
            <w:pPr>
              <w:pStyle w:val="Compact"/>
              <w:jc w:val="left"/>
            </w:pPr>
            <w:r>
              <w:t xml:space="preserve">36%</w:t>
            </w:r>
          </w:p>
        </w:tc>
        <w:tc>
          <w:tcPr/>
          <w:p>
            <w:pPr>
              <w:pStyle w:val="Compact"/>
            </w:pPr>
            <w:r>
              <w:t xml:space="preserve">35%</w:t>
            </w:r>
          </w:p>
        </w:tc>
      </w:tr>
    </w:tbl>
    <w:p>
      <w:pPr>
        <w:pStyle w:val="BodyText"/>
      </w:pPr>
      <w:r>
        <w:t xml:space="preserve">*Hasta el 31 de agosto de 2026. Todas las cifras de Riverton son ficticias. Los valores del año hasta la fecha no son directamente comparables con los totales del año completo.</w:t>
      </w:r>
    </w:p>
    <w:bookmarkEnd w:id="21"/>
    <w:bookmarkStart w:id="22" w:name="figura-2.-resultados-desiguales-20232025"/>
    <w:p>
      <w:pPr>
        <w:pStyle w:val="Heading1"/>
      </w:pPr>
      <w:r>
        <w:t xml:space="preserve">Figura 2. Resultados desiguales, 2023–2025</w:t>
      </w:r>
    </w:p>
    <w:tbl>
      <w:tblPr>
        <w:tblStyle w:val="Table"/>
        <w:tblW w:type="pct" w:w="4884"/>
        <w:tblLayout w:type="fixed"/>
        <w:tblLook w:firstRow="1" w:lastRow="0" w:firstColumn="0" w:lastColumn="0" w:noHBand="0" w:noVBand="0" w:val="0020"/>
      </w:tblPr>
      <w:tblGrid>
        <w:gridCol w:w="2762"/>
        <w:gridCol w:w="1657"/>
        <w:gridCol w:w="1657"/>
        <w:gridCol w:w="1657"/>
      </w:tblGrid>
      <w:tr>
        <w:trPr>
          <w:tblHeader w:val="on"/>
        </w:trPr>
        <w:tc>
          <w:tcPr/>
          <w:p>
            <w:pPr>
              <w:pStyle w:val="Compact"/>
              <w:jc w:val="left"/>
            </w:pPr>
            <w:r>
              <w:t xml:space="preserve">Grupo de población</w:t>
            </w:r>
          </w:p>
        </w:tc>
        <w:tc>
          <w:tcPr/>
          <w:p>
            <w:pPr>
              <w:pStyle w:val="Compact"/>
              <w:jc w:val="center"/>
            </w:pPr>
            <w:r>
              <w:t xml:space="preserve">Muertes 2023</w:t>
            </w:r>
          </w:p>
        </w:tc>
        <w:tc>
          <w:tcPr/>
          <w:p>
            <w:pPr>
              <w:pStyle w:val="Compact"/>
              <w:jc w:val="center"/>
            </w:pPr>
            <w:r>
              <w:t xml:space="preserve">Muertes 2025</w:t>
            </w:r>
          </w:p>
        </w:tc>
        <w:tc>
          <w:tcPr/>
          <w:p>
            <w:pPr>
              <w:pStyle w:val="Compact"/>
              <w:jc w:val="center"/>
            </w:pPr>
            <w:r>
              <w:t xml:space="preserve">Cambio</w:t>
            </w:r>
          </w:p>
        </w:tc>
      </w:tr>
      <w:tr>
        <w:tc>
          <w:tcPr/>
          <w:p>
            <w:pPr>
              <w:pStyle w:val="Compact"/>
              <w:jc w:val="left"/>
            </w:pPr>
            <w:r>
              <w:t xml:space="preserve">Residentes blancos</w:t>
            </w:r>
          </w:p>
        </w:tc>
        <w:tc>
          <w:tcPr/>
          <w:p>
            <w:pPr>
              <w:pStyle w:val="Compact"/>
              <w:jc w:val="center"/>
            </w:pPr>
            <w:r>
              <w:t xml:space="preserve">76</w:t>
            </w:r>
          </w:p>
        </w:tc>
        <w:tc>
          <w:tcPr/>
          <w:p>
            <w:pPr>
              <w:pStyle w:val="Compact"/>
              <w:jc w:val="center"/>
            </w:pPr>
            <w:r>
              <w:t xml:space="preserve">55</w:t>
            </w:r>
          </w:p>
        </w:tc>
        <w:tc>
          <w:tcPr/>
          <w:p>
            <w:pPr>
              <w:pStyle w:val="Compact"/>
              <w:jc w:val="center"/>
            </w:pPr>
            <w:r>
              <w:t xml:space="preserve">-28%</w:t>
            </w:r>
          </w:p>
        </w:tc>
      </w:tr>
      <w:tr>
        <w:tc>
          <w:tcPr/>
          <w:p>
            <w:pPr>
              <w:pStyle w:val="Compact"/>
              <w:jc w:val="left"/>
            </w:pPr>
            <w:r>
              <w:t xml:space="preserve">Residentes negros</w:t>
            </w:r>
          </w:p>
        </w:tc>
        <w:tc>
          <w:tcPr/>
          <w:p>
            <w:pPr>
              <w:pStyle w:val="Compact"/>
              <w:jc w:val="center"/>
            </w:pPr>
            <w:r>
              <w:t xml:space="preserve">34</w:t>
            </w:r>
          </w:p>
        </w:tc>
        <w:tc>
          <w:tcPr/>
          <w:p>
            <w:pPr>
              <w:pStyle w:val="Compact"/>
              <w:jc w:val="center"/>
            </w:pPr>
            <w:r>
              <w:t xml:space="preserve">32</w:t>
            </w:r>
          </w:p>
        </w:tc>
        <w:tc>
          <w:tcPr/>
          <w:p>
            <w:pPr>
              <w:pStyle w:val="Compact"/>
              <w:jc w:val="center"/>
            </w:pPr>
            <w:r>
              <w:t xml:space="preserve">-6%</w:t>
            </w:r>
          </w:p>
        </w:tc>
      </w:tr>
      <w:tr>
        <w:tc>
          <w:tcPr/>
          <w:p>
            <w:pPr>
              <w:pStyle w:val="Compact"/>
              <w:jc w:val="left"/>
            </w:pPr>
            <w:r>
              <w:t xml:space="preserve">Residentes hispanos</w:t>
            </w:r>
          </w:p>
        </w:tc>
        <w:tc>
          <w:tcPr/>
          <w:p>
            <w:pPr>
              <w:pStyle w:val="Compact"/>
              <w:jc w:val="center"/>
            </w:pPr>
            <w:r>
              <w:t xml:space="preserve">19</w:t>
            </w:r>
          </w:p>
        </w:tc>
        <w:tc>
          <w:tcPr/>
          <w:p>
            <w:pPr>
              <w:pStyle w:val="Compact"/>
              <w:jc w:val="center"/>
            </w:pPr>
            <w:r>
              <w:t xml:space="preserve">11</w:t>
            </w:r>
          </w:p>
        </w:tc>
        <w:tc>
          <w:tcPr/>
          <w:p>
            <w:pPr>
              <w:pStyle w:val="Compact"/>
              <w:jc w:val="center"/>
            </w:pPr>
            <w:r>
              <w:t xml:space="preserve">-42%</w:t>
            </w:r>
          </w:p>
        </w:tc>
      </w:tr>
      <w:tr>
        <w:tc>
          <w:tcPr/>
          <w:p>
            <w:pPr>
              <w:pStyle w:val="Compact"/>
              <w:jc w:val="left"/>
            </w:pPr>
            <w:r>
              <w:t xml:space="preserve">Residentes de otra raza/multir</w:t>
            </w:r>
          </w:p>
        </w:tc>
        <w:tc>
          <w:tcPr/>
          <w:p>
            <w:pPr>
              <w:pStyle w:val="Compact"/>
              <w:jc w:val="center"/>
            </w:pPr>
            <w:r>
              <w:t xml:space="preserve">racial 7</w:t>
            </w:r>
          </w:p>
        </w:tc>
        <w:tc>
          <w:tcPr/>
          <w:p>
            <w:pPr>
              <w:pStyle w:val="Compact"/>
              <w:jc w:val="center"/>
            </w:pPr>
            <w:r>
              <w:t xml:space="preserve">3</w:t>
            </w:r>
          </w:p>
        </w:tc>
        <w:tc>
          <w:tcPr/>
          <w:p>
            <w:pPr>
              <w:pStyle w:val="Compact"/>
              <w:jc w:val="center"/>
            </w:pPr>
            <w:r>
              <w:t xml:space="preserve">-57%</w:t>
            </w:r>
          </w:p>
        </w:tc>
      </w:tr>
      <w:tr>
        <w:tc>
          <w:tcPr/>
          <w:p>
            <w:pPr>
              <w:pStyle w:val="Compact"/>
              <w:jc w:val="left"/>
            </w:pPr>
            <w:r>
              <w:t xml:space="preserve">Edad 45–64</w:t>
            </w:r>
          </w:p>
        </w:tc>
        <w:tc>
          <w:tcPr/>
          <w:p>
            <w:pPr>
              <w:pStyle w:val="Compact"/>
              <w:jc w:val="center"/>
            </w:pPr>
            <w:r>
              <w:t xml:space="preserve">47</w:t>
            </w:r>
          </w:p>
        </w:tc>
        <w:tc>
          <w:tcPr/>
          <w:p>
            <w:pPr>
              <w:pStyle w:val="Compact"/>
              <w:jc w:val="center"/>
            </w:pPr>
            <w:r>
              <w:t xml:space="preserve">47</w:t>
            </w:r>
          </w:p>
        </w:tc>
        <w:tc>
          <w:tcPr/>
          <w:p>
            <w:pPr>
              <w:pStyle w:val="Compact"/>
              <w:jc w:val="center"/>
            </w:pPr>
            <w:r>
              <w:t xml:space="preserve">0%</w:t>
            </w:r>
          </w:p>
        </w:tc>
      </w:tr>
      <w:tr>
        <w:tc>
          <w:tcPr/>
          <w:p>
            <w:pPr>
              <w:pStyle w:val="Compact"/>
              <w:jc w:val="left"/>
            </w:pPr>
            <w:r>
              <w:t xml:space="preserve">Municipios rurales occidentale</w:t>
            </w:r>
          </w:p>
        </w:tc>
        <w:tc>
          <w:tcPr/>
          <w:p>
            <w:pPr>
              <w:pStyle w:val="Compact"/>
              <w:jc w:val="center"/>
            </w:pPr>
            <w:r>
              <w:t xml:space="preserve">s 29</w:t>
            </w:r>
          </w:p>
        </w:tc>
        <w:tc>
          <w:tcPr/>
          <w:p>
            <w:pPr>
              <w:pStyle w:val="Compact"/>
              <w:jc w:val="center"/>
            </w:pPr>
            <w:r>
              <w:t xml:space="preserve">27</w:t>
            </w:r>
          </w:p>
        </w:tc>
        <w:tc>
          <w:tcPr/>
          <w:p>
            <w:pPr>
              <w:pStyle w:val="Compact"/>
              <w:jc w:val="center"/>
            </w:pPr>
            <w:r>
              <w:t xml:space="preserve">-7%</w:t>
            </w:r>
          </w:p>
        </w:tc>
      </w:tr>
    </w:tbl>
    <w:bookmarkEnd w:id="22"/>
    <w:bookmarkStart w:id="23" w:name="preguntas-de-discusión"/>
    <w:p>
      <w:pPr>
        <w:pStyle w:val="Heading1"/>
      </w:pPr>
      <w:r>
        <w:t xml:space="preserve">Preguntas de discusión</w:t>
      </w:r>
    </w:p>
    <w:p>
      <w:pPr>
        <w:numPr>
          <w:ilvl w:val="0"/>
          <w:numId w:val="1001"/>
        </w:numPr>
      </w:pPr>
      <w:r>
        <w:t xml:space="preserve">¿Qué problema se le está pidiendo realmente a Torres que resuelva? ¿Cómo cambiarían diferentes definiciones del problema la recomendación?</w:t>
      </w:r>
    </w:p>
    <w:p>
      <w:pPr>
        <w:numPr>
          <w:ilvl w:val="0"/>
          <w:numId w:val="1001"/>
        </w:numPr>
      </w:pPr>
      <w:r>
        <w:t xml:space="preserve">¿Qué medidas de desempeño deberían gobernar la cartera: muertes, sobredosis no fatales, inicios de tratamiento, retención, equidad, desorden público, costo, o alguna combinación?</w:t>
      </w:r>
    </w:p>
    <w:p>
      <w:pPr>
        <w:numPr>
          <w:ilvl w:val="0"/>
          <w:numId w:val="1001"/>
        </w:numPr>
      </w:pPr>
      <w:r>
        <w:t xml:space="preserve">¿Qué decisiones son urgentes y cuáles podrían retrasarse hasta que haya mejor información disponible?</w:t>
      </w:r>
    </w:p>
    <w:p>
      <w:pPr>
        <w:numPr>
          <w:ilvl w:val="0"/>
          <w:numId w:val="1001"/>
        </w:numPr>
      </w:pPr>
      <w:r>
        <w:t xml:space="preserve">¿Qué incertidumbres importan más? ¿Cuáles podrían reducirse mediante la recopilación de datos o un piloto limitado?</w:t>
      </w:r>
    </w:p>
    <w:p>
      <w:pPr>
        <w:numPr>
          <w:ilvl w:val="0"/>
          <w:numId w:val="1001"/>
        </w:numPr>
      </w:pPr>
      <w:r>
        <w:t xml:space="preserve">¿Cómo debería interpretar el condado la caída de muertes nacionales y locales cuando la exposición al fentanilo y la demanda de servicios siguen siendo altas?</w:t>
      </w:r>
    </w:p>
    <w:p>
      <w:pPr>
        <w:numPr>
          <w:ilvl w:val="0"/>
          <w:numId w:val="1001"/>
        </w:numPr>
      </w:pPr>
      <w:r>
        <w:t xml:space="preserve">¿Qué principios de asignación serían defendibles cuando los resultados difieren marcadamente entre grupos demográficos y vecindarios?</w:t>
      </w:r>
    </w:p>
    <w:p>
      <w:pPr>
        <w:numPr>
          <w:ilvl w:val="0"/>
          <w:numId w:val="1001"/>
        </w:numPr>
      </w:pPr>
      <w:r>
        <w:t xml:space="preserve">Prepare una recomendación para la reunión de las 4:00 p.m., incluyendo un presupuesto, prioridades de implementación, e indicadores que desencadenarían cambios futuros.</w:t>
      </w:r>
    </w:p>
    <w:bookmarkEnd w:id="23"/>
    <w:bookmarkStart w:id="29" w:name="preguntas-de-encuadre-de-la-decisión"/>
    <w:p>
      <w:pPr>
        <w:pStyle w:val="Heading1"/>
      </w:pPr>
      <w:r>
        <w:t xml:space="preserve">Preguntas de Encuadre de la Decisión</w:t>
      </w:r>
    </w:p>
    <w:p>
      <w:pPr>
        <w:numPr>
          <w:ilvl w:val="0"/>
          <w:numId w:val="1002"/>
        </w:numPr>
      </w:pPr>
      <w:r>
        <w:t xml:space="preserve">Identifique y describa las responsabilidades del responsable de la decisión. Esto debería establecer el alcance del problema.</w:t>
      </w:r>
    </w:p>
    <w:p>
      <w:pPr>
        <w:numPr>
          <w:ilvl w:val="0"/>
          <w:numId w:val="1002"/>
        </w:numPr>
      </w:pPr>
      <w:r>
        <w:t xml:space="preserve">Use la</w:t>
      </w:r>
      <w:r>
        <w:t xml:space="preserve"> </w:t>
      </w:r>
      <w:hyperlink r:id="rId24">
        <w:r>
          <w:rPr>
            <w:rStyle w:val="Hyperlink"/>
          </w:rPr>
          <w:t xml:space="preserve">herramienta de pirámide de métricas</w:t>
        </w:r>
      </w:hyperlink>
      <w:r>
        <w:t xml:space="preserve"> </w:t>
      </w:r>
      <w:r>
        <w:t xml:space="preserve">para identificar y priorizar las diferentes métricas de desempeño. Haga clic en el óvalo que contiene la métrica para identificar si es una métrica a maximizar (verde), a minimizar (rojo), un objetivo que es un piso (verde claro) o un techo (rojo claro), o finalmente un objetivo (púrpura).</w:t>
      </w:r>
    </w:p>
    <w:p>
      <w:pPr>
        <w:numPr>
          <w:ilvl w:val="0"/>
          <w:numId w:val="1002"/>
        </w:numPr>
      </w:pPr>
      <w:r>
        <w:t xml:space="preserve">Use la</w:t>
      </w:r>
      <w:r>
        <w:t xml:space="preserve"> </w:t>
      </w:r>
      <w:hyperlink r:id="rId25">
        <w:r>
          <w:rPr>
            <w:rStyle w:val="Hyperlink"/>
          </w:rPr>
          <w:t xml:space="preserve">herramienta de priorización de decisiones</w:t>
        </w:r>
      </w:hyperlink>
      <w:r>
        <w:t xml:space="preserve"> </w:t>
      </w:r>
      <w:r>
        <w:t xml:space="preserve">para primero listar los diferentes tipos de decisiones (use los</w:t>
      </w:r>
      <w:r>
        <w:t xml:space="preserve"> </w:t>
      </w:r>
      <w:hyperlink r:id="rId26">
        <w:r>
          <w:rPr>
            <w:rStyle w:val="Hyperlink"/>
          </w:rPr>
          <w:t xml:space="preserve">tipos de decisiones</w:t>
        </w:r>
      </w:hyperlink>
      <w:r>
        <w:t xml:space="preserve"> </w:t>
      </w:r>
      <w:r>
        <w:t xml:space="preserve">como guía). Estos luego poblarán las filas de la matriz a la derecha, donde las columnas son las métricas de desempeño ordenadas de izquierda a derecha por la prioridad en la pirámide anterior. Haga clic en cada celda para indicar si el impacto de la decisión en cada métrica es alto (rojo), medio (naranja), bajo (amarillo) o ninguno (blanco).</w:t>
      </w:r>
    </w:p>
    <w:p>
      <w:pPr>
        <w:numPr>
          <w:ilvl w:val="0"/>
          <w:numId w:val="1002"/>
        </w:numPr>
      </w:pPr>
      <w:r>
        <w:t xml:space="preserve">Puede tomar el mango (tres barras) más a la izquierda en cada fila para moverlo hacia arriba o hacia abajo. Ordene las filas de manera que las decisiones con el mayor impacto en las métricas más importantes queden hacia arriba. Las celdas en la esquina superior izquierda deberían tener la mayor concentración de celdas rojas y naranjas. En este punto identifique las decisiones que deberían recibir la mayor atención en su estudio. Si no tiene ninguna decisión con impacto medio o alto en las métricas más importantes, revise su lista de decisiones.</w:t>
      </w:r>
    </w:p>
    <w:p>
      <w:pPr>
        <w:numPr>
          <w:ilvl w:val="0"/>
          <w:numId w:val="1002"/>
        </w:numPr>
      </w:pPr>
      <w:r>
        <w:t xml:space="preserve">Repita el proceso para listar y priorizar las incertidumbres usando la</w:t>
      </w:r>
      <w:r>
        <w:t xml:space="preserve"> </w:t>
      </w:r>
      <w:hyperlink r:id="rId27">
        <w:r>
          <w:rPr>
            <w:rStyle w:val="Hyperlink"/>
          </w:rPr>
          <w:t xml:space="preserve">herramienta de priorización de incertidumbres</w:t>
        </w:r>
      </w:hyperlink>
      <w:r>
        <w:t xml:space="preserve">. Use las</w:t>
      </w:r>
      <w:r>
        <w:t xml:space="preserve"> </w:t>
      </w:r>
      <w:hyperlink r:id="rId28">
        <w:r>
          <w:rPr>
            <w:rStyle w:val="Hyperlink"/>
          </w:rPr>
          <w:t xml:space="preserve">categorías de incertidumbre</w:t>
        </w:r>
      </w:hyperlink>
      <w:r>
        <w:t xml:space="preserve"> </w:t>
      </w:r>
      <w:r>
        <w:t xml:space="preserve">para ayudarle a identificarlas.</w:t>
      </w:r>
    </w:p>
    <w:p>
      <w:pPr>
        <w:numPr>
          <w:ilvl w:val="0"/>
          <w:numId w:val="1002"/>
        </w:numPr>
      </w:pPr>
      <w:r>
        <w:t xml:space="preserve">Es importante diferenciar las incertidumbres que pueden evaluarse en promedio, o como eventos de riesgo:</w:t>
      </w:r>
    </w:p>
    <w:p>
      <w:pPr>
        <w:numPr>
          <w:ilvl w:val="1"/>
          <w:numId w:val="1003"/>
        </w:numPr>
      </w:pPr>
      <w:r>
        <w:t xml:space="preserve">¿Qué fuentes de incertidumbre se capturarían usando el desempeño promedio a lo largo del tiempo?</w:t>
      </w:r>
    </w:p>
    <w:p>
      <w:pPr>
        <w:numPr>
          <w:ilvl w:val="1"/>
          <w:numId w:val="1003"/>
        </w:numPr>
      </w:pPr>
      <w:r>
        <w:t xml:space="preserve">¿Qué fuentes de incertidumbre representan formas de riesgo que no se capturan adecuadamente usando promedios?</w:t>
      </w:r>
    </w:p>
    <w:p>
      <w:pPr>
        <w:numPr>
          <w:ilvl w:val="0"/>
          <w:numId w:val="1002"/>
        </w:numPr>
      </w:pPr>
      <w:r>
        <w:t xml:space="preserve">Elija la única decisión que parezca tener el mayor impacto en la métrica más importante.</w:t>
      </w:r>
    </w:p>
    <w:p>
      <w:pPr>
        <w:numPr>
          <w:ilvl w:val="1"/>
          <w:numId w:val="1004"/>
        </w:numPr>
      </w:pPr>
      <w:r>
        <w:t xml:space="preserve">¿Qué enfoque cree que usaría para tomar esta decisión?</w:t>
      </w:r>
    </w:p>
    <w:p>
      <w:pPr>
        <w:numPr>
          <w:ilvl w:val="1"/>
          <w:numId w:val="1004"/>
        </w:numPr>
      </w:pPr>
      <w:r>
        <w:t xml:space="preserve">¿Qué datos parecen ser necesarios para tomar esta decisión, incluyendo el cálculo de cualquier métrica de desempeño donde la decisión tendría un impacto alto o medio.</w:t>
      </w:r>
    </w:p>
    <w:p>
      <w:pPr>
        <w:numPr>
          <w:ilvl w:val="0"/>
          <w:numId w:val="1002"/>
        </w:numPr>
      </w:pPr>
      <w:r>
        <w:t xml:space="preserve">Usando la misma decisión que identificó en (7), identifique a las personas, departamentos, grupos u organizaciones con los que necesitaría trabajar para implementar la decisión.</w:t>
      </w:r>
    </w:p>
    <w:bookmarkEnd w:id="29"/>
    <w:bookmarkStart w:id="30" w:name="fuentes-y-notas"/>
    <w:p>
      <w:pPr>
        <w:pStyle w:val="Heading1"/>
      </w:pPr>
      <w:r>
        <w:t xml:space="preserve">Fuentes y notas</w:t>
      </w:r>
    </w:p>
    <w:p>
      <w:pPr>
        <w:pStyle w:val="FirstParagraph"/>
      </w:pPr>
      <w:r>
        <w:t xml:space="preserve">1. CDC,</w:t>
      </w:r>
      <w:r>
        <w:t xml:space="preserve"> </w:t>
      </w:r>
      <w:r>
        <w:t xml:space="preserve">“U.S. Overdose Deaths Decrease Almost 27% in 2024,”</w:t>
      </w:r>
      <w:r>
        <w:t xml:space="preserve"> </w:t>
      </w:r>
      <w:r>
        <w:t xml:space="preserve">14 de mayo de 2025. Las muertes estimadas relacionadas con opioides disminuyeron de 83,140 en 2023 a 54,743 en 2024.</w:t>
      </w:r>
    </w:p>
    <w:p>
      <w:pPr>
        <w:pStyle w:val="BodyText"/>
      </w:pPr>
      <w:r>
        <w:t xml:space="preserve">2. CDC,</w:t>
      </w:r>
      <w:r>
        <w:t xml:space="preserve"> </w:t>
      </w:r>
      <w:r>
        <w:t xml:space="preserve">“U.S. Overdose Deaths Decrease for Third Consecutive Year,”</w:t>
      </w:r>
      <w:r>
        <w:t xml:space="preserve"> </w:t>
      </w:r>
      <w:r>
        <w:t xml:space="preserve">13 de mayo de 2026. Las muertes estimadas relacionadas con opioides disminuyeron a 44,564 en 2025; varios estados experimentaron aumentos.</w:t>
      </w:r>
    </w:p>
    <w:p>
      <w:pPr>
        <w:pStyle w:val="BodyText"/>
      </w:pPr>
      <w:r>
        <w:t xml:space="preserve">3. CDC/NCHS,</w:t>
      </w:r>
      <w:r>
        <w:t xml:space="preserve"> </w:t>
      </w:r>
      <w:r>
        <w:t xml:space="preserve">“Drug Overdose Deaths in the United States, 2023–2024,”</w:t>
      </w:r>
      <w:r>
        <w:t xml:space="preserve"> </w:t>
      </w:r>
      <w:r>
        <w:t xml:space="preserve">Data Brief No. 549. La tasa ajustada por edad que involucra opioides sintéticos distintos a la metadona cayó de 22.2 a 14.3 por cada 100,000.</w:t>
      </w:r>
    </w:p>
    <w:p>
      <w:pPr>
        <w:pStyle w:val="BodyText"/>
      </w:pPr>
      <w:r>
        <w:t xml:space="preserve">4. SAMHSA, publicación de la Encuesta Nacional sobre el Uso de Drogas y la Salud de 2024: 48.4 millones de personas de 12 años o más tuvieron un trastorno por uso de sustancias en el último año.</w:t>
      </w:r>
    </w:p>
    <w:p>
      <w:pPr>
        <w:pStyle w:val="BodyText"/>
      </w:pPr>
      <w:r>
        <w:t xml:space="preserve">5. SAMHSA, Resultados de la Encuesta Nacional sobre el Uso de Drogas y la Salud de 2024. Entre las personas cuyo trastorno por uso de opioides involucraba mal uso, el 42.4% tenía un trastorno leve y el 37.1% tenía un trastorno severo.</w:t>
      </w:r>
    </w:p>
    <w:p>
      <w:pPr>
        <w:pStyle w:val="BodyText"/>
      </w:pPr>
      <w:r>
        <w:t xml:space="preserve">6. CDC, Vital Signs: Drug Overdose Deaths and Disparities. De 2019 a 2020, las tasas de muerte por sobredosis aumentaron un 44% entre las personas negras y un 39% entre las personas indígenas americanas/nativas de Alaska; la evidencia de tratamiento fue más baja entre varios grupos raciales y étnicos.</w:t>
      </w:r>
    </w:p>
    <w:p>
      <w:pPr>
        <w:pStyle w:val="BodyText"/>
      </w:pPr>
      <w:r>
        <w:t xml:space="preserve">7. Instituto Nacional sobre el Abuso de Drogas, junio de 2024, informe sobre el Estudio de Comunidades Sanadoras (HEALing Communities Study): la intervención aumentó las prácticas basadas en evidencia pero no redujo significativamente las tasas de muerte por sobredosis de opioides durante el período de evaluación.</w:t>
      </w:r>
    </w:p>
    <w:bookmarkEnd w:id="30"/>
    <w:bookmarkStart w:id="33" w:name="notas-de-chatgpt"/>
    <w:p>
      <w:pPr>
        <w:pStyle w:val="Heading1"/>
      </w:pPr>
      <w:r>
        <w:t xml:space="preserve">Notas de ChatGPT</w:t>
      </w:r>
    </w:p>
    <w:bookmarkStart w:id="31" w:name="prompt"/>
    <w:p>
      <w:pPr>
        <w:pStyle w:val="Heading2"/>
      </w:pPr>
      <w:r>
        <w:t xml:space="preserve">Prompt</w:t>
      </w:r>
    </w:p>
    <w:p>
      <w:pPr>
        <w:pStyle w:val="FirstParagraph"/>
      </w:pPr>
      <w:r>
        <w:t xml:space="preserve">Estudios de caso - Usando el estilo de un estudio de caso de negocios, cree un estudio de caso de un problema de salud pública, respaldado por estadísticas. Debería tener de 3 a 5 páginas en un documento de Word, bien organizado, pero sin una idea clara de cómo resolver el problema.</w:t>
      </w:r>
    </w:p>
    <w:bookmarkEnd w:id="31"/>
    <w:bookmarkStart w:id="32" w:name="resumen"/>
    <w:p>
      <w:pPr>
        <w:pStyle w:val="Heading2"/>
      </w:pPr>
      <w:r>
        <w:t xml:space="preserve">Resumen</w:t>
      </w:r>
    </w:p>
    <w:p>
      <w:pPr>
        <w:pStyle w:val="FirstParagraph"/>
      </w:pPr>
      <w:r>
        <w:t xml:space="preserve">Utiliza un formato de caso de escuela de negocios e incluye:</w:t>
      </w:r>
    </w:p>
    <w:p>
      <w:pPr>
        <w:numPr>
          <w:ilvl w:val="0"/>
          <w:numId w:val="1005"/>
        </w:numPr>
      </w:pPr>
      <w:r>
        <w:t xml:space="preserve">Un condado ficticio que enfrenta una crisis de fentanilo y sobredosis</w:t>
      </w:r>
    </w:p>
    <w:p>
      <w:pPr>
        <w:numPr>
          <w:ilvl w:val="0"/>
          <w:numId w:val="1005"/>
        </w:numPr>
      </w:pPr>
      <w:r>
        <w:t xml:space="preserve">Estadísticas nacionales actuales de los CDC, SAMHSA, y NIDA</w:t>
      </w:r>
    </w:p>
    <w:p>
      <w:pPr>
        <w:numPr>
          <w:ilvl w:val="0"/>
          <w:numId w:val="1005"/>
        </w:numPr>
      </w:pPr>
      <w:r>
        <w:t xml:space="preserve">Perspectivas contrapuestas de los interesados</w:t>
      </w:r>
    </w:p>
    <w:p>
      <w:pPr>
        <w:numPr>
          <w:ilvl w:val="0"/>
          <w:numId w:val="1005"/>
        </w:numPr>
      </w:pPr>
      <w:r>
        <w:t xml:space="preserve">Un déficit de financiamiento y datos presupuestarios a nivel de programa</w:t>
      </w:r>
    </w:p>
    <w:p>
      <w:pPr>
        <w:numPr>
          <w:ilvl w:val="0"/>
          <w:numId w:val="1005"/>
        </w:numPr>
      </w:pPr>
      <w:r>
        <w:t xml:space="preserve">Incertidumbres de desempeño, equidad, y medición</w:t>
      </w:r>
    </w:p>
    <w:p>
      <w:pPr>
        <w:numPr>
          <w:ilvl w:val="0"/>
          <w:numId w:val="1005"/>
        </w:numPr>
      </w:pPr>
      <w:r>
        <w:t xml:space="preserve">Figuras cuantitativas y preguntas de discusión</w:t>
      </w:r>
    </w:p>
    <w:p>
      <w:pPr>
        <w:numPr>
          <w:ilvl w:val="0"/>
          <w:numId w:val="1005"/>
        </w:numPr>
      </w:pPr>
      <w:r>
        <w:t xml:space="preserve">Ninguna solución claramente preferida</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2026-09-11T15:30:40Z</dcterms:created>
  <dcterms:modified xsi:type="dcterms:W3CDTF">2026-09-11T15:30:40Z</dcterms:modified>
</cp:coreProperties>
</file>

<file path=docProps/custom.xml><?xml version="1.0" encoding="utf-8"?>
<Properties xmlns="http://schemas.openxmlformats.org/officeDocument/2006/custom-properties" xmlns:vt="http://schemas.openxmlformats.org/officeDocument/2006/docPropsVTypes"/>
</file>