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SUMMIT RIDGE ASSET MANAGEMENT</w:t>
      </w:r>
    </w:p>
    <w:p>
      <w:pPr>
        <w:pStyle w:val="BodyText"/>
      </w:pPr>
      <w:r>
        <w:t xml:space="preserve">La decisión de efectivo del lunes por la mañana</w:t>
      </w:r>
    </w:p>
    <w:p>
      <w:pPr>
        <w:pStyle w:val="BodyText"/>
      </w:pPr>
      <w:r>
        <w:t xml:space="preserve">Un caso de fondo mutuo sobre flujos de inversores, liquidez, desempeño de cartera y negociación bajo presión</w:t>
      </w:r>
    </w:p>
    <w:p>
      <w:pPr>
        <w:pStyle w:val="BodyText"/>
      </w:pPr>
      <w:r>
        <w:t xml:space="preserve">Este caso es ficticio y está destinado a la discusión instructiva. Los nombres, eventos, fondos y cifras internas son inventados, aunque el entorno de la industria está motivado por datos públicos.</w:t>
      </w:r>
    </w:p>
    <w:bookmarkStart w:id="9" w:name="un-fin-de-semana-de-malas-noticias"/>
    <w:p>
      <w:pPr>
        <w:pStyle w:val="Heading1"/>
      </w:pPr>
      <w:r>
        <w:t xml:space="preserve">Un fin de semana de malas noticias</w:t>
      </w:r>
    </w:p>
    <w:p>
      <w:pPr>
        <w:pStyle w:val="FirstParagraph"/>
      </w:pPr>
      <w:r>
        <w:t xml:space="preserve">A las 7:05 a.m. del lunes 12 de octubre de 2026, Elena Marquez, directora de inversiones de Summit Ridge Asset Management, abrió un mensaje del agente de transferencias de la firma. Los inversores del Summit Ridge Select Equity Fund habían presentado solicitudes de rescate estimadas en $318 million desde el viernes por la tarde. La mayoría provenía de tres cuentas institucionales. Las órdenes minoristas todavía se estaban procesando y podrían añadir entre $40 million y $90 million más antes del plazo de fijación de precios de la tarde del fondo.</w:t>
      </w:r>
    </w:p>
    <w:p>
      <w:pPr>
        <w:pStyle w:val="BodyText"/>
      </w:pPr>
      <w:r>
        <w:t xml:space="preserve">Las solicitudes llegaron tras un fin de semana difícil. Una importante empresa tecnológica había advertido que los ingresos trimestrales no cumplirían las expectativas. Los mercados internacionales habían caído fuertemente, los rendimientos del Tesoro habían subido, y los futuros de índices indicaban que las acciones estadounidenses podrían abrir con una caída superior al 2 por ciento. Varias de las mayores posiciones del fondo probablemente estarían entre los valores más negociados en la apertura de la campana.</w:t>
      </w:r>
    </w:p>
    <w:p>
      <w:pPr>
        <w:pStyle w:val="BodyText"/>
      </w:pPr>
      <w:r>
        <w:t xml:space="preserve">El fondo mantenía $246 million en efectivo y letras del Tesoro, equivalentes al 2.9 por ciento de los activos netos. Marquez podía satisfacer gran parte de la demanda de rescate conocida sin vender acciones, pero hacerlo dejaría poca liquidez para retiros adicionales. Podía obtener más efectivo de inmediato, pero vender en un mercado en caída podría fijar precios desfavorables y alterar la cartera. Mantener una reserva de efectivo permanente más grande reduciría este riesgo, pero también podría hacer que el fondo quedara rezagado frente a su índice de referencia durante los mercados alcistas.</w:t>
      </w:r>
    </w:p>
    <w:tbl>
      <w:tblPr>
        <w:tblStyle w:val="Table"/>
        <w:tblW w:type="auto" w:w="0"/>
        <w:tblLook w:firstRow="0" w:lastRow="0" w:firstColumn="0" w:lastColumn="0" w:noHBand="0" w:noVBand="0" w:val="0000"/>
      </w:tblPr>
      <w:tblGrid>
        <w:gridCol w:w="7920"/>
      </w:tblGrid>
      <w:tr>
        <w:tc>
          <w:tcPr/>
          <w:p>
            <w:pPr>
              <w:pStyle w:val="Compact"/>
            </w:pPr>
            <w:r>
              <w:t xml:space="preserve">Summit Ridge no necesitaba decidir si el efectivo era útil. Tenía que decidir cuánta liquidez era suficiente, cuándo obtenerla y qué inversores debían asumir el costo cuando los flujos obligaran a la cartera a negociar.</w:t>
            </w:r>
          </w:p>
        </w:tc>
      </w:tr>
    </w:tbl>
    <w:p>
      <w:r>
        <w:pict>
          <v:rect style="width:0;height:1.5pt" o:hralign="center" o:hrstd="t" o:hr="t"/>
        </w:pict>
      </w:r>
    </w:p>
    <w:bookmarkEnd w:id="9"/>
    <w:bookmarkStart w:id="11" w:name="summit-ridge-y-el-select-equity-fund"/>
    <w:p>
      <w:pPr>
        <w:pStyle w:val="Heading1"/>
      </w:pPr>
      <w:r>
        <w:t xml:space="preserve">Summit Ridge y el Select Equity Fund</w:t>
      </w:r>
    </w:p>
    <w:p>
      <w:pPr>
        <w:pStyle w:val="FirstParagraph"/>
      </w:pPr>
      <w:r>
        <w:t xml:space="preserve">Summit Ridge era un gestor de inversiones de propiedad privada con $41 billion bajo gestión distribuidos en fondos mutuos, cuentas administradas por separado y productos de jubilación. El Select Equity Fund era su estrategia insignia, y mantenía una cartera concentrada de empresas estadounidenses grandes y medianas. Había producido sólidos resultados a largo plazo, pero el desempeño reciente había sido irregular a medida que los inversores se movían entre acciones de crecimiento, sectores defensivos, bonos y fondos del mercado monetario.</w:t>
      </w:r>
    </w:p>
    <w:p>
      <w:pPr>
        <w:pStyle w:val="BodyText"/>
      </w:pPr>
      <w:r>
        <w:t xml:space="preserve">La industria de fondos mutuos de EE. UU. era enorme. Los fondos mutuos de largo plazo mantenían aproximadamente $25.3 trillion en activos en mayo de 2026, incluyendo aproximadamente $17.8 trillion en fondos de renta variable y $5.7 trillion en fondos de bonos. El tamaño de la industria no eliminó la volatilidad de los flujos. Para la semana que terminó el 15 de julio de 2026, los fondos mutuos de largo plazo experimentaron salidas netas estimadas de $15.43 billion, incluso cuando los fondos cotizados en bolsa reportaron emisión neta. Los activos de los fondos del mercado monetario habían superado los $7 trillion en marzo de 2025, cuando los inversores buscaban liquidez y rendimientos atractivos a corto plazo.</w:t>
      </w:r>
    </w:p>
    <w:p>
      <w:pPr>
        <w:pStyle w:val="BodyText"/>
      </w:pPr>
      <w:r>
        <w:t xml:space="preserve">Los fondos mutuos de tipo abierto estaban obligados a estar preparados para rescatar acciones al valor liquidativo. Summit Ridge, por lo tanto, tenía que convertir parte de la cartera en efectivo cuando los retiros superaban las nuevas compras. Las normas de liquidez de la Comisión de Bolsa y Valores también exigían a los fondos evaluar con qué rapidez podían convertirse las posiciones en efectivo y, cuando correspondiera, mantener un nivel mínimo de inversiones altamente líquidas.</w:t>
      </w:r>
    </w:p>
    <w:bookmarkStart w:id="10" w:name="exhibit-1.-perfil-del-select-equity-fund"/>
    <w:p>
      <w:pPr>
        <w:pStyle w:val="Heading2"/>
      </w:pPr>
      <w:r>
        <w:t xml:space="preserve">Exhibit 1. Perfil del Select Equity Fund</w:t>
      </w:r>
    </w:p>
    <w:tbl>
      <w:tblPr>
        <w:tblStyle w:val="Table"/>
        <w:tblW w:type="pct" w:w="4861"/>
        <w:tblLayout w:type="fixed"/>
        <w:tblLook w:firstRow="1" w:lastRow="0" w:firstColumn="0" w:lastColumn="0" w:noHBand="0" w:noVBand="0" w:val="0020"/>
      </w:tblPr>
      <w:tblGrid>
        <w:gridCol w:w="3630"/>
        <w:gridCol w:w="1980"/>
        <w:gridCol w:w="2090"/>
      </w:tblGrid>
      <w:tr>
        <w:trPr>
          <w:tblHeader w:val="on"/>
        </w:trPr>
        <w:tc>
          <w:tcPr/>
          <w:p>
            <w:pPr>
              <w:pStyle w:val="Compact"/>
              <w:jc w:val="left"/>
            </w:pPr>
            <w:r>
              <w:t xml:space="preserve">Medida</w:t>
            </w:r>
          </w:p>
        </w:tc>
        <w:tc>
          <w:tcPr/>
          <w:p>
            <w:pPr>
              <w:pStyle w:val="Compact"/>
              <w:jc w:val="center"/>
            </w:pPr>
            <w:r>
              <w:t xml:space="preserve">Valor actual</w:t>
            </w:r>
          </w:p>
        </w:tc>
        <w:tc>
          <w:tcPr/>
          <w:p>
            <w:pPr>
              <w:pStyle w:val="Compact"/>
              <w:jc w:val="center"/>
            </w:pPr>
            <w:r>
              <w:t xml:space="preserve">Un año antes</w:t>
            </w:r>
          </w:p>
        </w:tc>
      </w:tr>
      <w:tr>
        <w:tc>
          <w:tcPr/>
          <w:p>
            <w:pPr>
              <w:pStyle w:val="Compact"/>
              <w:jc w:val="left"/>
            </w:pPr>
            <w:r>
              <w:t xml:space="preserve">Activos netos</w:t>
            </w:r>
          </w:p>
        </w:tc>
        <w:tc>
          <w:tcPr/>
          <w:p>
            <w:pPr>
              <w:pStyle w:val="Compact"/>
              <w:jc w:val="center"/>
            </w:pPr>
            <w:r>
              <w:t xml:space="preserve">$8.48 billion</w:t>
            </w:r>
          </w:p>
        </w:tc>
        <w:tc>
          <w:tcPr/>
          <w:p>
            <w:pPr>
              <w:pStyle w:val="Compact"/>
              <w:jc w:val="center"/>
            </w:pPr>
            <w:r>
              <w:t xml:space="preserve">$7.92 billion</w:t>
            </w:r>
          </w:p>
        </w:tc>
      </w:tr>
      <w:tr>
        <w:tc>
          <w:tcPr/>
          <w:p>
            <w:pPr>
              <w:pStyle w:val="Compact"/>
              <w:jc w:val="left"/>
            </w:pPr>
            <w:r>
              <w:t xml:space="preserve">Número de posiciones en cartera</w:t>
            </w:r>
          </w:p>
        </w:tc>
        <w:tc>
          <w:tcPr/>
          <w:p>
            <w:pPr>
              <w:pStyle w:val="Compact"/>
              <w:jc w:val="center"/>
            </w:pPr>
            <w:r>
              <w:t xml:space="preserve">64</w:t>
            </w:r>
          </w:p>
        </w:tc>
        <w:tc>
          <w:tcPr/>
          <w:p>
            <w:pPr>
              <w:pStyle w:val="Compact"/>
              <w:jc w:val="center"/>
            </w:pPr>
            <w:r>
              <w:t xml:space="preserve">61</w:t>
            </w:r>
          </w:p>
        </w:tc>
      </w:tr>
      <w:tr>
        <w:tc>
          <w:tcPr/>
          <w:p>
            <w:pPr>
              <w:pStyle w:val="Compact"/>
              <w:jc w:val="left"/>
            </w:pPr>
            <w:r>
              <w:t xml:space="preserve">Efectivo y letras del Tesoro</w:t>
            </w:r>
          </w:p>
        </w:tc>
        <w:tc>
          <w:tcPr/>
          <w:p>
            <w:pPr>
              <w:pStyle w:val="Compact"/>
              <w:jc w:val="center"/>
            </w:pPr>
            <w:r>
              <w:t xml:space="preserve">$246 million</w:t>
            </w:r>
          </w:p>
        </w:tc>
        <w:tc>
          <w:tcPr/>
          <w:p>
            <w:pPr>
              <w:pStyle w:val="Compact"/>
              <w:jc w:val="center"/>
            </w:pPr>
            <w:r>
              <w:t xml:space="preserve">$332 million</w:t>
            </w:r>
          </w:p>
        </w:tc>
      </w:tr>
      <w:tr>
        <w:tc>
          <w:tcPr/>
          <w:p>
            <w:pPr>
              <w:pStyle w:val="Compact"/>
              <w:jc w:val="left"/>
            </w:pPr>
            <w:r>
              <w:t xml:space="preserve">Efectivo como % de activos netos</w:t>
            </w:r>
          </w:p>
        </w:tc>
        <w:tc>
          <w:tcPr/>
          <w:p>
            <w:pPr>
              <w:pStyle w:val="Compact"/>
              <w:jc w:val="center"/>
            </w:pPr>
            <w:r>
              <w:t xml:space="preserve">2.9%</w:t>
            </w:r>
          </w:p>
        </w:tc>
        <w:tc>
          <w:tcPr/>
          <w:p>
            <w:pPr>
              <w:pStyle w:val="Compact"/>
              <w:jc w:val="center"/>
            </w:pPr>
            <w:r>
              <w:t xml:space="preserve">4.2%</w:t>
            </w:r>
          </w:p>
        </w:tc>
      </w:tr>
      <w:tr>
        <w:tc>
          <w:tcPr/>
          <w:p>
            <w:pPr>
              <w:pStyle w:val="Compact"/>
              <w:jc w:val="left"/>
            </w:pPr>
            <w:r>
              <w:t xml:space="preserve">Diez mayores posiciones</w:t>
            </w:r>
          </w:p>
        </w:tc>
        <w:tc>
          <w:tcPr/>
          <w:p>
            <w:pPr>
              <w:pStyle w:val="Compact"/>
              <w:jc w:val="center"/>
            </w:pPr>
            <w:r>
              <w:t xml:space="preserve">39.6% de activos</w:t>
            </w:r>
          </w:p>
        </w:tc>
        <w:tc>
          <w:tcPr/>
          <w:p>
            <w:pPr>
              <w:pStyle w:val="Compact"/>
              <w:jc w:val="center"/>
            </w:pPr>
            <w:r>
              <w:t xml:space="preserve">37.8% de activos</w:t>
            </w:r>
          </w:p>
        </w:tc>
      </w:tr>
      <w:tr>
        <w:tc>
          <w:tcPr/>
          <w:p>
            <w:pPr>
              <w:pStyle w:val="Compact"/>
              <w:jc w:val="left"/>
            </w:pPr>
            <w:r>
              <w:t xml:space="preserve">Clase institucional de acciones</w:t>
            </w:r>
          </w:p>
        </w:tc>
        <w:tc>
          <w:tcPr/>
          <w:p>
            <w:pPr>
              <w:pStyle w:val="Compact"/>
              <w:jc w:val="center"/>
            </w:pPr>
            <w:r>
              <w:t xml:space="preserve">57% de activos</w:t>
            </w:r>
          </w:p>
        </w:tc>
        <w:tc>
          <w:tcPr/>
          <w:p>
            <w:pPr>
              <w:pStyle w:val="Compact"/>
              <w:jc w:val="center"/>
            </w:pPr>
            <w:r>
              <w:t xml:space="preserve">54% de activos</w:t>
            </w:r>
          </w:p>
        </w:tc>
      </w:tr>
      <w:tr>
        <w:tc>
          <w:tcPr/>
          <w:p>
            <w:pPr>
              <w:pStyle w:val="Compact"/>
              <w:jc w:val="left"/>
            </w:pPr>
            <w:r>
              <w:t xml:space="preserve">Cuentas minoristas y de jubilació</w:t>
            </w:r>
          </w:p>
        </w:tc>
        <w:tc>
          <w:tcPr/>
          <w:p>
            <w:pPr>
              <w:pStyle w:val="Compact"/>
              <w:jc w:val="center"/>
            </w:pPr>
            <w:r>
              <w:t xml:space="preserve">n 43% de activos</w:t>
            </w:r>
          </w:p>
        </w:tc>
        <w:tc>
          <w:tcPr/>
          <w:p>
            <w:pPr>
              <w:pStyle w:val="Compact"/>
              <w:jc w:val="center"/>
            </w:pPr>
            <w:r>
              <w:t xml:space="preserve">46% de activos</w:t>
            </w:r>
          </w:p>
        </w:tc>
      </w:tr>
      <w:tr>
        <w:tc>
          <w:tcPr/>
          <w:p>
            <w:pPr>
              <w:pStyle w:val="Compact"/>
              <w:jc w:val="left"/>
            </w:pPr>
            <w:r>
              <w:t xml:space="preserve">Rendimiento a un año</w:t>
            </w:r>
          </w:p>
        </w:tc>
        <w:tc>
          <w:tcPr/>
          <w:p>
            <w:pPr>
              <w:pStyle w:val="Compact"/>
              <w:jc w:val="center"/>
            </w:pPr>
            <w:r>
              <w:t xml:space="preserve">8.7%</w:t>
            </w:r>
          </w:p>
        </w:tc>
        <w:tc>
          <w:tcPr/>
          <w:p>
            <w:pPr>
              <w:pStyle w:val="Compact"/>
              <w:jc w:val="center"/>
            </w:pPr>
            <w:r>
              <w:t xml:space="preserve">14.9% índice de referencia</w:t>
            </w:r>
          </w:p>
        </w:tc>
      </w:tr>
    </w:tbl>
    <w:p>
      <w:pPr>
        <w:pStyle w:val="BodyText"/>
      </w:pPr>
      <w:r>
        <w:t xml:space="preserve">Fuente: estimaciones internas de Summit Ridge; todas las cifras específicas del fondo son ficticias.</w:t>
      </w:r>
    </w:p>
    <w:bookmarkEnd w:id="10"/>
    <w:bookmarkEnd w:id="11"/>
    <w:bookmarkStart w:id="13" w:name="dos-tipos-de-inversores"/>
    <w:p>
      <w:pPr>
        <w:pStyle w:val="Heading1"/>
      </w:pPr>
      <w:r>
        <w:t xml:space="preserve">Dos tipos de inversores</w:t>
      </w:r>
    </w:p>
    <w:p>
      <w:pPr>
        <w:pStyle w:val="FirstParagraph"/>
      </w:pPr>
      <w:r>
        <w:t xml:space="preserve">El fondo atendía tanto a inversores minoristas como institucionales. Las compras y rescates minoristas llegaban a través de planes de jubilación, plataformas de corretaje, asesores financieros y cuentas directas. Estas órdenes eran numerosas pero generalmente pequeñas. El agente de transferencias a menudo tenía visibilidad parcial durante el día, con totales finales disponibles solo después de que los intermediarios completaran su procesamiento.</w:t>
      </w:r>
    </w:p>
    <w:p>
      <w:pPr>
        <w:pStyle w:val="BodyText"/>
      </w:pPr>
      <w:r>
        <w:t xml:space="preserve">Los inversores institucionales se comportaban de manera diferente. Los planes de pensiones, las fundaciones y las firmas de asesoría a veces movían decenas o cientos de millones de dólares de una sola vez. Algunos avisaban a Summit Ridge con antelación, pero otros esperaban hasta el día de la transacción. Una institución que rescatara $200 million podía cambiar materialmente la posición de efectivo del fondo incluso si miles de inversores minoristas estaban comprando acciones al mismo tiempo.</w:t>
      </w:r>
    </w:p>
    <w:p>
      <w:pPr>
        <w:pStyle w:val="BodyText"/>
      </w:pPr>
      <w:r>
        <w:t xml:space="preserve">Los flujos no eran independientes de los mercados. Un buen desempeño y mercados en alza a menudo atraían compras, permitiendo al equipo de cartera desplegar nuevo efectivo gradualmente. Las caídas del mercado, la publicidad adversa o un período de rendimiento inferior al índice de referencia podían desencadenar rescates precisamente cuando la liquidez era más costosa. Tasas de interés a corto plazo más altas también podían alentar a los inversores a mover dinero de fondos de renta variable a fondos del mercado monetario o fondos de bonos.</w:t>
      </w:r>
    </w:p>
    <w:bookmarkStart w:id="12" w:name="Xe037efda3f311b362c7ac521f8ea4cd35e3892a"/>
    <w:p>
      <w:pPr>
        <w:pStyle w:val="Heading2"/>
      </w:pPr>
      <w:r>
        <w:t xml:space="preserve">Exhibit 2. Flujos diarios recientes de inversores</w:t>
      </w:r>
    </w:p>
    <w:tbl>
      <w:tblPr>
        <w:tblStyle w:val="Table"/>
        <w:tblW w:type="pct" w:w="4899"/>
        <w:tblLayout w:type="fixed"/>
        <w:tblLook w:firstRow="1" w:lastRow="0" w:firstColumn="0" w:lastColumn="0" w:noHBand="0" w:noVBand="0" w:val="0020"/>
      </w:tblPr>
      <w:tblGrid>
        <w:gridCol w:w="1520"/>
        <w:gridCol w:w="1520"/>
        <w:gridCol w:w="2000"/>
        <w:gridCol w:w="1280"/>
        <w:gridCol w:w="1440"/>
      </w:tblGrid>
      <w:tr>
        <w:trPr>
          <w:tblHeader w:val="on"/>
        </w:trPr>
        <w:tc>
          <w:tcPr/>
          <w:p>
            <w:pPr>
              <w:pStyle w:val="Compact"/>
            </w:pPr>
            <w:r>
              <w:t xml:space="preserve">Día de negociación</w:t>
            </w:r>
          </w:p>
        </w:tc>
        <w:tc>
          <w:tcPr/>
          <w:p>
            <w:pPr>
              <w:pStyle w:val="Compact"/>
              <w:jc w:val="right"/>
            </w:pPr>
            <w:r>
              <w:t xml:space="preserve">Flujo neto minori</w:t>
            </w:r>
          </w:p>
        </w:tc>
        <w:tc>
          <w:tcPr/>
          <w:p>
            <w:pPr>
              <w:pStyle w:val="Compact"/>
            </w:pPr>
            <w:r>
              <w:t xml:space="preserve">sta Flujo neto instituc</w:t>
            </w:r>
          </w:p>
        </w:tc>
        <w:tc>
          <w:tcPr/>
          <w:p>
            <w:pPr>
              <w:pStyle w:val="Compact"/>
            </w:pPr>
            <w:r>
              <w:t xml:space="preserve">ional Rendimie</w:t>
            </w:r>
          </w:p>
        </w:tc>
        <w:tc>
          <w:tcPr/>
          <w:p>
            <w:pPr>
              <w:pStyle w:val="Compact"/>
            </w:pPr>
            <w:r>
              <w:t xml:space="preserve">nto del mercado Efectivo al cierre</w:t>
            </w:r>
          </w:p>
        </w:tc>
      </w:tr>
      <w:tr>
        <w:tc>
          <w:tcPr/>
          <w:p>
            <w:pPr>
              <w:pStyle w:val="Compact"/>
            </w:pPr>
            <w:r>
              <w:t xml:space="preserve">Lun., 5 de oct.</w:t>
            </w:r>
          </w:p>
        </w:tc>
        <w:tc>
          <w:tcPr/>
          <w:p>
            <w:pPr>
              <w:pStyle w:val="Compact"/>
              <w:jc w:val="right"/>
            </w:pPr>
            <w:r>
              <w:t xml:space="preserve">+$18M</w:t>
            </w:r>
          </w:p>
        </w:tc>
        <w:tc>
          <w:tcPr/>
          <w:p>
            <w:pPr>
              <w:pStyle w:val="Compact"/>
            </w:pPr>
            <w:r>
              <w:t xml:space="preserve">-$22M</w:t>
            </w:r>
          </w:p>
        </w:tc>
        <w:tc>
          <w:tcPr/>
          <w:p>
            <w:pPr>
              <w:pStyle w:val="Compact"/>
            </w:pPr>
            <w:r>
              <w:t xml:space="preserve">+0.6%</w:t>
            </w:r>
          </w:p>
        </w:tc>
        <w:tc>
          <w:tcPr/>
          <w:p>
            <w:pPr>
              <w:pStyle w:val="Compact"/>
            </w:pPr>
            <w:r>
              <w:t xml:space="preserve">$279M</w:t>
            </w:r>
          </w:p>
        </w:tc>
      </w:tr>
      <w:tr>
        <w:tc>
          <w:tcPr/>
          <w:p>
            <w:pPr>
              <w:pStyle w:val="Compact"/>
            </w:pPr>
            <w:r>
              <w:t xml:space="preserve">Mar., 6 de oct.</w:t>
            </w:r>
          </w:p>
        </w:tc>
        <w:tc>
          <w:tcPr/>
          <w:p>
            <w:pPr>
              <w:pStyle w:val="Compact"/>
              <w:jc w:val="right"/>
            </w:pPr>
            <w:r>
              <w:t xml:space="preserve">-$11M</w:t>
            </w:r>
          </w:p>
        </w:tc>
        <w:tc>
          <w:tcPr/>
          <w:p>
            <w:pPr>
              <w:pStyle w:val="Compact"/>
            </w:pPr>
            <w:r>
              <w:t xml:space="preserve">+$35M</w:t>
            </w:r>
          </w:p>
        </w:tc>
        <w:tc>
          <w:tcPr/>
          <w:p>
            <w:pPr>
              <w:pStyle w:val="Compact"/>
            </w:pPr>
            <w:r>
              <w:t xml:space="preserve">+0.2%</w:t>
            </w:r>
          </w:p>
        </w:tc>
        <w:tc>
          <w:tcPr/>
          <w:p>
            <w:pPr>
              <w:pStyle w:val="Compact"/>
            </w:pPr>
            <w:r>
              <w:t xml:space="preserve">$301M</w:t>
            </w:r>
          </w:p>
        </w:tc>
      </w:tr>
      <w:tr>
        <w:tc>
          <w:tcPr/>
          <w:p>
            <w:pPr>
              <w:pStyle w:val="Compact"/>
            </w:pPr>
            <w:r>
              <w:t xml:space="preserve">Mié., 7 de oct.</w:t>
            </w:r>
          </w:p>
        </w:tc>
        <w:tc>
          <w:tcPr/>
          <w:p>
            <w:pPr>
              <w:pStyle w:val="Compact"/>
              <w:jc w:val="right"/>
            </w:pPr>
            <w:r>
              <w:t xml:space="preserve">-$24M</w:t>
            </w:r>
          </w:p>
        </w:tc>
        <w:tc>
          <w:tcPr/>
          <w:p>
            <w:pPr>
              <w:pStyle w:val="Compact"/>
            </w:pPr>
            <w:r>
              <w:t xml:space="preserve">-$61M</w:t>
            </w:r>
          </w:p>
        </w:tc>
        <w:tc>
          <w:tcPr/>
          <w:p>
            <w:pPr>
              <w:pStyle w:val="Compact"/>
            </w:pPr>
            <w:r>
              <w:t xml:space="preserve">-1.1%</w:t>
            </w:r>
          </w:p>
        </w:tc>
        <w:tc>
          <w:tcPr/>
          <w:p>
            <w:pPr>
              <w:pStyle w:val="Compact"/>
            </w:pPr>
            <w:r>
              <w:t xml:space="preserve">$268M</w:t>
            </w:r>
          </w:p>
        </w:tc>
      </w:tr>
      <w:tr>
        <w:tc>
          <w:tcPr/>
          <w:p>
            <w:pPr>
              <w:pStyle w:val="Compact"/>
            </w:pPr>
            <w:r>
              <w:t xml:space="preserve">Jue., 8 de oct.</w:t>
            </w:r>
          </w:p>
        </w:tc>
        <w:tc>
          <w:tcPr/>
          <w:p>
            <w:pPr>
              <w:pStyle w:val="Compact"/>
              <w:jc w:val="right"/>
            </w:pPr>
            <w:r>
              <w:t xml:space="preserve">+$7M</w:t>
            </w:r>
          </w:p>
        </w:tc>
        <w:tc>
          <w:tcPr/>
          <w:p>
            <w:pPr>
              <w:pStyle w:val="Compact"/>
            </w:pPr>
            <w:r>
              <w:t xml:space="preserve">-$14M</w:t>
            </w:r>
          </w:p>
        </w:tc>
        <w:tc>
          <w:tcPr/>
          <w:p>
            <w:pPr>
              <w:pStyle w:val="Compact"/>
            </w:pPr>
            <w:r>
              <w:t xml:space="preserve">+0.4%</w:t>
            </w:r>
          </w:p>
        </w:tc>
        <w:tc>
          <w:tcPr/>
          <w:p>
            <w:pPr>
              <w:pStyle w:val="Compact"/>
            </w:pPr>
            <w:r>
              <w:t xml:space="preserve">$251M</w:t>
            </w:r>
          </w:p>
        </w:tc>
      </w:tr>
      <w:tr>
        <w:tc>
          <w:tcPr/>
          <w:p>
            <w:pPr>
              <w:pStyle w:val="Compact"/>
            </w:pPr>
            <w:r>
              <w:t xml:space="preserve">Vie., 9 de oct.</w:t>
            </w:r>
          </w:p>
        </w:tc>
        <w:tc>
          <w:tcPr/>
          <w:p>
            <w:pPr>
              <w:pStyle w:val="Compact"/>
              <w:jc w:val="right"/>
            </w:pPr>
            <w:r>
              <w:t xml:space="preserve">-$16M</w:t>
            </w:r>
          </w:p>
        </w:tc>
        <w:tc>
          <w:tcPr/>
          <w:p>
            <w:pPr>
              <w:pStyle w:val="Compact"/>
            </w:pPr>
            <w:r>
              <w:t xml:space="preserve">+$9M</w:t>
            </w:r>
          </w:p>
        </w:tc>
        <w:tc>
          <w:tcPr/>
          <w:p>
            <w:pPr>
              <w:pStyle w:val="Compact"/>
            </w:pPr>
            <w:r>
              <w:t xml:space="preserve">-0.7%</w:t>
            </w:r>
          </w:p>
        </w:tc>
        <w:tc>
          <w:tcPr/>
          <w:p>
            <w:pPr>
              <w:pStyle w:val="Compact"/>
            </w:pPr>
            <w:r>
              <w:t xml:space="preserve">$246M</w:t>
            </w:r>
          </w:p>
        </w:tc>
      </w:tr>
      <w:tr>
        <w:tc>
          <w:tcPr/>
          <w:p>
            <w:pPr>
              <w:pStyle w:val="Compact"/>
            </w:pPr>
            <w:r>
              <w:t xml:space="preserve">Estimación del fin</w:t>
            </w:r>
          </w:p>
        </w:tc>
        <w:tc>
          <w:tcPr/>
          <w:p>
            <w:pPr>
              <w:pStyle w:val="Compact"/>
              <w:jc w:val="right"/>
            </w:pPr>
            <w:r>
              <w:t xml:space="preserve">de semana -$40M</w:t>
            </w:r>
          </w:p>
        </w:tc>
        <w:tc>
          <w:tcPr/>
          <w:p>
            <w:pPr>
              <w:pStyle w:val="Compact"/>
            </w:pPr>
            <w:r>
              <w:t xml:space="preserve">a -$90M -$278</w:t>
            </w:r>
          </w:p>
        </w:tc>
        <w:tc>
          <w:tcPr/>
          <w:p>
            <w:pPr>
              <w:pStyle w:val="Compact"/>
            </w:pPr>
            <w:r>
              <w:t xml:space="preserve">M Futu</w:t>
            </w:r>
          </w:p>
        </w:tc>
        <w:tc>
          <w:tcPr/>
          <w:p>
            <w:pPr>
              <w:pStyle w:val="Compact"/>
            </w:pPr>
            <w:r>
              <w:t xml:space="preserve">ros -2.1% Aún sin liquidar</w:t>
            </w:r>
          </w:p>
        </w:tc>
      </w:tr>
    </w:tbl>
    <w:p>
      <w:pPr>
        <w:pStyle w:val="BodyText"/>
      </w:pPr>
      <w:r>
        <w:t xml:space="preserve">Fuente: panel de flujos de Summit Ridge; ficticio.</w:t>
      </w:r>
    </w:p>
    <w:bookmarkEnd w:id="12"/>
    <w:bookmarkEnd w:id="13"/>
    <w:bookmarkStart w:id="15" w:name="el-costo-de-tener-poco-efectivo"/>
    <w:p>
      <w:pPr>
        <w:pStyle w:val="Heading1"/>
      </w:pPr>
      <w:r>
        <w:t xml:space="preserve">El costo de tener poco efectivo</w:t>
      </w:r>
    </w:p>
    <w:p>
      <w:pPr>
        <w:pStyle w:val="FirstParagraph"/>
      </w:pPr>
      <w:r>
        <w:t xml:space="preserve">Si el efectivo disponible del fondo caía por debajo del monto requerido para los rescates, la mesa de negociación tendría que vender valores. El costo directo incluía comisiones, diferenciales de compra-venta, impuestos en algunos mercados e impacto de mercado. El costo indirecto podía ser mayor. Una venta apresurada podría ocurrir a un precio deprimido, revelar las intenciones de Summit Ridge a otros operadores, o alejar a la cartera de las posiciones preferidas del equipo de inversión.</w:t>
      </w:r>
    </w:p>
    <w:p>
      <w:pPr>
        <w:pStyle w:val="BodyText"/>
      </w:pPr>
      <w:r>
        <w:t xml:space="preserve">El gestor de cartera Victor Hale argumentó que las posiciones más líquidas debían venderse primero porque podían convertirse en efectivo rápidamente y a bajo costo. Marquez se preocupaba de que vender repetidamente los valores más líquidos dejara al resto de la cartera más difícil de negociar. También podría aumentar la concentración en posiciones más pequeñas o sectores que el equipo de inversión no habría elegido sobreponderar.</w:t>
      </w:r>
    </w:p>
    <w:p>
      <w:pPr>
        <w:pStyle w:val="BodyText"/>
      </w:pPr>
      <w:r>
        <w:t xml:space="preserve">La mesa podría en cambio vender posiciones que los analistas consideraban menos atractivas. Ese enfoque podría mejorar la cartera, pero esos valores a veces eran menos líquidos. El juicio de inversión también podría ser incorrecto. Una acción vendida para cumplir con los rescates podría recuperarse al día siguiente, dejando a los accionistas restantes con una pérdida permanente en relación con una estrategia que hubiera mantenido más efectivo.</w:t>
      </w:r>
    </w:p>
    <w:bookmarkStart w:id="14" w:name="X966cbf6f2f0cdc2d995bba1fef0f12eca3d261c"/>
    <w:p>
      <w:pPr>
        <w:pStyle w:val="Heading2"/>
      </w:pPr>
      <w:r>
        <w:t xml:space="preserve">Exhibit 3. Fuentes potenciales de $200 million en efectivo adicional</w:t>
      </w:r>
    </w:p>
    <w:tbl>
      <w:tblPr>
        <w:tblStyle w:val="Table"/>
        <w:tblW w:type="pct" w:w="4923"/>
        <w:tblLayout w:type="fixed"/>
        <w:tblLook w:firstRow="1" w:lastRow="0" w:firstColumn="0" w:lastColumn="0" w:noHBand="0" w:noVBand="0" w:val="0020"/>
      </w:tblPr>
      <w:tblGrid>
        <w:gridCol w:w="2132"/>
        <w:gridCol w:w="1766"/>
        <w:gridCol w:w="2376"/>
        <w:gridCol w:w="1523"/>
      </w:tblGrid>
      <w:tr>
        <w:trPr>
          <w:tblHeader w:val="on"/>
        </w:trPr>
        <w:tc>
          <w:tcPr/>
          <w:p>
            <w:pPr>
              <w:pStyle w:val="Compact"/>
              <w:jc w:val="left"/>
            </w:pPr>
            <w:r>
              <w:t xml:space="preserve">Acción</w:t>
            </w:r>
          </w:p>
        </w:tc>
        <w:tc>
          <w:tcPr/>
          <w:p>
            <w:pPr>
              <w:pStyle w:val="Compact"/>
              <w:jc w:val="right"/>
            </w:pPr>
            <w:r>
              <w:t xml:space="preserve">Costo de negociación estim</w:t>
            </w:r>
          </w:p>
        </w:tc>
        <w:tc>
          <w:tcPr/>
          <w:p>
            <w:pPr>
              <w:pStyle w:val="Compact"/>
            </w:pPr>
            <w:r>
              <w:t xml:space="preserve">ado Efecto en la cartera</w:t>
            </w:r>
          </w:p>
        </w:tc>
        <w:tc>
          <w:tcPr/>
          <w:p>
            <w:pPr>
              <w:pStyle w:val="Compact"/>
              <w:jc w:val="right"/>
            </w:pPr>
            <w:r>
              <w:t xml:space="preserve">Disponibilidad</w:t>
            </w:r>
          </w:p>
        </w:tc>
      </w:tr>
      <w:tr>
        <w:tc>
          <w:tcPr/>
          <w:p>
            <w:pPr>
              <w:pStyle w:val="Compact"/>
              <w:jc w:val="left"/>
            </w:pPr>
            <w:r>
              <w:t xml:space="preserve">Vender futuros de índices / usar su</w:t>
            </w:r>
          </w:p>
        </w:tc>
        <w:tc>
          <w:tcPr/>
          <w:p>
            <w:pPr>
              <w:pStyle w:val="Compact"/>
              <w:jc w:val="right"/>
            </w:pPr>
            <w:r>
              <w:t xml:space="preserve">perposición $0.3M-</w:t>
            </w:r>
            <w:r>
              <w:br/>
            </w:r>
          </w:p>
        </w:tc>
        <w:tc>
          <w:tcPr/>
          <w:p>
            <w:pPr>
              <w:pStyle w:val="Compact"/>
            </w:pPr>
            <w:r>
              <w:t xml:space="preserve">$0.7M Reduce la exposición al</w:t>
            </w:r>
          </w:p>
        </w:tc>
        <w:tc>
          <w:tcPr/>
          <w:p>
            <w:pPr>
              <w:pStyle w:val="Compact"/>
              <w:jc w:val="right"/>
            </w:pPr>
            <w:r>
              <w:t xml:space="preserve">mercado temporalmente Mismo día</w:t>
            </w:r>
          </w:p>
        </w:tc>
      </w:tr>
      <w:tr>
        <w:tc>
          <w:tcPr/>
          <w:p>
            <w:pPr>
              <w:pStyle w:val="Compact"/>
              <w:jc w:val="left"/>
            </w:pPr>
            <w:r>
              <w:t xml:space="preserve">Vender las 10 posiciones más líquid</w:t>
            </w:r>
          </w:p>
        </w:tc>
        <w:tc>
          <w:tcPr/>
          <w:p>
            <w:pPr>
              <w:pStyle w:val="Compact"/>
              <w:jc w:val="right"/>
            </w:pPr>
            <w:r>
              <w:t xml:space="preserve">as $0.8M-$1.5</w:t>
            </w:r>
          </w:p>
        </w:tc>
        <w:tc>
          <w:tcPr/>
          <w:p>
            <w:pPr>
              <w:pStyle w:val="Compact"/>
            </w:pPr>
            <w:r>
              <w:t xml:space="preserve">M Reduce las posiciones cent</w:t>
            </w:r>
          </w:p>
        </w:tc>
        <w:tc>
          <w:tcPr/>
          <w:p>
            <w:pPr>
              <w:pStyle w:val="Compact"/>
              <w:jc w:val="right"/>
            </w:pPr>
            <w:r>
              <w:t xml:space="preserve">rales preferidas Mismo día</w:t>
            </w:r>
          </w:p>
        </w:tc>
      </w:tr>
      <w:tr>
        <w:tc>
          <w:tcPr/>
          <w:p>
            <w:pPr>
              <w:pStyle w:val="Compact"/>
              <w:jc w:val="left"/>
            </w:pPr>
            <w:r>
              <w:t xml:space="preserve">Vender posiciones de menor convicci</w:t>
            </w:r>
          </w:p>
        </w:tc>
        <w:tc>
          <w:tcPr/>
          <w:p>
            <w:pPr>
              <w:pStyle w:val="Compact"/>
              <w:jc w:val="right"/>
            </w:pPr>
            <w:r>
              <w:t xml:space="preserve">ón $1.6M-$3.2M</w:t>
            </w:r>
          </w:p>
        </w:tc>
        <w:tc>
          <w:tcPr/>
          <w:p>
            <w:pPr>
              <w:pStyle w:val="Compact"/>
            </w:pPr>
            <w:r>
              <w:t xml:space="preserve">Puede mejorar la tesis de l</w:t>
            </w:r>
          </w:p>
        </w:tc>
        <w:tc>
          <w:tcPr/>
          <w:p>
            <w:pPr>
              <w:pStyle w:val="Compact"/>
              <w:jc w:val="right"/>
            </w:pPr>
            <w:r>
              <w:t xml:space="preserve">a cartera Uno a tres días</w:t>
            </w:r>
          </w:p>
        </w:tc>
      </w:tr>
      <w:tr>
        <w:tc>
          <w:tcPr/>
          <w:p>
            <w:pPr>
              <w:pStyle w:val="Compact"/>
              <w:jc w:val="left"/>
            </w:pPr>
            <w:r>
              <w:t xml:space="preserve">Utilizar línea de crédito bancaria</w:t>
            </w:r>
          </w:p>
        </w:tc>
        <w:tc>
          <w:tcPr/>
          <w:p>
            <w:pPr>
              <w:pStyle w:val="Compact"/>
              <w:jc w:val="right"/>
            </w:pPr>
            <w:r>
              <w:t xml:space="preserve">$1.1M equivalente</w:t>
            </w:r>
          </w:p>
        </w:tc>
        <w:tc>
          <w:tcPr/>
          <w:p>
            <w:pPr>
              <w:pStyle w:val="Compact"/>
            </w:pPr>
            <w:r>
              <w:t xml:space="preserve">mensual Preserva las posiciones; añ</w:t>
            </w:r>
          </w:p>
        </w:tc>
        <w:tc>
          <w:tcPr/>
          <w:p>
            <w:pPr>
              <w:pStyle w:val="Compact"/>
              <w:jc w:val="right"/>
            </w:pPr>
            <w:r>
              <w:t xml:space="preserve">ade apalancamiento Mismo día si está disponible</w:t>
            </w:r>
          </w:p>
        </w:tc>
      </w:tr>
      <w:tr>
        <w:tc>
          <w:tcPr/>
          <w:p>
            <w:pPr>
              <w:pStyle w:val="Compact"/>
              <w:jc w:val="left"/>
            </w:pPr>
            <w:r>
              <w:t xml:space="preserve">Usar letras del Tesoro a vencer</w:t>
            </w:r>
          </w:p>
        </w:tc>
        <w:tc>
          <w:tcPr/>
          <w:p>
            <w:pPr>
              <w:pStyle w:val="Compact"/>
              <w:jc w:val="right"/>
            </w:pPr>
            <w:r>
              <w:t xml:space="preserve">Mínimo</w:t>
            </w:r>
          </w:p>
        </w:tc>
        <w:tc>
          <w:tcPr/>
          <w:p>
            <w:pPr>
              <w:pStyle w:val="Compact"/>
            </w:pPr>
            <w:r>
              <w:t xml:space="preserve">Reduce el colchón de liquidez</w:t>
            </w:r>
          </w:p>
        </w:tc>
        <w:tc>
          <w:tcPr/>
          <w:p>
            <w:pPr>
              <w:pStyle w:val="Compact"/>
              <w:jc w:val="right"/>
            </w:pPr>
            <w:r>
              <w:t xml:space="preserve">$72M en cinco días</w:t>
            </w:r>
          </w:p>
        </w:tc>
      </w:tr>
      <w:tr>
        <w:tc>
          <w:tcPr/>
          <w:p>
            <w:pPr>
              <w:pStyle w:val="Compact"/>
              <w:jc w:val="left"/>
            </w:pPr>
            <w:r>
              <w:t xml:space="preserve">Retrasar nuevas compras</w:t>
            </w:r>
          </w:p>
        </w:tc>
        <w:tc>
          <w:tcPr/>
          <w:p>
            <w:pPr>
              <w:pStyle w:val="Compact"/>
              <w:jc w:val="right"/>
            </w:pPr>
            <w:r>
              <w:t xml:space="preserve">Costo de oportunidad inc</w:t>
            </w:r>
          </w:p>
        </w:tc>
        <w:tc>
          <w:tcPr/>
          <w:p>
            <w:pPr>
              <w:pStyle w:val="Compact"/>
            </w:pPr>
            <w:r>
              <w:t xml:space="preserve">ierto El efectivo se recupera solo si</w:t>
            </w:r>
          </w:p>
        </w:tc>
        <w:tc>
          <w:tcPr/>
          <w:p>
            <w:pPr>
              <w:pStyle w:val="Compact"/>
              <w:jc w:val="right"/>
            </w:pPr>
            <w:r>
              <w:t xml:space="preserve">llegan entradas Gradual</w:t>
            </w:r>
          </w:p>
        </w:tc>
      </w:tr>
    </w:tbl>
    <w:p>
      <w:pPr>
        <w:pStyle w:val="BodyText"/>
      </w:pPr>
      <w:r>
        <w:t xml:space="preserve">Fuente: estimaciones de negociación y tesorería de Summit Ridge; ficticio. Los costos varían según las condiciones del mercado.</w:t>
      </w:r>
    </w:p>
    <w:bookmarkEnd w:id="14"/>
    <w:bookmarkEnd w:id="15"/>
    <w:bookmarkStart w:id="17" w:name="el-costo-de-tener-demasiado-efectivo"/>
    <w:p>
      <w:pPr>
        <w:pStyle w:val="Heading1"/>
      </w:pPr>
      <w:r>
        <w:t xml:space="preserve">El costo de tener demasiado efectivo</w:t>
      </w:r>
    </w:p>
    <w:p>
      <w:pPr>
        <w:pStyle w:val="FirstParagraph"/>
      </w:pPr>
      <w:r>
        <w:t xml:space="preserve">El efectivo no era gratuito. Durante períodos de tasas de interés a corto plazo elevadas, las letras del Tesoro y los instrumentos del mercado monetario generaban ingresos significativos. Pero el Select Equity Fund se comercializaba como una estrategia de renta variable, y su índice de referencia estaba casi totalmente invertido. Si las acciones subían más rápido que el efectivo, una posición de efectivo persistente crearía un lastre en el desempeño. Una posición de efectivo del tres por ciento reduciría el rendimiento anual en aproximadamente 0.30 puntos porcentuales cuando la renta variable superara al efectivo en 10 puntos porcentuales.</w:t>
      </w:r>
    </w:p>
    <w:p>
      <w:pPr>
        <w:pStyle w:val="BodyText"/>
      </w:pPr>
      <w:r>
        <w:t xml:space="preserve">El efecto parecía pequeño hasta que se comparaba con los competidores. Los consultores de inversión a menudo clasificaban a los gestores según diferencias de desempeño relativamente estrechas. Un 0.30 puntos porcentuales adicionales podía afectar las calificaciones, las búsquedas institucionales, las recomendaciones de asesores, las bonificaciones de empleados y las futuras entradas de capital. Irónicamente, mantener efectivo para protegerse contra los rescates podría contribuir a un bajo rendimiento que causara que más inversores se marcharan.</w:t>
      </w:r>
    </w:p>
    <w:p>
      <w:pPr>
        <w:pStyle w:val="BodyText"/>
      </w:pPr>
      <w:r>
        <w:t xml:space="preserve">El equipo de cartera también enfrentaba el problema opuesto tras grandes entradas de capital. Comprar demasiado rápido podía elevar los precios o forzar compras antes de que los analistas hubieran completado su trabajo. Invertir con demasiada lentitud dejaba al fondo con efectivo no deseado. El equipo tenía que decidir qué valores comprar, con qué rapidez negociar, y si usar futuros de índices como exposición temporal mientras la investigación y la ejecución se ponían al día.</w:t>
      </w:r>
    </w:p>
    <w:bookmarkStart w:id="16" w:name="Xde82e7913afb0c1fcd3f4d93bdd9aaeb2727085"/>
    <w:p>
      <w:pPr>
        <w:pStyle w:val="Heading2"/>
      </w:pPr>
      <w:r>
        <w:t xml:space="preserve">Exhibit 4. Efecto anual ilustrativo de niveles alternativos de efectivo</w:t>
      </w:r>
    </w:p>
    <w:tbl>
      <w:tblPr>
        <w:tblStyle w:val="Table"/>
        <w:tblW w:type="pct" w:w="4912"/>
        <w:tblLayout w:type="fixed"/>
        <w:tblLook w:firstRow="1" w:lastRow="0" w:firstColumn="0" w:lastColumn="0" w:noHBand="0" w:noVBand="0" w:val="0020"/>
      </w:tblPr>
      <w:tblGrid>
        <w:gridCol w:w="1458"/>
        <w:gridCol w:w="2362"/>
        <w:gridCol w:w="1736"/>
        <w:gridCol w:w="2223"/>
      </w:tblGrid>
      <w:tr>
        <w:trPr>
          <w:tblHeader w:val="on"/>
        </w:trPr>
        <w:tc>
          <w:tcPr/>
          <w:p>
            <w:pPr>
              <w:pStyle w:val="Compact"/>
            </w:pPr>
            <w:r>
              <w:t xml:space="preserve">Nivel promedio de efe</w:t>
            </w:r>
          </w:p>
        </w:tc>
        <w:tc>
          <w:tcPr/>
          <w:p>
            <w:pPr>
              <w:pStyle w:val="Compact"/>
            </w:pPr>
            <w:r>
              <w:t xml:space="preserve">ctivo Sobredesempeño de la rent</w:t>
            </w:r>
          </w:p>
        </w:tc>
        <w:tc>
          <w:tcPr/>
          <w:p>
            <w:pPr>
              <w:pStyle w:val="Compact"/>
            </w:pPr>
            <w:r>
              <w:t xml:space="preserve">a variable sobre el efect</w:t>
            </w:r>
          </w:p>
        </w:tc>
        <w:tc>
          <w:tcPr/>
          <w:p>
            <w:pPr>
              <w:pStyle w:val="Compact"/>
            </w:pPr>
            <w:r>
              <w:t xml:space="preserve">ivo Lastre de rendimiento estimado Efectivo disponible en un fondo de $8.5B</w:t>
            </w:r>
          </w:p>
        </w:tc>
      </w:tr>
      <w:tr>
        <w:tc>
          <w:tcPr/>
          <w:p>
            <w:pPr>
              <w:pStyle w:val="Compact"/>
            </w:pPr>
            <w:r>
              <w:t xml:space="preserve">2%</w:t>
            </w:r>
          </w:p>
        </w:tc>
        <w:tc>
          <w:tcPr/>
          <w:p>
            <w:pPr>
              <w:pStyle w:val="Compact"/>
            </w:pPr>
            <w:r>
              <w:t xml:space="preserve">4 puntos porcentuales</w:t>
            </w:r>
          </w:p>
        </w:tc>
        <w:tc>
          <w:tcPr/>
          <w:p>
            <w:pPr>
              <w:pStyle w:val="Compact"/>
            </w:pPr>
            <w:r>
              <w:t xml:space="preserve">0.08 puntos porcentual</w:t>
            </w:r>
          </w:p>
        </w:tc>
        <w:tc>
          <w:tcPr/>
          <w:p>
            <w:pPr>
              <w:pStyle w:val="Compact"/>
            </w:pPr>
            <w:r>
              <w:t xml:space="preserve">es $170M</w:t>
            </w:r>
          </w:p>
        </w:tc>
      </w:tr>
      <w:tr>
        <w:tc>
          <w:tcPr/>
          <w:p>
            <w:pPr>
              <w:pStyle w:val="Compact"/>
            </w:pPr>
            <w:r>
              <w:t xml:space="preserve">3%</w:t>
            </w:r>
          </w:p>
        </w:tc>
        <w:tc>
          <w:tcPr/>
          <w:p>
            <w:pPr>
              <w:pStyle w:val="Compact"/>
            </w:pPr>
            <w:r>
              <w:t xml:space="preserve">6 puntos porcentuales</w:t>
            </w:r>
          </w:p>
        </w:tc>
        <w:tc>
          <w:tcPr/>
          <w:p>
            <w:pPr>
              <w:pStyle w:val="Compact"/>
            </w:pPr>
            <w:r>
              <w:t xml:space="preserve">0.18 puntos porcentual</w:t>
            </w:r>
          </w:p>
        </w:tc>
        <w:tc>
          <w:tcPr/>
          <w:p>
            <w:pPr>
              <w:pStyle w:val="Compact"/>
            </w:pPr>
            <w:r>
              <w:t xml:space="preserve">es $255M</w:t>
            </w:r>
          </w:p>
        </w:tc>
      </w:tr>
      <w:tr>
        <w:tc>
          <w:tcPr/>
          <w:p>
            <w:pPr>
              <w:pStyle w:val="Compact"/>
            </w:pPr>
            <w:r>
              <w:t xml:space="preserve">4%</w:t>
            </w:r>
          </w:p>
        </w:tc>
        <w:tc>
          <w:tcPr/>
          <w:p>
            <w:pPr>
              <w:pStyle w:val="Compact"/>
            </w:pPr>
            <w:r>
              <w:t xml:space="preserve">8 puntos porcentuales</w:t>
            </w:r>
          </w:p>
        </w:tc>
        <w:tc>
          <w:tcPr/>
          <w:p>
            <w:pPr>
              <w:pStyle w:val="Compact"/>
            </w:pPr>
            <w:r>
              <w:t xml:space="preserve">0.32 puntos porcentual</w:t>
            </w:r>
          </w:p>
        </w:tc>
        <w:tc>
          <w:tcPr/>
          <w:p>
            <w:pPr>
              <w:pStyle w:val="Compact"/>
            </w:pPr>
            <w:r>
              <w:t xml:space="preserve">es $340M</w:t>
            </w:r>
          </w:p>
        </w:tc>
      </w:tr>
      <w:tr>
        <w:tc>
          <w:tcPr/>
          <w:p>
            <w:pPr>
              <w:pStyle w:val="Compact"/>
            </w:pPr>
            <w:r>
              <w:t xml:space="preserve">5%</w:t>
            </w:r>
          </w:p>
        </w:tc>
        <w:tc>
          <w:tcPr/>
          <w:p>
            <w:pPr>
              <w:pStyle w:val="Compact"/>
            </w:pPr>
            <w:r>
              <w:t xml:space="preserve">10 puntos porcentuales</w:t>
            </w:r>
          </w:p>
        </w:tc>
        <w:tc>
          <w:tcPr/>
          <w:p>
            <w:pPr>
              <w:pStyle w:val="Compact"/>
            </w:pPr>
            <w:r>
              <w:t xml:space="preserve">0.50 puntos porcentual</w:t>
            </w:r>
          </w:p>
        </w:tc>
        <w:tc>
          <w:tcPr/>
          <w:p>
            <w:pPr>
              <w:pStyle w:val="Compact"/>
            </w:pPr>
            <w:r>
              <w:t xml:space="preserve">es $425M</w:t>
            </w:r>
          </w:p>
        </w:tc>
      </w:tr>
      <w:tr>
        <w:tc>
          <w:tcPr/>
          <w:p>
            <w:pPr>
              <w:pStyle w:val="Compact"/>
            </w:pPr>
            <w:r>
              <w:t xml:space="preserve">7%</w:t>
            </w:r>
          </w:p>
        </w:tc>
        <w:tc>
          <w:tcPr/>
          <w:p>
            <w:pPr>
              <w:pStyle w:val="Compact"/>
            </w:pPr>
            <w:r>
              <w:t xml:space="preserve">12 puntos porcentuales</w:t>
            </w:r>
          </w:p>
        </w:tc>
        <w:tc>
          <w:tcPr/>
          <w:p>
            <w:pPr>
              <w:pStyle w:val="Compact"/>
            </w:pPr>
            <w:r>
              <w:t xml:space="preserve">0.84 puntos porcentual</w:t>
            </w:r>
          </w:p>
        </w:tc>
        <w:tc>
          <w:tcPr/>
          <w:p>
            <w:pPr>
              <w:pStyle w:val="Compact"/>
            </w:pPr>
            <w:r>
              <w:t xml:space="preserve">es $595M</w:t>
            </w:r>
          </w:p>
        </w:tc>
      </w:tr>
    </w:tbl>
    <w:p>
      <w:pPr>
        <w:pStyle w:val="BodyText"/>
      </w:pPr>
      <w:r>
        <w:t xml:space="preserve">Fuente: cálculos ilustrativos. Los resultados reales dependen de los rendimientos del mercado, las tasas de interés y el momento oportuno.</w:t>
      </w:r>
    </w:p>
    <w:bookmarkEnd w:id="16"/>
    <w:bookmarkEnd w:id="17"/>
    <w:bookmarkStart w:id="19" w:name="pronósticos-y-alertas-tempranas"/>
    <w:p>
      <w:pPr>
        <w:pStyle w:val="Heading1"/>
      </w:pPr>
      <w:r>
        <w:t xml:space="preserve">Pronósticos y alertas tempranas</w:t>
      </w:r>
    </w:p>
    <w:p>
      <w:pPr>
        <w:pStyle w:val="FirstParagraph"/>
      </w:pPr>
      <w:r>
        <w:t xml:space="preserve">El equipo de tesorería de Summit Ridge producía pronósticos diarios de flujos utilizando el comportamiento histórico de los inversores, informes de intermediarios, contribuciones de jubilación de fin de mes, fechas fiscales, movimientos del mercado y actividad institucional conocida. El modelo funcionaba razonablemente bien durante mercados normales, pero sus errores más grandes ocurrían durante los períodos en que el efectivo era más valioso. Un pronóstico diseñado en torno al comportamiento diario promedio no podía anticipar de manera confiable que un plan de pensiones cambiara de gestores o que un consultor colocara al fondo en una lista de vigilancia.</w:t>
      </w:r>
    </w:p>
    <w:p>
      <w:pPr>
        <w:pStyle w:val="BodyText"/>
      </w:pPr>
      <w:r>
        <w:t xml:space="preserve">La directora de datos Nina Shah propuso obtener información más oportuna de las plataformas de distribución y pedir a los clientes institucionales indicaciones anticipadas no vinculantes sobre movimientos importantes. Algunas plataformas podían proporcionar estimaciones intradía, pero cobraban tarifas y cubrían solo parte del fondo. Las instituciones eran reacias a revelar intenciones que pudieran afectar la forma en que se manejaran sus operaciones. El equipo de cumplimiento advirtió contra dar a clientes favorecidos información o trato que pudiera perjudicar a otros accionistas.</w:t>
      </w:r>
    </w:p>
    <w:p>
      <w:pPr>
        <w:pStyle w:val="BodyText"/>
      </w:pPr>
      <w:r>
        <w:t xml:space="preserve">El director financiero Aaron Bell propuso una reserva de liquidez formal vinculada a la volatilidad reciente de los flujos y a la liquidez de la cartera. Hale objetó que una regla fija mantendría un exceso de efectivo en mercados tranquilos y aun así sería inadecuada durante una corrida genuina. Prefería el juicio del gestor, respaldado por análisis de escenarios y una línea de crédito. Los directores independientes del fondo querían un proceso que pudieran entender, supervisar y defender después de los hechos.</w:t>
      </w:r>
    </w:p>
    <w:bookmarkStart w:id="18" w:name="exhibit-5.-alternativas-de-gestión"/>
    <w:p>
      <w:pPr>
        <w:pStyle w:val="Heading2"/>
      </w:pPr>
      <w:r>
        <w:t xml:space="preserve">Exhibit 5. Alternativas de gestión</w:t>
      </w:r>
    </w:p>
    <w:tbl>
      <w:tblPr>
        <w:tblStyle w:val="Table"/>
        <w:tblW w:type="pct" w:w="4925"/>
        <w:tblLayout w:type="fixed"/>
        <w:tblLook w:firstRow="1" w:lastRow="0" w:firstColumn="0" w:lastColumn="0" w:noHBand="0" w:noVBand="0" w:val="0020"/>
      </w:tblPr>
      <w:tblGrid>
        <w:gridCol w:w="2381"/>
        <w:gridCol w:w="2560"/>
        <w:gridCol w:w="2858"/>
      </w:tblGrid>
      <w:tr>
        <w:trPr>
          <w:tblHeader w:val="on"/>
        </w:trPr>
        <w:tc>
          <w:tcPr/>
          <w:p>
            <w:pPr>
              <w:pStyle w:val="Compact"/>
              <w:jc w:val="left"/>
            </w:pPr>
            <w:r>
              <w:t xml:space="preserve">Alternativa</w:t>
            </w:r>
          </w:p>
        </w:tc>
        <w:tc>
          <w:tcPr/>
          <w:p>
            <w:pPr>
              <w:pStyle w:val="Compact"/>
              <w:jc w:val="center"/>
            </w:pPr>
            <w:r>
              <w:t xml:space="preserve">Ventaja potencial</w:t>
            </w:r>
          </w:p>
        </w:tc>
        <w:tc>
          <w:tcPr/>
          <w:p>
            <w:pPr>
              <w:pStyle w:val="Compact"/>
              <w:jc w:val="center"/>
            </w:pPr>
            <w:r>
              <w:t xml:space="preserve">Riesgo o compensación principal</w:t>
            </w:r>
          </w:p>
        </w:tc>
      </w:tr>
      <w:tr>
        <w:tc>
          <w:tcPr/>
          <w:p>
            <w:pPr>
              <w:pStyle w:val="Compact"/>
              <w:jc w:val="left"/>
            </w:pPr>
            <w:r>
              <w:t xml:space="preserve">Aumentar el objetivo de efectivo del 3%</w:t>
            </w:r>
          </w:p>
        </w:tc>
        <w:tc>
          <w:tcPr/>
          <w:p>
            <w:pPr>
              <w:pStyle w:val="Compact"/>
              <w:jc w:val="center"/>
            </w:pPr>
            <w:r>
              <w:t xml:space="preserve">al 5% Mayor protección frente a re</w:t>
            </w:r>
          </w:p>
        </w:tc>
        <w:tc>
          <w:tcPr/>
          <w:p>
            <w:pPr>
              <w:pStyle w:val="Compact"/>
              <w:jc w:val="center"/>
            </w:pPr>
            <w:r>
              <w:t xml:space="preserve">tiros repentinos Lastre persistente en el rendimiento</w:t>
            </w:r>
          </w:p>
        </w:tc>
      </w:tr>
      <w:tr>
        <w:tc>
          <w:tcPr/>
          <w:p>
            <w:pPr>
              <w:pStyle w:val="Compact"/>
              <w:jc w:val="left"/>
            </w:pPr>
            <w:r>
              <w:t xml:space="preserve">Mantener 3% de efectivo más línea de cré</w:t>
            </w:r>
          </w:p>
        </w:tc>
        <w:tc>
          <w:tcPr/>
          <w:p>
            <w:pPr>
              <w:pStyle w:val="Compact"/>
              <w:jc w:val="center"/>
            </w:pPr>
            <w:r>
              <w:t xml:space="preserve">dito Liquidez sin efectivo permanent</w:t>
            </w:r>
          </w:p>
        </w:tc>
        <w:tc>
          <w:tcPr/>
          <w:p>
            <w:pPr>
              <w:pStyle w:val="Compact"/>
              <w:jc w:val="center"/>
            </w:pPr>
            <w:r>
              <w:t xml:space="preserve">e Costo de endeudamiento y disponibilidad en momentos de tensión del mercado</w:t>
            </w:r>
          </w:p>
        </w:tc>
      </w:tr>
      <w:tr>
        <w:tc>
          <w:tcPr/>
          <w:p>
            <w:pPr>
              <w:pStyle w:val="Compact"/>
              <w:jc w:val="left"/>
            </w:pPr>
            <w:r>
              <w:t xml:space="preserve">Usar un objetivo de efectivo dinámico</w:t>
            </w:r>
          </w:p>
        </w:tc>
        <w:tc>
          <w:tcPr/>
          <w:p>
            <w:pPr>
              <w:pStyle w:val="Compact"/>
              <w:jc w:val="center"/>
            </w:pPr>
            <w:r>
              <w:t xml:space="preserve">Responde a los flujos y a la</w:t>
            </w:r>
          </w:p>
        </w:tc>
        <w:tc>
          <w:tcPr/>
          <w:p>
            <w:pPr>
              <w:pStyle w:val="Compact"/>
              <w:jc w:val="center"/>
            </w:pPr>
            <w:r>
              <w:t xml:space="preserve">s condiciones del mercado Error del modelo y negociación frecuente</w:t>
            </w:r>
          </w:p>
        </w:tc>
      </w:tr>
      <w:tr>
        <w:tc>
          <w:tcPr/>
          <w:p>
            <w:pPr>
              <w:pStyle w:val="Compact"/>
              <w:jc w:val="left"/>
            </w:pPr>
            <w:r>
              <w:t xml:space="preserve">Mantener una escalera más grande de letr</w:t>
            </w:r>
          </w:p>
        </w:tc>
        <w:tc>
          <w:tcPr/>
          <w:p>
            <w:pPr>
              <w:pStyle w:val="Compact"/>
              <w:jc w:val="center"/>
            </w:pPr>
            <w:r>
              <w:t xml:space="preserve">as del Tesoro Vencimientos e ing</w:t>
            </w:r>
          </w:p>
        </w:tc>
        <w:tc>
          <w:tcPr/>
          <w:p>
            <w:pPr>
              <w:pStyle w:val="Compact"/>
              <w:jc w:val="center"/>
            </w:pPr>
            <w:r>
              <w:t xml:space="preserve">resos predecibles Puede no coincidir con rescates el mismo día</w:t>
            </w:r>
          </w:p>
        </w:tc>
      </w:tr>
      <w:tr>
        <w:tc>
          <w:tcPr/>
          <w:p>
            <w:pPr>
              <w:pStyle w:val="Compact"/>
              <w:jc w:val="left"/>
            </w:pPr>
            <w:r>
              <w:t xml:space="preserve">Aumentar el uso de futuros de índices</w:t>
            </w:r>
          </w:p>
        </w:tc>
        <w:tc>
          <w:tcPr/>
          <w:p>
            <w:pPr>
              <w:pStyle w:val="Compact"/>
              <w:jc w:val="center"/>
            </w:pPr>
            <w:r>
              <w:t xml:space="preserve">Mantiene la exposición al mercado</w:t>
            </w:r>
          </w:p>
        </w:tc>
        <w:tc>
          <w:tcPr/>
          <w:p>
            <w:pPr>
              <w:pStyle w:val="Compact"/>
              <w:jc w:val="center"/>
            </w:pPr>
            <w:r>
              <w:t xml:space="preserve">mientras se conserva efectivo Riesgos de base, margen y contraparte</w:t>
            </w:r>
          </w:p>
        </w:tc>
      </w:tr>
      <w:tr>
        <w:tc>
          <w:tcPr/>
          <w:p>
            <w:pPr>
              <w:pStyle w:val="Compact"/>
              <w:jc w:val="left"/>
            </w:pPr>
            <w:r>
              <w:t xml:space="preserve">Buscar mejor información sobre flujos de</w:t>
            </w:r>
          </w:p>
        </w:tc>
        <w:tc>
          <w:tcPr/>
          <w:p>
            <w:pPr>
              <w:pStyle w:val="Compact"/>
              <w:jc w:val="center"/>
            </w:pPr>
            <w:r>
              <w:t xml:space="preserve">inversores Puede reducir el erro</w:t>
            </w:r>
          </w:p>
        </w:tc>
        <w:tc>
          <w:tcPr/>
          <w:p>
            <w:pPr>
              <w:pStyle w:val="Compact"/>
              <w:jc w:val="center"/>
            </w:pPr>
            <w:r>
              <w:t xml:space="preserve">r de pronóstico Costo, cobertura incompleta, resistencia de los clientes</w:t>
            </w:r>
          </w:p>
        </w:tc>
      </w:tr>
      <w:tr>
        <w:tc>
          <w:tcPr/>
          <w:p>
            <w:pPr>
              <w:pStyle w:val="Compact"/>
              <w:jc w:val="left"/>
            </w:pPr>
            <w:r>
              <w:t xml:space="preserve">Rediseñar la cartera hacia la liquidez</w:t>
            </w:r>
          </w:p>
        </w:tc>
        <w:tc>
          <w:tcPr/>
          <w:p>
            <w:pPr>
              <w:pStyle w:val="Compact"/>
              <w:jc w:val="center"/>
            </w:pPr>
            <w:r>
              <w:t xml:space="preserve">Menor costo de las ventas forzad</w:t>
            </w:r>
          </w:p>
        </w:tc>
        <w:tc>
          <w:tcPr/>
          <w:p>
            <w:pPr>
              <w:pStyle w:val="Compact"/>
              <w:jc w:val="center"/>
            </w:pPr>
            <w:r>
              <w:t xml:space="preserve">as Puede limitar la estrategia de inversión</w:t>
            </w:r>
          </w:p>
        </w:tc>
      </w:tr>
    </w:tbl>
    <w:p>
      <w:pPr>
        <w:pStyle w:val="BodyText"/>
      </w:pPr>
      <w:r>
        <w:t xml:space="preserve">Fuente: propuestas de gestión de Summit Ridge; ficticio.</w:t>
      </w:r>
    </w:p>
    <w:bookmarkEnd w:id="18"/>
    <w:bookmarkEnd w:id="19"/>
    <w:bookmarkStart w:id="20" w:name="lunes-a-las-830"/>
    <w:p>
      <w:pPr>
        <w:pStyle w:val="Heading1"/>
      </w:pPr>
      <w:r>
        <w:t xml:space="preserve">Lunes a las 8:30</w:t>
      </w:r>
    </w:p>
    <w:p>
      <w:pPr>
        <w:pStyle w:val="FirstParagraph"/>
      </w:pPr>
      <w:r>
        <w:t xml:space="preserve">A las 8:20 a.m., el agente de transferencias aumentó el total estimado de rescates a $347 million. Un cliente institucional había confirmado un retiro de $178 million. Un segundo había solicitado información de liquidación pero no había presentado formalmente su orden. Los flujos minoristas eran negativos, aunque la estimación aún era inestable. El banco del fondo confirmó que seguía disponible una línea de crédito comprometida de $250 million, sujeta a costos de endeudamiento y requisitos de garantía.</w:t>
      </w:r>
    </w:p>
    <w:p>
      <w:pPr>
        <w:pStyle w:val="BodyText"/>
      </w:pPr>
      <w:r>
        <w:t xml:space="preserve">Marquez tenía que autorizar el plan de apertura antes de que comenzaran a operar los mercados. Podía usar la mayor parte del efectivo del fondo, comenzar a vender posiciones centrales líquidas, vender posiciones de menor convicción, endeudarse contra la línea de crédito, o combinar estas acciones. También tenía que decidir si obtener efectivo adicional más allá de los rescates conocidos en anticipación a más retiros. Cada elección dependía de eventos que se desarrollarían después de que se tomara la decisión.</w:t>
      </w:r>
    </w:p>
    <w:p>
      <w:pPr>
        <w:pStyle w:val="BodyText"/>
      </w:pPr>
      <w:r>
        <w:t xml:space="preserve">La pregunta más amplia permanecería después del lunes. Summit Ridge necesitaba un proceso repetible para entradas ordinarias, rescates institucionales inesperados, shocks de mercado y períodos de retiros sostenidos. Sin embargo, un proceso que protegiera al fondo durante una crisis podría debilitar el desempeño en mercados normales, alterar la estrategia de inversión o desplazar los costos de negociación entre accionistas que entraban y salían en diferentes momentos.</w:t>
      </w:r>
    </w:p>
    <w:p>
      <w:pPr>
        <w:pStyle w:val="BodyText"/>
      </w:pPr>
      <w:r>
        <w:t xml:space="preserve">A las 8:28 a.m., los futuros cayeron medio punto porcentual más. Marquez miró el panel de efectivo, la lista de negociación y el mensaje de la segunda institución. El mercado abriría en dos minutos.</w:t>
      </w:r>
    </w:p>
    <w:bookmarkEnd w:id="20"/>
    <w:bookmarkStart w:id="21" w:name="preguntas-de-discusión"/>
    <w:p>
      <w:pPr>
        <w:pStyle w:val="Heading1"/>
      </w:pPr>
      <w:r>
        <w:t xml:space="preserve">Preguntas de discusión</w:t>
      </w:r>
    </w:p>
    <w:p>
      <w:pPr>
        <w:numPr>
          <w:ilvl w:val="0"/>
          <w:numId w:val="1001"/>
        </w:numPr>
      </w:pPr>
      <w:r>
        <w:t xml:space="preserve">¿Cuál es el problema central que enfrenta Marquez el lunes por la mañana?</w:t>
      </w:r>
    </w:p>
    <w:p>
      <w:pPr>
        <w:numPr>
          <w:ilvl w:val="0"/>
          <w:numId w:val="1001"/>
        </w:numPr>
      </w:pPr>
      <w:r>
        <w:t xml:space="preserve">¿Cuánto peso debería dar Summit Ridge a los rescates conocidos frente a posibles retiros adicionales?</w:t>
      </w:r>
    </w:p>
    <w:p>
      <w:pPr>
        <w:numPr>
          <w:ilvl w:val="0"/>
          <w:numId w:val="1001"/>
        </w:numPr>
      </w:pPr>
      <w:r>
        <w:t xml:space="preserve">¿Cuáles son las consecuencias de mantener demasiado poco efectivo? ¿Cuáles son las consecuencias de mantener demasiado?</w:t>
      </w:r>
    </w:p>
    <w:p>
      <w:pPr>
        <w:numPr>
          <w:ilvl w:val="0"/>
          <w:numId w:val="1001"/>
        </w:numPr>
      </w:pPr>
      <w:r>
        <w:t xml:space="preserve">¿Qué valores debería vender primero el fondo cuando necesita obtener efectivo?</w:t>
      </w:r>
    </w:p>
    <w:p>
      <w:pPr>
        <w:numPr>
          <w:ilvl w:val="0"/>
          <w:numId w:val="1001"/>
        </w:numPr>
      </w:pPr>
      <w:r>
        <w:t xml:space="preserve">¿Cuándo, si acaso, debería el fondo usar su línea de crédito en lugar de vender posiciones de la cartera?</w:t>
      </w:r>
    </w:p>
    <w:p>
      <w:pPr>
        <w:numPr>
          <w:ilvl w:val="0"/>
          <w:numId w:val="1001"/>
        </w:numPr>
      </w:pPr>
      <w:r>
        <w:t xml:space="preserve">¿Cómo deberían las diferencias entre inversores minoristas e institucionales influir en la planificación de efectivo?</w:t>
      </w:r>
    </w:p>
    <w:p>
      <w:pPr>
        <w:numPr>
          <w:ilvl w:val="0"/>
          <w:numId w:val="1001"/>
        </w:numPr>
      </w:pPr>
      <w:r>
        <w:t xml:space="preserve">¿Qué información mejoraría más la capacidad de Summit Ridge para anticipar los flujos de inversores?</w:t>
      </w:r>
    </w:p>
    <w:p>
      <w:pPr>
        <w:numPr>
          <w:ilvl w:val="0"/>
          <w:numId w:val="1001"/>
        </w:numPr>
      </w:pPr>
      <w:r>
        <w:t xml:space="preserve">¿Un objetivo de efectivo fijo, una regla dinámica, o el juicio del gestor proporcionarían el proceso más sólido?</w:t>
      </w:r>
    </w:p>
    <w:p>
      <w:pPr>
        <w:numPr>
          <w:ilvl w:val="0"/>
          <w:numId w:val="1001"/>
        </w:numPr>
      </w:pPr>
      <w:r>
        <w:t xml:space="preserve">¿Cómo debería el fondo tener en cuenta las condiciones del mercado y las tasas de interés al establecer su posición de liquidez?</w:t>
      </w:r>
    </w:p>
    <w:p>
      <w:pPr>
        <w:numPr>
          <w:ilvl w:val="0"/>
          <w:numId w:val="1001"/>
        </w:numPr>
      </w:pPr>
      <w:r>
        <w:t xml:space="preserve">¿Cómo debería Summit Ridge evaluar si su proceso de gestión de efectivo está protegiendo de manera justa a los accionistas restantes?</w:t>
      </w:r>
    </w:p>
    <w:bookmarkEnd w:id="21"/>
    <w:bookmarkStart w:id="27" w:name="preguntas-de-encuadre-de-decisión"/>
    <w:p>
      <w:pPr>
        <w:pStyle w:val="Heading1"/>
      </w:pPr>
      <w:r>
        <w:t xml:space="preserve">Preguntas de encuadre de decisión</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2">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(morado).</w:t>
      </w:r>
    </w:p>
    <w:p>
      <w:pPr>
        <w:numPr>
          <w:ilvl w:val="0"/>
          <w:numId w:val="1002"/>
        </w:numPr>
      </w:pPr>
      <w:r>
        <w:t xml:space="preserve">Use la</w:t>
      </w:r>
      <w:r>
        <w:t xml:space="preserve"> </w:t>
      </w:r>
      <w:hyperlink r:id="rId23">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4">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ninguno (blanco).</w:t>
      </w:r>
    </w:p>
    <w:p>
      <w:pPr>
        <w:numPr>
          <w:ilvl w:val="0"/>
          <w:numId w:val="1002"/>
        </w:numPr>
      </w:pPr>
      <w:r>
        <w:t xml:space="preserve">Puede tomar el asa (tres barras) más a la izquierda en cada fila para moverla hacia arriba o hacia abajo. Ordene las filas de modo que las decisiones con el mayor impacto en las métricas más importantes queden hacia arriba. Las celdas en la esquina superior izquierda deberían tener la mayor concentración de celdas rojas y naranjas. En este punto, identifique las decisiones que deberían recibir la mayor atención en su estudio. Si no tiene ninguna decisión con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5">
        <w:r>
          <w:rPr>
            <w:rStyle w:val="Hyperlink"/>
          </w:rPr>
          <w:t xml:space="preserve">herramienta de priorización de incertidumbre</w:t>
        </w:r>
      </w:hyperlink>
      <w:r>
        <w:t xml:space="preserve">. Use las</w:t>
      </w:r>
      <w:r>
        <w:t xml:space="preserve"> </w:t>
      </w:r>
      <w:hyperlink r:id="rId26">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7"/>
    <w:bookmarkStart w:id="30" w:name="notas-de-chatgpt"/>
    <w:p>
      <w:pPr>
        <w:pStyle w:val="Heading1"/>
      </w:pPr>
      <w:r>
        <w:t xml:space="preserve">Notas de ChatGPT</w:t>
      </w:r>
    </w:p>
    <w:bookmarkStart w:id="28" w:name="prompt"/>
    <w:p>
      <w:pPr>
        <w:pStyle w:val="Heading2"/>
      </w:pPr>
      <w:r>
        <w:t xml:space="preserve">Prompt</w:t>
      </w:r>
    </w:p>
    <w:p>
      <w:pPr>
        <w:pStyle w:val="FirstParagraph"/>
      </w:pPr>
      <w:r>
        <w:t xml:space="preserve">Escriba un estudio de caso de 4 a 6 páginas basado en el material de la sección en https://warrenpowell.org/bridging-vol1/chapter-2/#mutual-fund-cash-management. Cree un contexto basado en las métricas, decisiones e incertidumbres de la sección, pero sin llamar explícitamente la atención sobre ellas. Motive su problema de caso con datos.</w:t>
      </w:r>
    </w:p>
    <w:bookmarkEnd w:id="28"/>
    <w:bookmarkStart w:id="29" w:name="resumen"/>
    <w:p>
      <w:pPr>
        <w:pStyle w:val="Heading2"/>
      </w:pPr>
      <w:r>
        <w:t xml:space="preserve">Resumen</w:t>
      </w:r>
    </w:p>
    <w:p>
      <w:pPr>
        <w:pStyle w:val="FirstParagraph"/>
      </w:pPr>
      <w:r>
        <w:t xml:space="preserve">El caso presenta un fondo mutuo de renta variable ficticio que enfrenta un gran rescate institucional después de un shock de mercado durante el fin de semana. La gerencia debe decidir cuánto efectivo retener, si pedir prestado o vender valores, qué posiciones negociar, y cómo prepararse para retiros adicionales sin crear un lastre persistente en el desempeño de la inversión.</w:t>
      </w:r>
    </w:p>
    <w:p>
      <w:pPr>
        <w:pStyle w:val="BodyText"/>
      </w:pPr>
      <w:r>
        <w:t xml:space="preserve">El entorno se basa en la sección especificada sobre gestión de efectivo de fondos mutuos, incluyendo la tensión entre mantener un exceso de efectivo y verse forzado a liquidar inversiones cuando llegan los rescates. Está motivado por datos de la industria que muestran aproximadamente</w:t>
      </w:r>
      <w:r>
        <w:t xml:space="preserve"> </w:t>
      </w:r>
      <w:r>
        <w:rPr>
          <w:b/>
          <w:bCs/>
        </w:rPr>
        <w:t xml:space="preserve">$25.3 trillion</w:t>
      </w:r>
      <w:r>
        <w:t xml:space="preserve"> </w:t>
      </w:r>
      <w:r>
        <w:t xml:space="preserve">en activos de fondos mutuos de largo plazo en EE. UU. en mayo de 2026, salidas semanales estimadas de fondos mutuos de</w:t>
      </w:r>
      <w:r>
        <w:t xml:space="preserve"> </w:t>
      </w:r>
      <w:r>
        <w:rPr>
          <w:b/>
          <w:bCs/>
        </w:rPr>
        <w:t xml:space="preserve">$15.43 billion</w:t>
      </w:r>
      <w:r>
        <w:t xml:space="preserve"> </w:t>
      </w:r>
      <w:r>
        <w:t xml:space="preserve">en julio de 2026, y activos del mercado monetario que superan los</w:t>
      </w:r>
      <w:r>
        <w:t xml:space="preserve"> </w:t>
      </w:r>
      <w:r>
        <w:rPr>
          <w:b/>
          <w:bCs/>
        </w:rPr>
        <w:t xml:space="preserve">$7 trillion</w:t>
      </w:r>
      <w:r>
        <w:t xml:space="preserve"> </w:t>
      </w:r>
      <w:r>
        <w:t xml:space="preserve">en marzo de 2025.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2026-09-11T15:31:56Z</dcterms:created>
  <dcterms:modified xsi:type="dcterms:W3CDTF">2026-09-11T15:31:56Z</dcterms:modified>
</cp:coreProperties>
</file>

<file path=docProps/custom.xml><?xml version="1.0" encoding="utf-8"?>
<Properties xmlns="http://schemas.openxmlformats.org/officeDocument/2006/custom-properties" xmlns:vt="http://schemas.openxmlformats.org/officeDocument/2006/docPropsVTypes"/>
</file>