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ASTERION THERAPEUTICS</w:t>
      </w:r>
    </w:p>
    <w:p>
      <w:pPr>
        <w:pStyle w:val="BodyText"/>
      </w:pPr>
      <w:r>
        <w:t xml:space="preserve">L’horloge du recrutement</w:t>
      </w:r>
    </w:p>
    <w:p>
      <w:pPr>
        <w:pStyle w:val="BodyText"/>
      </w:pPr>
      <w:r>
        <w:t xml:space="preserve">Une étude de cas sur le développement clinique portant sur les preuves, le recrutement, la sécurité, et le coût de l’attente</w:t>
      </w:r>
    </w:p>
    <w:p>
      <w:pPr>
        <w:pStyle w:val="BodyText"/>
      </w:pPr>
      <w:r>
        <w:t xml:space="preserve">Cette étude de cas est fictive et destinée à un usage pédagogique. Les noms, événements, produits et données d’entreprise sont inventés ; les statistiques publiques sont citées dans la note de source.</w:t>
      </w:r>
    </w:p>
    <w:bookmarkStart w:id="10" w:name="X851f83a4e4a4d85ae0879e470942314a9c0d08d"/>
    <w:p>
      <w:pPr>
        <w:pStyle w:val="Heading1"/>
      </w:pPr>
      <w:r>
        <w:t xml:space="preserve">Une thérapie prometteuse avec une fenêtre étroite</w:t>
      </w:r>
    </w:p>
    <w:p>
      <w:pPr>
        <w:pStyle w:val="FirstParagraph"/>
      </w:pPr>
      <w:r>
        <w:t xml:space="preserve">À 7h15 un mardi matin de mars 2027, Maya Chen, directrice du développement chez Asterion Therapeutics, ouvrit le rapport intermédiaire de l’AST-417, une thérapie injectable pour la fibrose pulmonaire progressive. L’entreprise avait passé six ans et 214 millions de dollars à faire progresser le composé depuis les travaux de laboratoire jusqu’à deux études cliniques précoces. Asterion disposait désormais de preuves suffisantes pour croire que la thérapie pouvait ralentir la perte de fonction pulmonaire, mais pas assez de preuves pour savoir si le bénéfice serait cliniquement convaincant, durable, ou suffisamment large pour justifier une approbation.</w:t>
      </w:r>
    </w:p>
    <w:p>
      <w:pPr>
        <w:pStyle w:val="BodyText"/>
      </w:pPr>
      <w:r>
        <w:t xml:space="preserve">La décision ne pouvait être séparée du temps. Asterion disposait de 31 mois de trésorerie à son taux de dépense actuel, mais un programme pivot complet pourrait consommer la majeure partie de cette réserve. La protection par brevet s’érodait déjà, un concurrent plus important avait annoncé un essai connexe, et le fabricant sous contrat de l’entreprise avait besoin d’un engagement de capacité dans un délai de six semaines. Retarder produirait plus d’informations, mais cela coûterait aussi de l’argent, des patients, des options de fabrication et peut-être une position sur le marché.</w:t>
      </w:r>
    </w:p>
    <w:bookmarkStart w:id="9" w:name="X93312030b58a78780419b949ffd523ec3fb68fd"/>
    <w:p>
      <w:pPr>
        <w:pStyle w:val="Heading2"/>
      </w:pPr>
      <w:r>
        <w:t xml:space="preserve">Exhibit 1. Position de développement de l’AST-417</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t xml:space="preserve">Élément</w:t>
            </w:r>
          </w:p>
        </w:tc>
        <w:tc>
          <w:tcPr/>
          <w:p>
            <w:pPr>
              <w:pStyle w:val="Compact"/>
              <w:jc w:val="left"/>
            </w:pPr>
            <w:r>
              <w:t xml:space="preserve">Position actuelle</w:t>
            </w:r>
          </w:p>
        </w:tc>
        <w:tc>
          <w:tcPr/>
          <w:p>
            <w:pPr>
              <w:pStyle w:val="Compact"/>
              <w:jc w:val="left"/>
            </w:pPr>
            <w:r>
              <w:t xml:space="preserve">Préoccupation de la direction</w:t>
            </w:r>
          </w:p>
        </w:tc>
      </w:tr>
      <w:tr>
        <w:tc>
          <w:tcPr/>
          <w:p>
            <w:pPr>
              <w:pStyle w:val="Compact"/>
              <w:jc w:val="left"/>
            </w:pPr>
            <w:r>
              <w:t xml:space="preserve">Étape de développement</w:t>
            </w:r>
          </w:p>
        </w:tc>
        <w:tc>
          <w:tcPr/>
          <w:p>
            <w:pPr>
              <w:pStyle w:val="Compact"/>
              <w:jc w:val="left"/>
            </w:pPr>
            <w:r>
              <w:t xml:space="preserve">Examen intermédiaire de phase IIb</w:t>
            </w:r>
          </w:p>
        </w:tc>
        <w:tc>
          <w:tcPr/>
          <w:p>
            <w:pPr>
              <w:pStyle w:val="Compact"/>
              <w:jc w:val="left"/>
            </w:pPr>
            <w:r>
              <w:t xml:space="preserve">Si les preuves sont suffisamment solides pour concevoir une étude pivot</w:t>
            </w:r>
          </w:p>
        </w:tc>
      </w:tr>
      <w:tr>
        <w:tc>
          <w:tcPr/>
          <w:p>
            <w:pPr>
              <w:pStyle w:val="Compact"/>
              <w:jc w:val="left"/>
            </w:pPr>
            <w:r>
              <w:t xml:space="preserve">Patients randomisés</w:t>
            </w:r>
          </w:p>
        </w:tc>
        <w:tc>
          <w:tcPr/>
          <w:p>
            <w:pPr>
              <w:pStyle w:val="Compact"/>
              <w:jc w:val="left"/>
            </w:pPr>
            <w:r>
              <w:t xml:space="preserve">186 sur 240 prévus</w:t>
            </w:r>
          </w:p>
        </w:tc>
        <w:tc>
          <w:tcPr/>
          <w:p>
            <w:pPr>
              <w:pStyle w:val="Compact"/>
              <w:jc w:val="left"/>
            </w:pPr>
            <w:r>
              <w:t xml:space="preserve">Le recrutement est en retard de 7 mois par rapport au plan</w:t>
            </w:r>
          </w:p>
        </w:tc>
      </w:tr>
      <w:tr>
        <w:tc>
          <w:tcPr/>
          <w:p>
            <w:pPr>
              <w:pStyle w:val="Compact"/>
              <w:jc w:val="left"/>
            </w:pPr>
            <w:r>
              <w:t xml:space="preserve">Bras de traitement</w:t>
            </w:r>
          </w:p>
        </w:tc>
        <w:tc>
          <w:tcPr/>
          <w:p>
            <w:pPr>
              <w:pStyle w:val="Compact"/>
              <w:jc w:val="left"/>
            </w:pPr>
            <w:r>
              <w:t xml:space="preserve">Dose élevée, dose faible, placebo</w:t>
            </w:r>
          </w:p>
        </w:tc>
        <w:tc>
          <w:tcPr/>
          <w:p>
            <w:pPr>
              <w:pStyle w:val="Compact"/>
              <w:jc w:val="left"/>
            </w:pPr>
            <w:r>
              <w:t xml:space="preserve">Le schéma de dose-réponse n’est pas encore clair</w:t>
            </w:r>
          </w:p>
        </w:tc>
      </w:tr>
      <w:tr>
        <w:tc>
          <w:tcPr/>
          <w:p>
            <w:pPr>
              <w:pStyle w:val="Compact"/>
              <w:jc w:val="left"/>
            </w:pPr>
            <w:r>
              <w:t xml:space="preserve">Trésorerie et placements</w:t>
            </w:r>
          </w:p>
        </w:tc>
        <w:tc>
          <w:tcPr/>
          <w:p>
            <w:pPr>
              <w:pStyle w:val="Compact"/>
              <w:jc w:val="left"/>
            </w:pPr>
            <w:r>
              <w:t xml:space="preserve">318 millions de dollars</w:t>
            </w:r>
          </w:p>
        </w:tc>
        <w:tc>
          <w:tcPr/>
          <w:p>
            <w:pPr>
              <w:pStyle w:val="Compact"/>
              <w:jc w:val="left"/>
            </w:pPr>
            <w:r>
              <w:t xml:space="preserve">Plusieurs conceptions d’essai pourraient nécessiter un financement supplémentaire</w:t>
            </w:r>
          </w:p>
        </w:tc>
      </w:tr>
      <w:tr>
        <w:tc>
          <w:tcPr/>
          <w:p>
            <w:pPr>
              <w:pStyle w:val="Compact"/>
              <w:jc w:val="left"/>
            </w:pPr>
            <w:r>
              <w:t xml:space="preserve">Expiration de brevet estim</w:t>
            </w:r>
          </w:p>
        </w:tc>
        <w:tc>
          <w:tcPr/>
          <w:p>
            <w:pPr>
              <w:pStyle w:val="Compact"/>
              <w:jc w:val="left"/>
            </w:pPr>
            <w:r>
              <w:t xml:space="preserve">ée 2034</w:t>
            </w:r>
          </w:p>
        </w:tc>
        <w:tc>
          <w:tcPr/>
          <w:p>
            <w:pPr>
              <w:pStyle w:val="Compact"/>
              <w:jc w:val="left"/>
            </w:pPr>
            <w:r>
              <w:t xml:space="preserve">La durée de vie commerciale se réduit avec chaque retard</w:t>
            </w:r>
          </w:p>
        </w:tc>
      </w:tr>
      <w:tr>
        <w:tc>
          <w:tcPr/>
          <w:p>
            <w:pPr>
              <w:pStyle w:val="Compact"/>
              <w:jc w:val="left"/>
            </w:pPr>
            <w:r>
              <w:t xml:space="preserve">Programmes concurrents</w:t>
            </w:r>
          </w:p>
        </w:tc>
        <w:tc>
          <w:tcPr/>
          <w:p>
            <w:pPr>
              <w:pStyle w:val="Compact"/>
              <w:jc w:val="left"/>
            </w:pPr>
            <w:r>
              <w:t xml:space="preserve">Trois, dont un de phase III</w:t>
            </w:r>
          </w:p>
        </w:tc>
        <w:tc>
          <w:tcPr/>
          <w:p>
            <w:pPr>
              <w:pStyle w:val="Compact"/>
              <w:jc w:val="left"/>
            </w:pPr>
            <w:r>
              <w:t xml:space="preserve">L’attention des médecins et des investigateurs pourrait se déplacer</w:t>
            </w:r>
          </w:p>
        </w:tc>
      </w:tr>
    </w:tbl>
    <w:p/>
    <w:tbl>
      <w:tblPr>
        <w:tblStyle w:val="Table"/>
        <w:tblW w:type="auto" w:w="0"/>
        <w:tblLook w:firstRow="0" w:lastRow="0" w:firstColumn="0" w:lastColumn="0" w:noHBand="0" w:noVBand="0" w:val="0000"/>
      </w:tblPr>
      <w:tblGrid>
        <w:gridCol w:w="7920"/>
      </w:tblGrid>
      <w:tr>
        <w:tc>
          <w:tcPr/>
          <w:p>
            <w:pPr>
              <w:pStyle w:val="Compact"/>
            </w:pPr>
            <w:r>
              <w:t xml:space="preserve">Asterion devait décider non seulement si l’AST-417 devait continuer, mais aussi quelles preuves recueillir ensuite, où les recueillir, combien de patients rechercher, et quelle part de l’entreprise mettre en jeu avant de connaître la réponse.</w:t>
            </w:r>
          </w:p>
        </w:tc>
      </w:tr>
    </w:tbl>
    <w:p>
      <w:r>
        <w:pict>
          <v:rect style="width:0;height:1.5pt" o:hralign="center" o:hrstd="t" o:hr="t"/>
        </w:pict>
      </w:r>
    </w:p>
    <w:bookmarkEnd w:id="9"/>
    <w:bookmarkEnd w:id="10"/>
    <w:bookmarkStart w:id="12" w:name="les-preuves-intermédiaires"/>
    <w:p>
      <w:pPr>
        <w:pStyle w:val="Heading1"/>
      </w:pPr>
      <w:r>
        <w:t xml:space="preserve">Les preuves intermédiaires</w:t>
      </w:r>
    </w:p>
    <w:p>
      <w:pPr>
        <w:pStyle w:val="FirstParagraph"/>
      </w:pPr>
      <w:r>
        <w:t xml:space="preserve">L’AST-417 était destiné aux patients dont la maladie continuait à progresser malgré la thérapie existante. Le protocole de phase IIb mesurait le changement de la capacité vitale forcée après 24 semaines, ainsi que la tolérance à l’exercice, la difficulté respiratoire signalée par les patients, les hospitalisations, les marqueurs de laboratoire et les événements indésirables. Les investigateurs s’attendaient à ce que la dose élevée montre le bénéfice le plus clair. Au lieu de cela, le groupe à faible dose avait produit le résultat moyen le plus fort, tandis que le groupe à dose élevée comprenait à la fois des répondeurs spectaculaires et plusieurs patients ayant arrêté le traitement.</w:t>
      </w:r>
    </w:p>
    <w:p>
      <w:pPr>
        <w:pStyle w:val="BodyText"/>
      </w:pPr>
      <w:r>
        <w:t xml:space="preserve">Les moyennes masquaient d’importantes différences. Les patients diagnostiqués au cours des deux années précédentes semblaient s’améliorer davantage que les patients atteints d’une maladie avancée. Les résultats variaient également selon la région et selon que les patients restaient ou non sous thérapie de fond. Les résultats de sous-groupes étaient scientifiquement plausibles, mais l’essai n’avait pas été conçu pour les prouver. Restreindre la prochaine étude aux répondeurs apparents pourrait augmenter la probabilité d’un résultat positif, mais cela pourrait aussi réduire le marché potentiel et rendre le recrutement plus difficile.</w:t>
      </w:r>
    </w:p>
    <w:bookmarkStart w:id="11" w:name="X1160d1c9661a7604e8b38a0b8ab347eda0df77e"/>
    <w:p>
      <w:pPr>
        <w:pStyle w:val="Heading2"/>
      </w:pPr>
      <w:r>
        <w:t xml:space="preserve">Exhibit 2. Résultats intermédiaires à la semaine 24</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t xml:space="preserve">Mesure</w:t>
            </w:r>
          </w:p>
        </w:tc>
        <w:tc>
          <w:tcPr/>
          <w:p>
            <w:pPr>
              <w:pStyle w:val="Compact"/>
              <w:jc w:val="center"/>
            </w:pPr>
            <w:r>
              <w:t xml:space="preserve">Placebo</w:t>
            </w:r>
          </w:p>
        </w:tc>
        <w:tc>
          <w:tcPr/>
          <w:p>
            <w:pPr>
              <w:pStyle w:val="Compact"/>
              <w:jc w:val="right"/>
            </w:pPr>
            <w:r>
              <w:t xml:space="preserve">Dose faible</w:t>
            </w:r>
          </w:p>
        </w:tc>
        <w:tc>
          <w:tcPr/>
          <w:p>
            <w:pPr>
              <w:pStyle w:val="Compact"/>
              <w:jc w:val="right"/>
            </w:pPr>
            <w:r>
              <w:t xml:space="preserve">Dose élevée</w:t>
            </w:r>
          </w:p>
        </w:tc>
      </w:tr>
      <w:tr>
        <w:tc>
          <w:tcPr/>
          <w:p>
            <w:pPr>
              <w:pStyle w:val="Compact"/>
              <w:jc w:val="left"/>
            </w:pPr>
            <w:r>
              <w:t xml:space="preserve">Changement moyen de la mesure de fonction pulmonai</w:t>
            </w:r>
          </w:p>
        </w:tc>
        <w:tc>
          <w:tcPr/>
          <w:p>
            <w:pPr>
              <w:pStyle w:val="Compact"/>
              <w:jc w:val="center"/>
            </w:pPr>
            <w:r>
              <w:t xml:space="preserve">re -126 mL</w:t>
            </w:r>
          </w:p>
        </w:tc>
        <w:tc>
          <w:tcPr/>
          <w:p>
            <w:pPr>
              <w:pStyle w:val="Compact"/>
              <w:jc w:val="right"/>
            </w:pPr>
            <w:r>
              <w:t xml:space="preserve">-71 mL</w:t>
            </w:r>
          </w:p>
        </w:tc>
        <w:tc>
          <w:tcPr/>
          <w:p>
            <w:pPr>
              <w:pStyle w:val="Compact"/>
              <w:jc w:val="right"/>
            </w:pPr>
            <w:r>
              <w:t xml:space="preserve">-82 mL</w:t>
            </w:r>
          </w:p>
        </w:tc>
      </w:tr>
      <w:tr>
        <w:tc>
          <w:tcPr/>
          <w:p>
            <w:pPr>
              <w:pStyle w:val="Compact"/>
              <w:jc w:val="left"/>
            </w:pPr>
            <w:r>
              <w:t xml:space="preserve">Patients avec amélioration cliniquement significat</w:t>
            </w:r>
          </w:p>
        </w:tc>
        <w:tc>
          <w:tcPr/>
          <w:p>
            <w:pPr>
              <w:pStyle w:val="Compact"/>
              <w:jc w:val="center"/>
            </w:pPr>
            <w:r>
              <w:t xml:space="preserve">ive 14%</w:t>
            </w:r>
          </w:p>
        </w:tc>
        <w:tc>
          <w:tcPr/>
          <w:p>
            <w:pPr>
              <w:pStyle w:val="Compact"/>
              <w:jc w:val="right"/>
            </w:pPr>
            <w:r>
              <w:t xml:space="preserve">28%</w:t>
            </w:r>
          </w:p>
        </w:tc>
        <w:tc>
          <w:tcPr/>
          <w:p>
            <w:pPr>
              <w:pStyle w:val="Compact"/>
              <w:jc w:val="right"/>
            </w:pPr>
            <w:r>
              <w:t xml:space="preserve">25%</w:t>
            </w:r>
          </w:p>
        </w:tc>
      </w:tr>
      <w:tr>
        <w:tc>
          <w:tcPr/>
          <w:p>
            <w:pPr>
              <w:pStyle w:val="Compact"/>
              <w:jc w:val="left"/>
            </w:pPr>
            <w:r>
              <w:t xml:space="preserve">Traitement d’étude interrompu</w:t>
            </w:r>
          </w:p>
        </w:tc>
        <w:tc>
          <w:tcPr/>
          <w:p>
            <w:pPr>
              <w:pStyle w:val="Compact"/>
              <w:jc w:val="center"/>
            </w:pPr>
            <w:r>
              <w:t xml:space="preserve">8%</w:t>
            </w:r>
          </w:p>
        </w:tc>
        <w:tc>
          <w:tcPr/>
          <w:p>
            <w:pPr>
              <w:pStyle w:val="Compact"/>
              <w:jc w:val="right"/>
            </w:pPr>
            <w:r>
              <w:t xml:space="preserve">11%</w:t>
            </w:r>
          </w:p>
        </w:tc>
        <w:tc>
          <w:tcPr/>
          <w:p>
            <w:pPr>
              <w:pStyle w:val="Compact"/>
              <w:jc w:val="right"/>
            </w:pPr>
            <w:r>
              <w:t xml:space="preserve">19%</w:t>
            </w:r>
          </w:p>
        </w:tc>
      </w:tr>
      <w:tr>
        <w:tc>
          <w:tcPr/>
          <w:p>
            <w:pPr>
              <w:pStyle w:val="Compact"/>
              <w:jc w:val="left"/>
            </w:pPr>
            <w:r>
              <w:t xml:space="preserve">Événements indésirables graves</w:t>
            </w:r>
          </w:p>
        </w:tc>
        <w:tc>
          <w:tcPr/>
          <w:p>
            <w:pPr>
              <w:pStyle w:val="Compact"/>
              <w:jc w:val="center"/>
            </w:pPr>
            <w:r>
              <w:t xml:space="preserve">7%</w:t>
            </w:r>
          </w:p>
        </w:tc>
        <w:tc>
          <w:tcPr/>
          <w:p>
            <w:pPr>
              <w:pStyle w:val="Compact"/>
              <w:jc w:val="right"/>
            </w:pPr>
            <w:r>
              <w:t xml:space="preserve">8%</w:t>
            </w:r>
          </w:p>
        </w:tc>
        <w:tc>
          <w:tcPr/>
          <w:p>
            <w:pPr>
              <w:pStyle w:val="Compact"/>
              <w:jc w:val="right"/>
            </w:pPr>
            <w:r>
              <w:t xml:space="preserve">12%</w:t>
            </w:r>
          </w:p>
        </w:tc>
      </w:tr>
      <w:tr>
        <w:tc>
          <w:tcPr/>
          <w:p>
            <w:pPr>
              <w:pStyle w:val="Compact"/>
              <w:jc w:val="left"/>
            </w:pPr>
            <w:r>
              <w:t xml:space="preserve">Durée moyenne de perfusion</w:t>
            </w:r>
          </w:p>
        </w:tc>
        <w:tc>
          <w:tcPr/>
          <w:p>
            <w:pPr>
              <w:pStyle w:val="Compact"/>
              <w:jc w:val="center"/>
            </w:pPr>
            <w:r>
              <w:t xml:space="preserve">—</w:t>
            </w:r>
          </w:p>
        </w:tc>
        <w:tc>
          <w:tcPr/>
          <w:p>
            <w:pPr>
              <w:pStyle w:val="Compact"/>
              <w:jc w:val="right"/>
            </w:pPr>
            <w:r>
              <w:t xml:space="preserve">52 minutes</w:t>
            </w:r>
          </w:p>
        </w:tc>
        <w:tc>
          <w:tcPr/>
          <w:p>
            <w:pPr>
              <w:pStyle w:val="Compact"/>
              <w:jc w:val="right"/>
            </w:pPr>
            <w:r>
              <w:t xml:space="preserve">54 minutes</w:t>
            </w:r>
          </w:p>
        </w:tc>
      </w:tr>
    </w:tbl>
    <w:p>
      <w:pPr>
        <w:pStyle w:val="BodyText"/>
      </w:pPr>
      <w:r>
        <w:t xml:space="preserve">Le comité de sécurité indépendant n’avait pas recommandé l’arrêt de l’étude. Il avait toutefois demandé une surveillance plus étroite des enzymes hépatiques et des réactions à la perfusion. Sept patients sous dose élevée avaient présenté des anomalies de laboratoire temporaires, et deux avaient été hospitalisés après des réactions sévères. Les investigateurs n’étaient pas d’accord sur le fait de savoir si les événements reflétaient le médicament, la maladie sous-jacente des patients, ou l’interaction avec d’autres médicaments.</w:t>
      </w:r>
    </w:p>
    <w:bookmarkEnd w:id="11"/>
    <w:bookmarkEnd w:id="12"/>
    <w:bookmarkStart w:id="14" w:name="le-problème-de-recrutement"/>
    <w:p>
      <w:pPr>
        <w:pStyle w:val="Heading1"/>
      </w:pPr>
      <w:r>
        <w:t xml:space="preserve">Le problème de recrutement</w:t>
      </w:r>
    </w:p>
    <w:p>
      <w:pPr>
        <w:pStyle w:val="FirstParagraph"/>
      </w:pPr>
      <w:r>
        <w:t xml:space="preserve">Le plan initial supposait que chaque site actif recruterait 0,55 patient par mois. Le taux réel était de 0,31. Certains hôpitaux dépistaient de nombreux patients mais en recrutaient peu car les règles d’éligibilité excluaient les personnes atteintes de maladie rénale, d’infections récentes, de médication de fond instable, ou de maladie soit trop légère soit trop avancée. Les pneumologues communautaires étaient réticents à référer des patients vers des centres académiques, craignant de perdre la relation à long terme. Les patients faisaient face à des déplacements répétés, des tests invasifs, et une chance sur trois de recevoir le placebo.</w:t>
      </w:r>
    </w:p>
    <w:p>
      <w:pPr>
        <w:pStyle w:val="BodyText"/>
      </w:pPr>
      <w:r>
        <w:t xml:space="preserve">L’équipe des opérations cliniques d’Asterion a proposé d’ouvrir 28 sites hospitaliers supplémentaires et huit centres de recherche dédiés dans des espaces ambulatoires louvés. L’équipe médicale préférait moins de sites mais plus expérimentés. Un groupe de défense des patients plaidait pour des soins infirmiers à domicile, une aide au transport, et des évaluations à distance. Chaque approche modifiait le taux de recrutement attendu, la cohérence des données, et le coût de l’étude.</w:t>
      </w:r>
    </w:p>
    <w:bookmarkStart w:id="13" w:name="Xa774ddfa8a92d39723fcc5e3809109ad6eb4c1a"/>
    <w:p>
      <w:pPr>
        <w:pStyle w:val="Heading2"/>
      </w:pPr>
      <w:r>
        <w:t xml:space="preserve">Exhibit 3. Entonnoir de recrutement et performance des sites</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t xml:space="preserve">Activité</w:t>
            </w:r>
          </w:p>
        </w:tc>
        <w:tc>
          <w:tcPr/>
          <w:p>
            <w:pPr>
              <w:pStyle w:val="Compact"/>
            </w:pPr>
            <w:r>
              <w:t xml:space="preserve">Depuis le lancem</w:t>
            </w:r>
          </w:p>
        </w:tc>
        <w:tc>
          <w:tcPr/>
          <w:p>
            <w:pPr>
              <w:pStyle w:val="Compact"/>
            </w:pPr>
            <w:r>
              <w:t xml:space="preserve">ent Pourcentage de l’étape précédente</w:t>
            </w:r>
          </w:p>
        </w:tc>
      </w:tr>
      <w:tr>
        <w:tc>
          <w:tcPr/>
          <w:p>
            <w:pPr>
              <w:pStyle w:val="Compact"/>
              <w:jc w:val="left"/>
            </w:pPr>
            <w:r>
              <w:t xml:space="preserve">Dossiers de patients préliminairement ident</w:t>
            </w:r>
          </w:p>
        </w:tc>
        <w:tc>
          <w:tcPr/>
          <w:p>
            <w:pPr>
              <w:pStyle w:val="Compact"/>
            </w:pPr>
            <w:r>
              <w:t xml:space="preserve">ifiés 4 860</w:t>
            </w:r>
          </w:p>
        </w:tc>
        <w:tc>
          <w:tcPr/>
          <w:p>
            <w:pPr>
              <w:pStyle w:val="Compact"/>
            </w:pPr>
            <w:r>
              <w:t xml:space="preserve">—</w:t>
            </w:r>
          </w:p>
        </w:tc>
      </w:tr>
      <w:tr>
        <w:tc>
          <w:tcPr/>
          <w:p>
            <w:pPr>
              <w:pStyle w:val="Compact"/>
              <w:jc w:val="left"/>
            </w:pPr>
            <w:r>
              <w:t xml:space="preserve">Patients contactés ou référés</w:t>
            </w:r>
          </w:p>
        </w:tc>
        <w:tc>
          <w:tcPr/>
          <w:p>
            <w:pPr>
              <w:pStyle w:val="Compact"/>
            </w:pPr>
            <w:r>
              <w:t xml:space="preserve">1 940</w:t>
            </w:r>
          </w:p>
        </w:tc>
        <w:tc>
          <w:tcPr/>
          <w:p>
            <w:pPr>
              <w:pStyle w:val="Compact"/>
            </w:pPr>
            <w:r>
              <w:t xml:space="preserve">40%</w:t>
            </w:r>
          </w:p>
        </w:tc>
      </w:tr>
      <w:tr>
        <w:tc>
          <w:tcPr/>
          <w:p>
            <w:pPr>
              <w:pStyle w:val="Compact"/>
              <w:jc w:val="left"/>
            </w:pPr>
            <w:r>
              <w:t xml:space="preserve">Patients consentant au dépistage</w:t>
            </w:r>
          </w:p>
        </w:tc>
        <w:tc>
          <w:tcPr/>
          <w:p>
            <w:pPr>
              <w:pStyle w:val="Compact"/>
            </w:pPr>
            <w:r>
              <w:t xml:space="preserve">612</w:t>
            </w:r>
          </w:p>
        </w:tc>
        <w:tc>
          <w:tcPr/>
          <w:p>
            <w:pPr>
              <w:pStyle w:val="Compact"/>
            </w:pPr>
            <w:r>
              <w:t xml:space="preserve">32%</w:t>
            </w:r>
          </w:p>
        </w:tc>
      </w:tr>
      <w:tr>
        <w:tc>
          <w:tcPr/>
          <w:p>
            <w:pPr>
              <w:pStyle w:val="Compact"/>
              <w:jc w:val="left"/>
            </w:pPr>
            <w:r>
              <w:t xml:space="preserve">Patients répondant aux critères d’éligibili</w:t>
            </w:r>
          </w:p>
        </w:tc>
        <w:tc>
          <w:tcPr/>
          <w:p>
            <w:pPr>
              <w:pStyle w:val="Compact"/>
            </w:pPr>
            <w:r>
              <w:t xml:space="preserve">té 274</w:t>
            </w:r>
          </w:p>
        </w:tc>
        <w:tc>
          <w:tcPr/>
          <w:p>
            <w:pPr>
              <w:pStyle w:val="Compact"/>
            </w:pPr>
            <w:r>
              <w:t xml:space="preserve">45%</w:t>
            </w:r>
          </w:p>
        </w:tc>
      </w:tr>
      <w:tr>
        <w:tc>
          <w:tcPr/>
          <w:p>
            <w:pPr>
              <w:pStyle w:val="Compact"/>
              <w:jc w:val="left"/>
            </w:pPr>
            <w:r>
              <w:t xml:space="preserve">Patients randomisés</w:t>
            </w:r>
          </w:p>
        </w:tc>
        <w:tc>
          <w:tcPr/>
          <w:p>
            <w:pPr>
              <w:pStyle w:val="Compact"/>
            </w:pPr>
            <w:r>
              <w:t xml:space="preserve">186</w:t>
            </w:r>
          </w:p>
        </w:tc>
        <w:tc>
          <w:tcPr/>
          <w:p>
            <w:pPr>
              <w:pStyle w:val="Compact"/>
            </w:pPr>
            <w:r>
              <w:t xml:space="preserve">68%</w:t>
            </w:r>
          </w:p>
        </w:tc>
      </w:tr>
      <w:tr>
        <w:tc>
          <w:tcPr/>
          <w:p>
            <w:pPr>
              <w:pStyle w:val="Compact"/>
              <w:jc w:val="left"/>
            </w:pPr>
            <w:r>
              <w:t xml:space="preserve">Patients ayant terminé les 24 semaines</w:t>
            </w:r>
          </w:p>
        </w:tc>
        <w:tc>
          <w:tcPr/>
          <w:p>
            <w:pPr>
              <w:pStyle w:val="Compact"/>
            </w:pPr>
            <w:r>
              <w:t xml:space="preserve">151</w:t>
            </w:r>
          </w:p>
        </w:tc>
        <w:tc>
          <w:tcPr/>
          <w:p>
            <w:pPr>
              <w:pStyle w:val="Compact"/>
            </w:pPr>
            <w:r>
              <w:t xml:space="preserve">81% des randomisés</w:t>
            </w:r>
          </w:p>
        </w:tc>
      </w:tr>
    </w:tbl>
    <w:p>
      <w:pPr>
        <w:pStyle w:val="BodyText"/>
      </w:pPr>
      <w:r>
        <w:t xml:space="preserve">Les données de l’entreprise au niveau des sites étaient également irrégulières. Six sites n’avaient recruté aucun patient, alors que quatre grands centres représentaient 38 pour cent de l’essai. Élargir le réseau pourrait accroître l’accès, mais de nouveaux sites nécessiteraient des contrats, un examen éthique, une formation, des expéditions de médicament, une certification de laboratoire, et un suivi avant que le premier patient puisse entrer dans l’étude.</w:t>
      </w:r>
    </w:p>
    <w:bookmarkEnd w:id="13"/>
    <w:bookmarkEnd w:id="14"/>
    <w:bookmarkStart w:id="16" w:name="quatre-voies-possibles"/>
    <w:p>
      <w:pPr>
        <w:pStyle w:val="Heading1"/>
      </w:pPr>
      <w:r>
        <w:t xml:space="preserve">Quatre voies possibles</w:t>
      </w:r>
    </w:p>
    <w:p>
      <w:pPr>
        <w:pStyle w:val="FirstParagraph"/>
      </w:pPr>
      <w:r>
        <w:t xml:space="preserve">L’équipe de Chen a développé quatre voies générales. La première consistait à terminer l’étude de phase IIb existante sans changement majeur, en utilisant les patients restants pour clarifier le schéma de dose et de sécurité. C’était le choix le moins coûteux à court terme, mais il retarderait la décision pivot d’environ neuf mois.</w:t>
      </w:r>
    </w:p>
    <w:p>
      <w:pPr>
        <w:pStyle w:val="BodyText"/>
      </w:pPr>
      <w:r>
        <w:t xml:space="preserve">La deuxième voie consistait à lancer immédiatement un programme de phase III de grande envergure en utilisant la dose faible et une population de patients large. La rapidité pourrait préserver la durée de vie du brevet et la capacité de fabrication, mais Asterion engagerait un capital substantiel avant que les résultats finaux de la phase IIb ne soient disponibles.</w:t>
      </w:r>
    </w:p>
    <w:p>
      <w:pPr>
        <w:pStyle w:val="BodyText"/>
      </w:pPr>
      <w:r>
        <w:t xml:space="preserve">La troisième voie était un essai pivot adaptatif qui pourrait modifier le recrutement entre des groupes de patients pré-spécifiés après un examen intermédiaire. La conception pourrait apprendre en progressant, mais elle serait plus complexe à expliquer aux investigateurs, aux régulateurs et aux investisseurs. Des erreurs statistiques ou une incohérence opérationnelle pourraient compromettre la valeur de cette flexibilité.</w:t>
      </w:r>
    </w:p>
    <w:p>
      <w:pPr>
        <w:pStyle w:val="BodyText"/>
      </w:pPr>
      <w:r>
        <w:t xml:space="preserve">La quatrième voie était une étude confirmatoire plus petite centrée sur les patients récemment diagnostiqués, associée à une recherche de partenaire pharmaceutique. Cela pourrait réduire l’exposition financière d’Asterion, mais un partenaire pourrait exiger le contrôle, retarder le programme pendant la diligence raisonnable, ou valoriser moins l’actif après avoir vu les données de sécurité ambiguës de la dose élevée.</w:t>
      </w:r>
    </w:p>
    <w:bookmarkStart w:id="15" w:name="X6ee0cd84c0f358ba9a3eb13d3562c4f3b1cd8c7"/>
    <w:p>
      <w:pPr>
        <w:pStyle w:val="Heading2"/>
      </w:pPr>
      <w:r>
        <w:t xml:space="preserve">Exhibit 4. Alternatives de développement présentées au conseil d’administration</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t xml:space="preserve">Alternative</w:t>
            </w:r>
          </w:p>
        </w:tc>
        <w:tc>
          <w:tcPr/>
          <w:p>
            <w:pPr>
              <w:pStyle w:val="Compact"/>
            </w:pPr>
            <w:r>
              <w:t xml:space="preserve">Coût supplémentaire avant la prochaine décisi</w:t>
            </w:r>
          </w:p>
        </w:tc>
        <w:tc>
          <w:tcPr/>
          <w:p>
            <w:pPr>
              <w:pStyle w:val="Compact"/>
            </w:pPr>
            <w:r>
              <w:t xml:space="preserve">on majeure Délai jusqu’à la</w:t>
            </w:r>
          </w:p>
        </w:tc>
        <w:tc>
          <w:tcPr/>
          <w:p>
            <w:pPr>
              <w:pStyle w:val="Compact"/>
            </w:pPr>
            <w:r>
              <w:t xml:space="preserve">prochaine décision majeure Exposition sélectionnée</w:t>
            </w:r>
          </w:p>
        </w:tc>
      </w:tr>
      <w:tr>
        <w:tc>
          <w:tcPr/>
          <w:p>
            <w:pPr>
              <w:pStyle w:val="Compact"/>
              <w:jc w:val="left"/>
            </w:pPr>
            <w:r>
              <w:t xml:space="preserve">Terminer la phase IIb comme prévu</w:t>
            </w:r>
          </w:p>
        </w:tc>
        <w:tc>
          <w:tcPr/>
          <w:p>
            <w:pPr>
              <w:pStyle w:val="Compact"/>
            </w:pPr>
            <w:r>
              <w:t xml:space="preserve">38 millions de dollars</w:t>
            </w:r>
          </w:p>
        </w:tc>
        <w:tc>
          <w:tcPr/>
          <w:p>
            <w:pPr>
              <w:pStyle w:val="Compact"/>
            </w:pPr>
            <w:r>
              <w:t xml:space="preserve">9 mois</w:t>
            </w:r>
          </w:p>
        </w:tc>
        <w:tc>
          <w:tcPr/>
          <w:p>
            <w:pPr>
              <w:pStyle w:val="Compact"/>
            </w:pPr>
            <w:r>
              <w:t xml:space="preserve">Concurrent et retard de brevet</w:t>
            </w:r>
          </w:p>
        </w:tc>
      </w:tr>
      <w:tr>
        <w:tc>
          <w:tcPr/>
          <w:p>
            <w:pPr>
              <w:pStyle w:val="Compact"/>
              <w:jc w:val="left"/>
            </w:pPr>
            <w:r>
              <w:t xml:space="preserve">Lancer la phase III à grande échelle</w:t>
            </w:r>
          </w:p>
        </w:tc>
        <w:tc>
          <w:tcPr/>
          <w:p>
            <w:pPr>
              <w:pStyle w:val="Compact"/>
            </w:pPr>
            <w:r>
              <w:t xml:space="preserve">286 millions de dollars</w:t>
            </w:r>
          </w:p>
        </w:tc>
        <w:tc>
          <w:tcPr/>
          <w:p>
            <w:pPr>
              <w:pStyle w:val="Compact"/>
            </w:pPr>
            <w:r>
              <w:t xml:space="preserve">30 à 38 mois</w:t>
            </w:r>
          </w:p>
        </w:tc>
        <w:tc>
          <w:tcPr/>
          <w:p>
            <w:pPr>
              <w:pStyle w:val="Compact"/>
            </w:pPr>
            <w:r>
              <w:t xml:space="preserve">Engagement important avec des preuves incomplètes</w:t>
            </w:r>
          </w:p>
        </w:tc>
      </w:tr>
      <w:tr>
        <w:tc>
          <w:tcPr/>
          <w:p>
            <w:pPr>
              <w:pStyle w:val="Compact"/>
              <w:jc w:val="left"/>
            </w:pPr>
            <w:r>
              <w:t xml:space="preserve">Programme pivot adaptatif</w:t>
            </w:r>
          </w:p>
        </w:tc>
        <w:tc>
          <w:tcPr/>
          <w:p>
            <w:pPr>
              <w:pStyle w:val="Compact"/>
            </w:pPr>
            <w:r>
              <w:t xml:space="preserve">244 millions de dollars</w:t>
            </w:r>
          </w:p>
        </w:tc>
        <w:tc>
          <w:tcPr/>
          <w:p>
            <w:pPr>
              <w:pStyle w:val="Compact"/>
            </w:pPr>
            <w:r>
              <w:t xml:space="preserve">24 à 34 mois C</w:t>
            </w:r>
          </w:p>
        </w:tc>
        <w:tc>
          <w:tcPr/>
          <w:p>
            <w:pPr>
              <w:pStyle w:val="Compact"/>
            </w:pPr>
            <w:r>
              <w:t xml:space="preserve">omplexité de conception et réglementaire</w:t>
            </w:r>
          </w:p>
        </w:tc>
      </w:tr>
      <w:tr>
        <w:tc>
          <w:tcPr/>
          <w:p>
            <w:pPr>
              <w:pStyle w:val="Compact"/>
              <w:jc w:val="left"/>
            </w:pPr>
            <w:r>
              <w:t xml:space="preserve">Étude ciblée et recherche de partena</w:t>
            </w:r>
          </w:p>
        </w:tc>
        <w:tc>
          <w:tcPr/>
          <w:p>
            <w:pPr>
              <w:pStyle w:val="Compact"/>
            </w:pPr>
            <w:r>
              <w:t xml:space="preserve">ire 74 millions de dollars</w:t>
            </w:r>
          </w:p>
        </w:tc>
        <w:tc>
          <w:tcPr/>
          <w:p>
            <w:pPr>
              <w:pStyle w:val="Compact"/>
            </w:pPr>
            <w:r>
              <w:t xml:space="preserve">12 à 18 mois</w:t>
            </w:r>
          </w:p>
        </w:tc>
        <w:tc>
          <w:tcPr/>
          <w:p>
            <w:pPr>
              <w:pStyle w:val="Compact"/>
            </w:pPr>
            <w:r>
              <w:t xml:space="preserve">Marché plus petit ; perte de contrôle</w:t>
            </w:r>
          </w:p>
        </w:tc>
      </w:tr>
    </w:tbl>
    <w:bookmarkEnd w:id="15"/>
    <w:bookmarkEnd w:id="16"/>
    <w:bookmarkStart w:id="18" w:name="la-question-commerciale"/>
    <w:p>
      <w:pPr>
        <w:pStyle w:val="Heading1"/>
      </w:pPr>
      <w:r>
        <w:t xml:space="preserve">La question commerciale</w:t>
      </w:r>
    </w:p>
    <w:p>
      <w:pPr>
        <w:pStyle w:val="FirstParagraph"/>
      </w:pPr>
      <w:r>
        <w:t xml:space="preserve">Même un essai réussi ne résoudrait pas le problème commercial. Les traitements existants étaient administrés par voie orale, alors que l’AST-417 nécessitait une perfusion toutes les quatre semaines et une distribution réfrigérée. Asterion estimait que la fabrication, l’emballage, la distribution en chaîne du froid, et le soutien à l’administration coûteraient 14 600 dollars par patient traité par an avant les ventes, les remises, l’assistance aux patients, et les études post-approbation. Les médecins interrogés par l’entreprise appréciaient la possibilité de ralentir la progression de la maladie, mais beaucoup ont déclaré qu’ils réserveraient une perfusion aux patients ayant échoué à des traitements plus simples.</w:t>
      </w:r>
    </w:p>
    <w:p>
      <w:pPr>
        <w:pStyle w:val="BodyText"/>
      </w:pPr>
      <w:r>
        <w:t xml:space="preserve">Les prévisions commerciales allaient d’un pic prudent de 420 millions de dollars de ventes annuelles à plus de 1,8 milliard de dollars. Cette fourchette dépendait de la population de patients approuvée, du prix, de l’acceptation par les médecins, des restrictions des assureurs, des résultats des concurrents, et du fait que la thérapie réduise les hospitalisations plutôt que de simplement améliorer une mesure de laboratoire. Le directeur financier d’Asterion a averti que l’entreprise pourrait dépenser des centaines de millions pour prouver un effet statistiquement significatif que le marché ne valoriserait pas hautement.</w:t>
      </w:r>
    </w:p>
    <w:bookmarkStart w:id="17" w:name="X425f64b60571c98b9be69c8d475d6d23431dc5e"/>
    <w:p>
      <w:pPr>
        <w:pStyle w:val="Heading2"/>
      </w:pPr>
      <w:r>
        <w:t xml:space="preserve">Exhibit 5. Sources sélectionnées de valeur commerciale</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t xml:space="preserve">Hypothèse</w:t>
            </w:r>
          </w:p>
        </w:tc>
        <w:tc>
          <w:tcPr/>
          <w:p>
            <w:pPr>
              <w:pStyle w:val="Compact"/>
              <w:jc w:val="left"/>
            </w:pPr>
            <w:r>
              <w:t xml:space="preserve">Cas prudent</w:t>
            </w:r>
          </w:p>
        </w:tc>
        <w:tc>
          <w:tcPr/>
          <w:p>
            <w:pPr>
              <w:pStyle w:val="Compact"/>
              <w:jc w:val="center"/>
            </w:pPr>
            <w:r>
              <w:t xml:space="preserve">Cas élevé</w:t>
            </w:r>
          </w:p>
        </w:tc>
      </w:tr>
      <w:tr>
        <w:tc>
          <w:tcPr/>
          <w:p>
            <w:pPr>
              <w:pStyle w:val="Compact"/>
              <w:jc w:val="left"/>
            </w:pPr>
            <w:r>
              <w:t xml:space="preserve">Patients américains adressables</w:t>
            </w:r>
          </w:p>
        </w:tc>
        <w:tc>
          <w:tcPr/>
          <w:p>
            <w:pPr>
              <w:pStyle w:val="Compact"/>
              <w:jc w:val="left"/>
            </w:pPr>
            <w:r>
              <w:t xml:space="preserve">24 000</w:t>
            </w:r>
          </w:p>
        </w:tc>
        <w:tc>
          <w:tcPr/>
          <w:p>
            <w:pPr>
              <w:pStyle w:val="Compact"/>
              <w:jc w:val="center"/>
            </w:pPr>
            <w:r>
              <w:t xml:space="preserve">68 000</w:t>
            </w:r>
          </w:p>
        </w:tc>
      </w:tr>
      <w:tr>
        <w:tc>
          <w:tcPr/>
          <w:p>
            <w:pPr>
              <w:pStyle w:val="Compact"/>
              <w:jc w:val="left"/>
            </w:pPr>
            <w:r>
              <w:t xml:space="preserve">Part traitée au pic</w:t>
            </w:r>
          </w:p>
        </w:tc>
        <w:tc>
          <w:tcPr/>
          <w:p>
            <w:pPr>
              <w:pStyle w:val="Compact"/>
              <w:jc w:val="left"/>
            </w:pPr>
            <w:r>
              <w:t xml:space="preserve">12%</w:t>
            </w:r>
          </w:p>
        </w:tc>
        <w:tc>
          <w:tcPr/>
          <w:p>
            <w:pPr>
              <w:pStyle w:val="Compact"/>
              <w:jc w:val="center"/>
            </w:pPr>
            <w:r>
              <w:t xml:space="preserve">28%</w:t>
            </w:r>
          </w:p>
        </w:tc>
      </w:tr>
      <w:tr>
        <w:tc>
          <w:tcPr/>
          <w:p>
            <w:pPr>
              <w:pStyle w:val="Compact"/>
              <w:jc w:val="left"/>
            </w:pPr>
            <w:r>
              <w:t xml:space="preserve">Revenu net annuel par patient</w:t>
            </w:r>
          </w:p>
        </w:tc>
        <w:tc>
          <w:tcPr/>
          <w:p>
            <w:pPr>
              <w:pStyle w:val="Compact"/>
              <w:jc w:val="left"/>
            </w:pPr>
            <w:r>
              <w:t xml:space="preserve">72 000 $</w:t>
            </w:r>
          </w:p>
        </w:tc>
        <w:tc>
          <w:tcPr/>
          <w:p>
            <w:pPr>
              <w:pStyle w:val="Compact"/>
              <w:jc w:val="center"/>
            </w:pPr>
            <w:r>
              <w:t xml:space="preserve">94 000 $</w:t>
            </w:r>
          </w:p>
        </w:tc>
      </w:tr>
      <w:tr>
        <w:tc>
          <w:tcPr/>
          <w:p>
            <w:pPr>
              <w:pStyle w:val="Compact"/>
              <w:jc w:val="left"/>
            </w:pPr>
            <w:r>
              <w:t xml:space="preserve">Arrêt annuel après lancement</w:t>
            </w:r>
          </w:p>
        </w:tc>
        <w:tc>
          <w:tcPr/>
          <w:p>
            <w:pPr>
              <w:pStyle w:val="Compact"/>
              <w:jc w:val="left"/>
            </w:pPr>
            <w:r>
              <w:t xml:space="preserve">29%</w:t>
            </w:r>
          </w:p>
        </w:tc>
        <w:tc>
          <w:tcPr/>
          <w:p>
            <w:pPr>
              <w:pStyle w:val="Compact"/>
              <w:jc w:val="center"/>
            </w:pPr>
            <w:r>
              <w:t xml:space="preserve">14%</w:t>
            </w:r>
          </w:p>
        </w:tc>
      </w:tr>
      <w:tr>
        <w:tc>
          <w:tcPr/>
          <w:p>
            <w:pPr>
              <w:pStyle w:val="Compact"/>
              <w:jc w:val="left"/>
            </w:pPr>
            <w:r>
              <w:t xml:space="preserve">Délai entre le début pivot et l’approb</w:t>
            </w:r>
          </w:p>
        </w:tc>
        <w:tc>
          <w:tcPr/>
          <w:p>
            <w:pPr>
              <w:pStyle w:val="Compact"/>
              <w:jc w:val="left"/>
            </w:pPr>
            <w:r>
              <w:t xml:space="preserve">ation 5,0 ans</w:t>
            </w:r>
          </w:p>
        </w:tc>
        <w:tc>
          <w:tcPr/>
          <w:p>
            <w:pPr>
              <w:pStyle w:val="Compact"/>
              <w:jc w:val="center"/>
            </w:pPr>
            <w:r>
              <w:t xml:space="preserve">3,6 ans</w:t>
            </w:r>
          </w:p>
        </w:tc>
      </w:tr>
      <w:tr>
        <w:tc>
          <w:tcPr/>
          <w:p>
            <w:pPr>
              <w:pStyle w:val="Compact"/>
              <w:jc w:val="left"/>
            </w:pPr>
            <w:r>
              <w:t xml:space="preserve">Estimation des ventes annuelles au pic</w:t>
            </w:r>
          </w:p>
        </w:tc>
        <w:tc>
          <w:tcPr/>
          <w:p>
            <w:pPr>
              <w:pStyle w:val="Compact"/>
              <w:jc w:val="left"/>
            </w:pPr>
            <w:r>
              <w:t xml:space="preserve">420 millions de d</w:t>
            </w:r>
          </w:p>
        </w:tc>
        <w:tc>
          <w:tcPr/>
          <w:p>
            <w:pPr>
              <w:pStyle w:val="Compact"/>
              <w:jc w:val="center"/>
            </w:pPr>
            <w:r>
              <w:t xml:space="preserve">ollars 1,8 milliard de dollars</w:t>
            </w:r>
          </w:p>
        </w:tc>
      </w:tr>
    </w:tbl>
    <w:bookmarkEnd w:id="17"/>
    <w:bookmarkEnd w:id="18"/>
    <w:bookmarkStart w:id="19" w:name="Xa8eb3094cbb4c6003c27eb9b744ebfd162bb18d"/>
    <w:p>
      <w:pPr>
        <w:pStyle w:val="Heading1"/>
      </w:pPr>
      <w:r>
        <w:t xml:space="preserve">La réunion du conseil d’administration de jeudi</w:t>
      </w:r>
    </w:p>
    <w:p>
      <w:pPr>
        <w:pStyle w:val="FirstParagraph"/>
      </w:pPr>
      <w:r>
        <w:t xml:space="preserve">Le dossier du conseil d’administration était attendu jeudi. Chen devait recommander une voie de développement, une population de patients, une dose, une stratégie de sites, et une posture de financement. Elle devait également définir quelles preuves amèneraient Asterion à arrêter, continuer, restreindre, ou accélérer le programme lors des examens futurs. Plusieurs administrateurs voulaient une réponse claire. Chen croyait que les preuves soutenaient plusieurs réponses défendables, chacune exposant l’entreprise à une forme différente d’échec.</w:t>
      </w:r>
    </w:p>
    <w:p>
      <w:pPr>
        <w:pStyle w:val="BodyText"/>
      </w:pPr>
      <w:r>
        <w:t xml:space="preserve">Terminer l’essai actuel permettrait d’acheter de l’information mais consommerait du temps. Démarrer la phase III permettrait d’acheter de la vitesse mais engagerait du capital. Restreindre la population pourrait améliorer l’effet de traitement observé tout en réduisant l’accès et la taille du marché. Ouvrir davantage de sites pourrait améliorer le recrutement tout en augmentant l’incohérence. Un partenariat pourrait protéger le bilan tout en cédant une grande partie du potentiel de hausse. Mercredi soir, Chen n’avait toujours pas décidé quelle incertitude Asterion pouvait le mieux se permettre de vivre avec.</w:t>
      </w:r>
    </w:p>
    <w:bookmarkEnd w:id="19"/>
    <w:bookmarkStart w:id="20" w:name="questions-de-discussion"/>
    <w:p>
      <w:pPr>
        <w:pStyle w:val="Heading1"/>
      </w:pPr>
      <w:r>
        <w:t xml:space="preserve">Questions de discussion</w:t>
      </w:r>
    </w:p>
    <w:p>
      <w:pPr>
        <w:numPr>
          <w:ilvl w:val="0"/>
          <w:numId w:val="1001"/>
        </w:numPr>
      </w:pPr>
      <w:r>
        <w:t xml:space="preserve">Que devrait recommander Chen lors de la réunion du conseil d’administration de jeudi ?</w:t>
      </w:r>
    </w:p>
    <w:p>
      <w:pPr>
        <w:numPr>
          <w:ilvl w:val="0"/>
          <w:numId w:val="1001"/>
        </w:numPr>
      </w:pPr>
      <w:r>
        <w:t xml:space="preserve">Comment Asterion devrait-elle interpréter le résultat plus fort de la dose faible et la réponse inégale de la dose élevée ?</w:t>
      </w:r>
    </w:p>
    <w:p>
      <w:pPr>
        <w:numPr>
          <w:ilvl w:val="0"/>
          <w:numId w:val="1001"/>
        </w:numPr>
      </w:pPr>
      <w:r>
        <w:t xml:space="preserve">La prochaine étude devrait-elle utiliser une population large ou se concentrer sur les patients récemment diagnostiqués ?</w:t>
      </w:r>
    </w:p>
    <w:p>
      <w:pPr>
        <w:numPr>
          <w:ilvl w:val="0"/>
          <w:numId w:val="1001"/>
        </w:numPr>
      </w:pPr>
      <w:r>
        <w:t xml:space="preserve">Comment l’entreprise devrait-elle équilibrer la rapidité de recrutement avec la qualité des sites et la cohérence des données ?</w:t>
      </w:r>
    </w:p>
    <w:p>
      <w:pPr>
        <w:numPr>
          <w:ilvl w:val="0"/>
          <w:numId w:val="1001"/>
        </w:numPr>
      </w:pPr>
      <w:r>
        <w:t xml:space="preserve">Quels investissements de recrutement proposés sont les plus susceptibles de produire des informations utiles plutôt que simplement plus d’activité ?</w:t>
      </w:r>
    </w:p>
    <w:p>
      <w:pPr>
        <w:numPr>
          <w:ilvl w:val="0"/>
          <w:numId w:val="1001"/>
        </w:numPr>
      </w:pPr>
      <w:r>
        <w:t xml:space="preserve">Quelles preuves devraient déclencher la poursuite, l’expansion, la refonte, le partenariat, ou l’arrêt ?</w:t>
      </w:r>
    </w:p>
    <w:p>
      <w:pPr>
        <w:numPr>
          <w:ilvl w:val="0"/>
          <w:numId w:val="1001"/>
        </w:numPr>
      </w:pPr>
      <w:r>
        <w:t xml:space="preserve">Comment les signaux de sécurité devraient-ils être intégrés lorsque le comité indépendant n’a pas recommandé l’arrêt ?</w:t>
      </w:r>
    </w:p>
    <w:p>
      <w:pPr>
        <w:numPr>
          <w:ilvl w:val="0"/>
          <w:numId w:val="1001"/>
        </w:numPr>
      </w:pPr>
      <w:r>
        <w:t xml:space="preserve">Dans quelle mesure les prévisions commerciales devraient-elles influencer la conception et la poursuite du programme clinique ?</w:t>
      </w:r>
    </w:p>
    <w:p>
      <w:pPr>
        <w:numPr>
          <w:ilvl w:val="0"/>
          <w:numId w:val="1001"/>
        </w:numPr>
      </w:pPr>
      <w:r>
        <w:t xml:space="preserve">Quelle information aurait la plus grande valeur avant qu’Asterion s’engage dans un essai pivot ?</w:t>
      </w:r>
    </w:p>
    <w:p>
      <w:pPr>
        <w:numPr>
          <w:ilvl w:val="0"/>
          <w:numId w:val="1001"/>
        </w:numPr>
      </w:pPr>
      <w:r>
        <w:t xml:space="preserve">Comment la direction devrait-elle communiquer une décision ambiguë aux patients, aux investigateurs, aux employés, et aux investisseurs ?</w:t>
      </w:r>
    </w:p>
    <w:bookmarkEnd w:id="20"/>
    <w:bookmarkStart w:id="27" w:name="questions-de-cadrage-de-décision"/>
    <w:p>
      <w:pPr>
        <w:pStyle w:val="Heading1"/>
      </w:pPr>
      <w:r>
        <w:t xml:space="preserve">Questions de cadrage de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1">
        <w:r>
          <w:rPr>
            <w:rStyle w:val="Hyperlink"/>
          </w:rPr>
          <w:t xml:space="preserve">outil de la pyramide des métriques</w:t>
        </w:r>
      </w:hyperlink>
      <w:r>
        <w:t xml:space="preserve"> </w:t>
      </w:r>
      <w:r>
        <w:t xml:space="preserve">pour identifier et prioriser les différentes métriques de performance. Cliquez sur l’ovale contenant la métrique pour identifier s’il s’agit d’une métrique à maximiser (vert), à minimiser (rouge), une cible qui est un plancher (vert clair) ou un plafond (rouge clair), ou enfin une cible (violet).</w:t>
      </w:r>
    </w:p>
    <w:p>
      <w:pPr>
        <w:numPr>
          <w:ilvl w:val="0"/>
          <w:numId w:val="1002"/>
        </w:numPr>
      </w:pPr>
      <w:r>
        <w:t xml:space="preserve">Utilisez l’</w:t>
      </w:r>
      <w:hyperlink r:id="rId22">
        <w:r>
          <w:rPr>
            <w:rStyle w:val="Hyperlink"/>
          </w:rPr>
          <w:t xml:space="preserve">outil de priorisation des décisions</w:t>
        </w:r>
      </w:hyperlink>
      <w:r>
        <w:t xml:space="preserve"> </w:t>
      </w:r>
      <w:r>
        <w:t xml:space="preserve">pour d’abord lister les différents types de décisions (utilisez les</w:t>
      </w:r>
      <w:r>
        <w:t xml:space="preserve"> </w:t>
      </w:r>
      <w:hyperlink r:id="rId23">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le bas. Triez les lignes de sorte que les décisions ayant le plus grand impact sur les métriques les plus importantes se trouvent vers le haut. Les cellules dans le coin supérieur gauche devraient avoir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4">
        <w:r>
          <w:rPr>
            <w:rStyle w:val="Hyperlink"/>
          </w:rPr>
          <w:t xml:space="preserve">outil de priorisation des incertitudes</w:t>
        </w:r>
      </w:hyperlink>
      <w:r>
        <w:t xml:space="preserve">. Utilisez les</w:t>
      </w:r>
      <w:r>
        <w:t xml:space="preserve"> </w:t>
      </w:r>
      <w:hyperlink r:id="rId25">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Start w:id="26" w:name="note-de-source"/>
    <w:p>
      <w:pPr>
        <w:pStyle w:val="Heading2"/>
      </w:pPr>
      <w:r>
        <w:t xml:space="preserve">Note de source</w:t>
      </w:r>
    </w:p>
    <w:p>
      <w:pPr>
        <w:pStyle w:val="FirstParagraph"/>
      </w:pPr>
      <w:r>
        <w:t xml:space="preserve">Contexte public : ClinicalTrials.gov a rapporté 595 847 études enregistrées en juillet 2026. La U.S. Food and Drug Administration décrit les études de phase III comme recrutant généralement de 300 à 3 000 participants et durant de un à quatre ans. Une analyse publiée d’essais chirurgicaux randomisés a trouvé un délai médian d’achèvement de 12,2 mois parmi les essais achevés en retard, tandis que plusieurs études identifient un recrutement inadéquat comme une raison majeure pour laquelle les essais sont interrompus ou ne parviennent pas à répondre à leur question principale. Fondement conceptuel : Warren B. Powell, Bridging Decision Problems, Volume I, Chapitre 2, section « Running clinical trials for drug testing. » Sources consultées le 30 juillet 2026 : ClinicalTrials.gov, Trends and Charts on Registered Studies ; U.S. Food and Drug Administration, Step 3 : Clinical Research ; Shadbolt et al., JAMA Network Open (2023) ; Briel et al., Journal of Clinical Epidemiology (2017).</w:t>
      </w:r>
    </w:p>
    <w:bookmarkEnd w:id="26"/>
    <w:bookmarkEnd w:id="27"/>
    <w:bookmarkStart w:id="29" w:name="résumé-chatgpt"/>
    <w:p>
      <w:pPr>
        <w:pStyle w:val="Heading1"/>
      </w:pPr>
      <w:r>
        <w:t xml:space="preserve">Résumé ChatGPT</w:t>
      </w:r>
    </w:p>
    <w:bookmarkStart w:id="28" w:name="invite"/>
    <w:p>
      <w:pPr>
        <w:pStyle w:val="Heading2"/>
      </w:pPr>
      <w:r>
        <w:t xml:space="preserve">Invite</w:t>
      </w:r>
    </w:p>
    <w:p>
      <w:pPr>
        <w:pStyle w:val="FirstParagraph"/>
      </w:pPr>
      <w:r>
        <w:t xml:space="preserve">Rédigez une étude de cas de 4 à 6 pages basée sur le matériel de la section à l’adresse https://warrenpowell.org/bridging-vol1/chapter-2/#clinicaltrials. Créez un contexte basé sur les métriques, décisions et incertitudes de la section, mais sans attirer explicitement l’attention sur elles. Motivez votre problème de cas avec des données.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2026-09-11T15:33:00Z</dcterms:created>
  <dcterms:modified xsi:type="dcterms:W3CDTF">2026-09-11T15:33:00Z</dcterms:modified>
</cp:coreProperties>
</file>

<file path=docProps/custom.xml><?xml version="1.0" encoding="utf-8"?>
<Properties xmlns="http://schemas.openxmlformats.org/officeDocument/2006/custom-properties" xmlns:vt="http://schemas.openxmlformats.org/officeDocument/2006/docPropsVTypes"/>
</file>