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AURORA MOTORS</w:t>
      </w:r>
    </w:p>
    <w:p>
      <w:pPr>
        <w:pStyle w:val="BodyText"/>
      </w:pPr>
      <w:r>
        <w:t xml:space="preserve">Le dilemme de la coordination des flux</w:t>
      </w:r>
    </w:p>
    <w:p>
      <w:pPr>
        <w:pStyle w:val="BodyText"/>
      </w:pPr>
      <w:r>
        <w:t xml:space="preserve">Une étude de cas fictive sur la synchronisation des pièces mondiales, de la production et des livraisons aux clients</w:t>
      </w:r>
    </w:p>
    <w:p>
      <w:pPr>
        <w:pStyle w:val="BodyText"/>
      </w:pPr>
      <w:r>
        <w:t xml:space="preserve">+————————————————————————————————————————————————————————————————————————–+</w:t>
      </w:r>
      <w:r>
        <w:t xml:space="preserve"> </w:t>
      </w:r>
      <w:r>
        <w:t xml:space="preserve">| LA DÉCISION |</w:t>
      </w:r>
      <w:r>
        <w:t xml:space="preserve"> </w:t>
      </w:r>
      <w:r>
        <w:t xml:space="preserve">| |</w:t>
      </w:r>
      <w:r>
        <w:t xml:space="preserve"> </w:t>
      </w:r>
      <w:r>
        <w:t xml:space="preserve">| Comment Aurora Motors devrait-elle coordonner les approvisionnements amont incertains avec la production et les livraisons aux clients lorsque les tarifs douaniers, les incitations fédérales, les prix de l’essence et les préférences des acheteurs peuvent changer plus rapidement que sa chaîne d’approvisionnement ? |</w:t>
      </w:r>
      <w:r>
        <w:t xml:space="preserve"> </w:t>
      </w:r>
      <w:r>
        <w:t xml:space="preserve">+==========================================================================================================================================================================================================================+</w:t>
      </w:r>
    </w:p>
    <w:p>
      <w:pPr>
        <w:pStyle w:val="BodyText"/>
      </w:pPr>
      <w:r>
        <w:t xml:space="preserve">Le lundi 6 octobre 2025, Maya Chen, directrice des opérations d’Aurora Motors, est entrée dans une réunion de planification exécutive en apportant trois prévisions qui ne pouvaient pas toutes être justes. L’équipe des achats s’attendait à une hausse du coût des composants importés. Le service des ventes prévoyait une accélération de la demande pour le véhicule utilitaire sport hybride d’Aurora à la suite d’un nouveau bond des prix de l’essence. Le service financier avertissait que le crédit fédéral pour véhicules propres avait pris fin pour les véhicules acquis après le 30 septembre, supprimant un avantage que certains concessionnaires avaient intégré dans les estimations de paiement des clients. Pendant ce temps, 3 800 commandes clients finalisées attendaient des dates de production.</w:t>
      </w:r>
    </w:p>
    <w:p>
      <w:pPr>
        <w:pStyle w:val="BodyText"/>
      </w:pPr>
      <w:r>
        <w:t xml:space="preserve">Aurora assemblait des véhicules électriques hybrides dans une seule usine américaine. Son modèle le plus important, l’Aurora Crosswind, combinait un moteur à essence, un moteur électrique, une électronique de puissance et une batterie de 1,8 kWh. Bien que l’assemblage final soit national, le véhicule dépendait de cellules de batterie et de modules à semi-conducteurs en provenance d’Asie, d’onduleurs spécialisés en provenance d’Europe, ainsi que de moteurs, panneaux de carrosserie et sièges provenant d’Amérique du Nord. Un module de commande manquant à 180 $ pouvait retarder l’expédition d’un véhicule à 42 000 $.</w:t>
      </w:r>
    </w:p>
    <w:bookmarkStart w:id="9" w:name="X85217662ee773b11aacae18142b8bedc537afc0"/>
    <w:p>
      <w:pPr>
        <w:pStyle w:val="Heading1"/>
      </w:pPr>
      <w:r>
        <w:t xml:space="preserve">Une entreprise construite autour d’un flux coordonné</w:t>
      </w:r>
    </w:p>
    <w:p>
      <w:pPr>
        <w:pStyle w:val="FirstParagraph"/>
      </w:pPr>
      <w:r>
        <w:t xml:space="preserve">Aurora s’était développée en promettant aux concessionnaires une fenêtre fiable de huit semaines entre la commande et la livraison. Son système opérationnel convertissait les commandes des concessionnaires en un calendrier de production de 12 semaines, puis déclenchait les bons de commande, les réservations maritimes, la capacité ferroviaire et les rendez-vous de livraison des véhicules finis. Le système fonctionnait bien lorsque les prévisions et les délais étaient stables. Il peinait lorsque la politique commerciale et les marchés de l’énergie évoluaient brusquement.</w:t>
      </w:r>
    </w:p>
    <w:p>
      <w:pPr>
        <w:pStyle w:val="BodyText"/>
      </w:pPr>
      <w:r>
        <w:t xml:space="preserve">L’usine de fabrication pouvait construire 1 150 véhicules par semaine sur deux équipes. La ligne du groupe motopropulseur hybride constituait la contrainte, mais des pénuries ailleurs empêchaient fréquemment la ligne d’utiliser toute sa capacité. Aurora pouvait substituer certains composants, modifier la séquence des modèles, conserver des véhicules presque terminés pour une finition ultérieure, ou recourir au fret aérien. Chaque réponse déplaçait les coûts et les retards vers une autre partie du système.</w:t>
      </w:r>
    </w:p>
    <w:tbl>
      <w:tblPr>
        <w:tblStyle w:val="Table"/>
        <w:tblW w:type="pct" w:w="4921"/>
        <w:tblLayout w:type="fixed"/>
        <w:tblLook w:firstRow="1" w:lastRow="0" w:firstColumn="0" w:lastColumn="0" w:noHBand="0" w:noVBand="0" w:val="0020"/>
      </w:tblPr>
      <w:tblGrid>
        <w:gridCol w:w="1508"/>
        <w:gridCol w:w="1445"/>
        <w:gridCol w:w="1194"/>
        <w:gridCol w:w="1005"/>
        <w:gridCol w:w="2640"/>
      </w:tblGrid>
      <w:tr>
        <w:trPr>
          <w:tblHeader w:val="on"/>
        </w:trPr>
        <w:tc>
          <w:tcPr/>
          <w:p>
            <w:pPr>
              <w:pStyle w:val="Compact"/>
              <w:jc w:val="left"/>
            </w:pPr>
            <w:r>
              <w:t xml:space="preserve">Article entrant</w:t>
            </w:r>
          </w:p>
        </w:tc>
        <w:tc>
          <w:tcPr/>
          <w:p>
            <w:pPr>
              <w:pStyle w:val="Compact"/>
              <w:jc w:val="center"/>
            </w:pPr>
            <w:r>
              <w:t xml:space="preserve">Source principale</w:t>
            </w:r>
          </w:p>
        </w:tc>
        <w:tc>
          <w:tcPr/>
          <w:p>
            <w:pPr>
              <w:pStyle w:val="Compact"/>
              <w:jc w:val="center"/>
            </w:pPr>
            <w:r>
              <w:t xml:space="preserve">Délai normal</w:t>
            </w:r>
          </w:p>
        </w:tc>
        <w:tc>
          <w:tcPr/>
          <w:p>
            <w:pPr>
              <w:pStyle w:val="Compact"/>
              <w:jc w:val="right"/>
            </w:pPr>
            <w:r>
              <w:t xml:space="preserve">Unités en stock</w:t>
            </w:r>
          </w:p>
        </w:tc>
        <w:tc>
          <w:tcPr/>
          <w:p>
            <w:pPr>
              <w:pStyle w:val="Compact"/>
              <w:jc w:val="center"/>
            </w:pPr>
            <w:r>
              <w:t xml:space="preserve">Exposition</w:t>
            </w:r>
          </w:p>
        </w:tc>
      </w:tr>
      <w:tr>
        <w:tc>
          <w:tcPr/>
          <w:p>
            <w:pPr>
              <w:pStyle w:val="Compact"/>
              <w:jc w:val="left"/>
            </w:pPr>
            <w:r>
              <w:t xml:space="preserve">Cellules de batterie</w:t>
            </w:r>
          </w:p>
        </w:tc>
        <w:tc>
          <w:tcPr/>
          <w:p>
            <w:pPr>
              <w:pStyle w:val="Compact"/>
              <w:jc w:val="center"/>
            </w:pPr>
            <w:r>
              <w:t xml:space="preserve">Asie de l’Est</w:t>
            </w:r>
          </w:p>
        </w:tc>
        <w:tc>
          <w:tcPr/>
          <w:p>
            <w:pPr>
              <w:pStyle w:val="Compact"/>
              <w:jc w:val="center"/>
            </w:pPr>
            <w:r>
              <w:t xml:space="preserve">11 sema</w:t>
            </w:r>
          </w:p>
        </w:tc>
        <w:tc>
          <w:tcPr/>
          <w:p>
            <w:pPr>
              <w:pStyle w:val="Compact"/>
              <w:jc w:val="right"/>
            </w:pPr>
            <w:r>
              <w:t xml:space="preserve">ines 5</w:t>
            </w:r>
          </w:p>
        </w:tc>
        <w:tc>
          <w:tcPr/>
          <w:p>
            <w:pPr>
              <w:pStyle w:val="Compact"/>
              <w:jc w:val="center"/>
            </w:pPr>
            <w:r>
              <w:t xml:space="preserve">,2 semaines Tarifs douaniers, retard maritime, libération qualité</w:t>
            </w:r>
          </w:p>
        </w:tc>
      </w:tr>
      <w:tr>
        <w:tc>
          <w:tcPr/>
          <w:p>
            <w:pPr>
              <w:pStyle w:val="Compact"/>
              <w:jc w:val="left"/>
            </w:pPr>
            <w:r>
              <w:t xml:space="preserve">Modules de contrôle de p</w:t>
            </w:r>
          </w:p>
        </w:tc>
        <w:tc>
          <w:tcPr/>
          <w:p>
            <w:pPr>
              <w:pStyle w:val="Compact"/>
              <w:jc w:val="center"/>
            </w:pPr>
            <w:r>
              <w:t xml:space="preserve">uissance Asie de l’Es</w:t>
            </w:r>
          </w:p>
        </w:tc>
        <w:tc>
          <w:tcPr/>
          <w:p>
            <w:pPr>
              <w:pStyle w:val="Compact"/>
              <w:jc w:val="center"/>
            </w:pPr>
            <w:r>
              <w:t xml:space="preserve">t 8 semain</w:t>
            </w:r>
          </w:p>
        </w:tc>
        <w:tc>
          <w:tcPr/>
          <w:p>
            <w:pPr>
              <w:pStyle w:val="Compact"/>
              <w:jc w:val="right"/>
            </w:pPr>
            <w:r>
              <w:t xml:space="preserve">es 2,</w:t>
            </w:r>
          </w:p>
        </w:tc>
        <w:tc>
          <w:tcPr/>
          <w:p>
            <w:pPr>
              <w:pStyle w:val="Compact"/>
              <w:jc w:val="center"/>
            </w:pPr>
            <w:r>
              <w:t xml:space="preserve">6 semaines Tarifs douaniers, allocation de semi-conducteurs</w:t>
            </w:r>
          </w:p>
        </w:tc>
      </w:tr>
      <w:tr>
        <w:tc>
          <w:tcPr/>
          <w:p>
            <w:pPr>
              <w:pStyle w:val="Compact"/>
              <w:jc w:val="left"/>
            </w:pPr>
            <w:r>
              <w:t xml:space="preserve">Onduleurs</w:t>
            </w:r>
          </w:p>
        </w:tc>
        <w:tc>
          <w:tcPr/>
          <w:p>
            <w:pPr>
              <w:pStyle w:val="Compact"/>
              <w:jc w:val="center"/>
            </w:pPr>
            <w:r>
              <w:t xml:space="preserve">Union européenne</w:t>
            </w:r>
          </w:p>
        </w:tc>
        <w:tc>
          <w:tcPr/>
          <w:p>
            <w:pPr>
              <w:pStyle w:val="Compact"/>
              <w:jc w:val="center"/>
            </w:pPr>
            <w:r>
              <w:t xml:space="preserve">7 semaines</w:t>
            </w:r>
          </w:p>
        </w:tc>
        <w:tc>
          <w:tcPr/>
          <w:p>
            <w:pPr>
              <w:pStyle w:val="Compact"/>
              <w:jc w:val="right"/>
            </w:pPr>
            <w:r>
              <w:t xml:space="preserve">3,1 semaines</w:t>
            </w:r>
          </w:p>
        </w:tc>
        <w:tc>
          <w:tcPr/>
          <w:p>
            <w:pPr>
              <w:pStyle w:val="Compact"/>
              <w:jc w:val="center"/>
            </w:pPr>
            <w:r>
              <w:t xml:space="preserve">Tarifs sur pièces automobiles, congestion portuaire</w:t>
            </w:r>
          </w:p>
        </w:tc>
      </w:tr>
      <w:tr>
        <w:tc>
          <w:tcPr/>
          <w:p>
            <w:pPr>
              <w:pStyle w:val="Compact"/>
              <w:jc w:val="left"/>
            </w:pPr>
            <w:r>
              <w:t xml:space="preserve">Moteurs à essence</w:t>
            </w:r>
          </w:p>
        </w:tc>
        <w:tc>
          <w:tcPr/>
          <w:p>
            <w:pPr>
              <w:pStyle w:val="Compact"/>
              <w:jc w:val="center"/>
            </w:pPr>
            <w:r>
              <w:t xml:space="preserve">États-Unis/Mexique 3</w:t>
            </w:r>
          </w:p>
        </w:tc>
        <w:tc>
          <w:tcPr/>
          <w:p>
            <w:pPr>
              <w:pStyle w:val="Compact"/>
              <w:jc w:val="center"/>
            </w:pPr>
            <w:r>
              <w:t xml:space="preserve">semaines</w:t>
            </w:r>
          </w:p>
        </w:tc>
        <w:tc>
          <w:tcPr/>
          <w:p>
            <w:pPr>
              <w:pStyle w:val="Compact"/>
              <w:jc w:val="right"/>
            </w:pPr>
            <w:r>
              <w:t xml:space="preserve">1,8 semaine</w:t>
            </w:r>
          </w:p>
        </w:tc>
        <w:tc>
          <w:tcPr/>
          <w:p>
            <w:pPr>
              <w:pStyle w:val="Compact"/>
              <w:jc w:val="center"/>
            </w:pPr>
            <w:r>
              <w:t xml:space="preserve">Changements de mix de modèles</w:t>
            </w:r>
          </w:p>
        </w:tc>
      </w:tr>
      <w:tr>
        <w:tc>
          <w:tcPr/>
          <w:p>
            <w:pPr>
              <w:pStyle w:val="Compact"/>
              <w:jc w:val="left"/>
            </w:pPr>
            <w:r>
              <w:t xml:space="preserve">Sièges et intérieurs</w:t>
            </w:r>
          </w:p>
        </w:tc>
        <w:tc>
          <w:tcPr/>
          <w:p>
            <w:pPr>
              <w:pStyle w:val="Compact"/>
              <w:jc w:val="center"/>
            </w:pPr>
            <w:r>
              <w:t xml:space="preserve">États-Unis</w:t>
            </w:r>
          </w:p>
        </w:tc>
        <w:tc>
          <w:tcPr/>
          <w:p>
            <w:pPr>
              <w:pStyle w:val="Compact"/>
              <w:jc w:val="center"/>
            </w:pPr>
            <w:r>
              <w:t xml:space="preserve">2 semaines</w:t>
            </w:r>
          </w:p>
        </w:tc>
        <w:tc>
          <w:tcPr/>
          <w:p>
            <w:pPr>
              <w:pStyle w:val="Compact"/>
              <w:jc w:val="right"/>
            </w:pPr>
            <w:r>
              <w:t xml:space="preserve">1,3 semaine</w:t>
            </w:r>
          </w:p>
        </w:tc>
        <w:tc>
          <w:tcPr/>
          <w:p>
            <w:pPr>
              <w:pStyle w:val="Compact"/>
              <w:jc w:val="center"/>
            </w:pPr>
            <w:r>
              <w:t xml:space="preserve">Spécifique à la séquence, faible substituabilité</w:t>
            </w:r>
          </w:p>
        </w:tc>
      </w:tr>
    </w:tbl>
    <w:bookmarkEnd w:id="9"/>
    <w:bookmarkStart w:id="10" w:name="X718e0556c7b2780bf899597f39cd9a44dcfcc04"/>
    <w:p>
      <w:pPr>
        <w:pStyle w:val="Heading1"/>
      </w:pPr>
      <w:r>
        <w:t xml:space="preserve">Des signaux externes qui n’évoluaient pas ensemble</w:t>
      </w:r>
    </w:p>
    <w:p>
      <w:pPr>
        <w:pStyle w:val="FirstParagraph"/>
      </w:pPr>
      <w:r>
        <w:t xml:space="preserve">L’économie des batteries suggérait que les véhicules électrifiés devraient devenir régulièrement plus faciles à produire. Les estimations du Département de l’Énergie des États-Unis situaient le coût de la batterie des véhicules électriques légers à 1 415 $ par kWh utilisable en 2008 et à 139 $ en 2023, soit une baisse d’environ 90 pour cent en dollars constants. Mais la petite batterie hybride d’Aurora ne représentait qu’une partie du coût total du groupe motopropulseur, et le traitement tarifaire dépendait de la chimie, de l’origine et de la classification. En 2024, les États-Unis ont relevé le tarif de la Section 301 sur les batteries lithium-ion pour véhicules électriques en provenance de Chine à 25 pour cent. En 2025, une mesure distincte a imposé un tarif de 25 pour cent sur des automobiles importées spécifiées et des pièces automobiles clés, bien que des accords ultérieurs entre pays aient créé différents taux effectifs, y compris un cadre visant un taux combiné de 15 pour cent pour les biens automobiles européens couverts.</w:t>
      </w:r>
    </w:p>
    <w:p>
      <w:pPr>
        <w:pStyle w:val="BodyText"/>
      </w:pPr>
      <w:r>
        <w:t xml:space="preserve">Les prix de l’énergie créaient une incertitude différente. Le prix moyen annuel du WTI (West Texas Intermediate) s’est élevé à environ 39 $ le baril en 2020, 68 $ en 2021, 95 $ en 2022, 78 $ en 2023 et 77 $ en 2024. Cette séquence rappelait aux dirigeants que les guerres, les sanctions, les décisions de production et les perturbations d’expédition pouvaient rapidement modifier la valeur que les clients accordaient à l’économie de carburant. Pourtant, un prix élevé du pétrole pouvait reculer avant qu’Aurora ne reçoive les pièces commandées en réponse à celui-ci.</w:t>
      </w:r>
    </w:p>
    <w:tbl>
      <w:tblPr>
        <w:tblStyle w:val="Table"/>
        <w:tblW w:type="pct" w:w="4928"/>
        <w:tblLayout w:type="fixed"/>
        <w:tblLook w:firstRow="1" w:lastRow="0" w:firstColumn="0" w:lastColumn="0" w:noHBand="0" w:noVBand="0" w:val="0020"/>
      </w:tblPr>
      <w:tblGrid>
        <w:gridCol w:w="401"/>
        <w:gridCol w:w="1606"/>
        <w:gridCol w:w="2295"/>
        <w:gridCol w:w="3500"/>
      </w:tblGrid>
      <w:tr>
        <w:trPr>
          <w:tblHeader w:val="on"/>
        </w:trPr>
        <w:tc>
          <w:tcPr/>
          <w:p>
            <w:pPr>
              <w:pStyle w:val="Compact"/>
              <w:jc w:val="left"/>
            </w:pPr>
            <w:r>
              <w:t xml:space="preserve">Année</w:t>
            </w:r>
          </w:p>
        </w:tc>
        <w:tc>
          <w:tcPr/>
          <w:p>
            <w:pPr>
              <w:pStyle w:val="Compact"/>
              <w:jc w:val="right"/>
            </w:pPr>
            <w:r>
              <w:t xml:space="preserve">Pétrole brut WTI ($/baril)</w:t>
            </w:r>
          </w:p>
        </w:tc>
        <w:tc>
          <w:tcPr/>
          <w:p>
            <w:pPr>
              <w:pStyle w:val="Compact"/>
              <w:jc w:val="right"/>
            </w:pPr>
            <w:r>
              <w:t xml:space="preserve">Coût de batterie DOE ($/kWh utilisab</w:t>
            </w:r>
          </w:p>
        </w:tc>
        <w:tc>
          <w:tcPr/>
          <w:p>
            <w:pPr>
              <w:pStyle w:val="Compact"/>
              <w:jc w:val="left"/>
            </w:pPr>
            <w:r>
              <w:t xml:space="preserve">le) Signal de marché/politique sélectionné</w:t>
            </w:r>
          </w:p>
        </w:tc>
      </w:tr>
      <w:tr>
        <w:tc>
          <w:tcPr/>
          <w:p>
            <w:pPr>
              <w:pStyle w:val="Compact"/>
              <w:jc w:val="left"/>
            </w:pPr>
            <w:r>
              <w:t xml:space="preserve">2008</w:t>
            </w:r>
          </w:p>
        </w:tc>
        <w:tc>
          <w:tcPr/>
          <w:p>
            <w:pPr>
              <w:pStyle w:val="Compact"/>
              <w:jc w:val="right"/>
            </w:pPr>
            <w:r>
              <w:t xml:space="preserve">99,67*</w:t>
            </w:r>
          </w:p>
        </w:tc>
        <w:tc>
          <w:tcPr/>
          <w:p>
            <w:pPr>
              <w:pStyle w:val="Compact"/>
              <w:jc w:val="right"/>
            </w:pPr>
            <w:r>
              <w:t xml:space="preserve">1 415</w:t>
            </w:r>
          </w:p>
        </w:tc>
        <w:tc>
          <w:tcPr/>
          <w:p>
            <w:pPr>
              <w:pStyle w:val="Compact"/>
              <w:jc w:val="left"/>
            </w:pPr>
            <w:r>
              <w:t xml:space="preserve">Forte volatilité pétrolière ; investissements précoces dans l’électrification</w:t>
            </w:r>
          </w:p>
        </w:tc>
      </w:tr>
      <w:tr>
        <w:tc>
          <w:tcPr/>
          <w:p>
            <w:pPr>
              <w:pStyle w:val="Compact"/>
              <w:jc w:val="left"/>
            </w:pPr>
            <w:r>
              <w:t xml:space="preserve">2020</w:t>
            </w:r>
          </w:p>
        </w:tc>
        <w:tc>
          <w:tcPr/>
          <w:p>
            <w:pPr>
              <w:pStyle w:val="Compact"/>
              <w:jc w:val="right"/>
            </w:pPr>
            <w:r>
              <w:t xml:space="preserve">39,16</w:t>
            </w:r>
          </w:p>
        </w:tc>
        <w:tc>
          <w:tcPr/>
          <w:p>
            <w:pPr>
              <w:pStyle w:val="Compact"/>
              <w:jc w:val="right"/>
            </w:pPr>
            <w:r>
              <w:t xml:space="preserve">—</w:t>
            </w:r>
          </w:p>
        </w:tc>
        <w:tc>
          <w:tcPr/>
          <w:p>
            <w:pPr>
              <w:pStyle w:val="Compact"/>
              <w:jc w:val="left"/>
            </w:pPr>
            <w:r>
              <w:t xml:space="preserve">Choc de demande pandémique</w:t>
            </w:r>
          </w:p>
        </w:tc>
      </w:tr>
      <w:tr>
        <w:tc>
          <w:tcPr/>
          <w:p>
            <w:pPr>
              <w:pStyle w:val="Compact"/>
              <w:jc w:val="left"/>
            </w:pPr>
            <w:r>
              <w:t xml:space="preserve">2021</w:t>
            </w:r>
          </w:p>
        </w:tc>
        <w:tc>
          <w:tcPr/>
          <w:p>
            <w:pPr>
              <w:pStyle w:val="Compact"/>
              <w:jc w:val="right"/>
            </w:pPr>
            <w:r>
              <w:t xml:space="preserve">68,13</w:t>
            </w:r>
          </w:p>
        </w:tc>
        <w:tc>
          <w:tcPr/>
          <w:p>
            <w:pPr>
              <w:pStyle w:val="Compact"/>
              <w:jc w:val="right"/>
            </w:pPr>
            <w:r>
              <w:t xml:space="preserve">157</w:t>
            </w:r>
          </w:p>
        </w:tc>
        <w:tc>
          <w:tcPr/>
          <w:p>
            <w:pPr>
              <w:pStyle w:val="Compact"/>
              <w:jc w:val="left"/>
            </w:pPr>
            <w:r>
              <w:t xml:space="preserve">Reprise de la demande de carburant</w:t>
            </w:r>
          </w:p>
        </w:tc>
      </w:tr>
      <w:tr>
        <w:tc>
          <w:tcPr/>
          <w:p>
            <w:pPr>
              <w:pStyle w:val="Compact"/>
              <w:jc w:val="left"/>
            </w:pPr>
            <w:r>
              <w:t xml:space="preserve">2022</w:t>
            </w:r>
          </w:p>
        </w:tc>
        <w:tc>
          <w:tcPr/>
          <w:p>
            <w:pPr>
              <w:pStyle w:val="Compact"/>
              <w:jc w:val="right"/>
            </w:pPr>
            <w:r>
              <w:t xml:space="preserve">94,90</w:t>
            </w:r>
          </w:p>
        </w:tc>
        <w:tc>
          <w:tcPr/>
          <w:p>
            <w:pPr>
              <w:pStyle w:val="Compact"/>
              <w:jc w:val="right"/>
            </w:pPr>
            <w:r>
              <w:t xml:space="preserve">153</w:t>
            </w:r>
          </w:p>
        </w:tc>
        <w:tc>
          <w:tcPr/>
          <w:p>
            <w:pPr>
              <w:pStyle w:val="Compact"/>
              <w:jc w:val="left"/>
            </w:pPr>
            <w:r>
              <w:t xml:space="preserve">Choc énergétique lié à la guerre ; adoption de l’IRA</w:t>
            </w:r>
          </w:p>
        </w:tc>
      </w:tr>
      <w:tr>
        <w:tc>
          <w:tcPr/>
          <w:p>
            <w:pPr>
              <w:pStyle w:val="Compact"/>
              <w:jc w:val="left"/>
            </w:pPr>
            <w:r>
              <w:t xml:space="preserve">2023</w:t>
            </w:r>
          </w:p>
        </w:tc>
        <w:tc>
          <w:tcPr/>
          <w:p>
            <w:pPr>
              <w:pStyle w:val="Compact"/>
              <w:jc w:val="right"/>
            </w:pPr>
            <w:r>
              <w:t xml:space="preserve">77,58</w:t>
            </w:r>
          </w:p>
        </w:tc>
        <w:tc>
          <w:tcPr/>
          <w:p>
            <w:pPr>
              <w:pStyle w:val="Compact"/>
              <w:jc w:val="right"/>
            </w:pPr>
            <w:r>
              <w:t xml:space="preserve">139</w:t>
            </w:r>
          </w:p>
        </w:tc>
        <w:tc>
          <w:tcPr/>
          <w:p>
            <w:pPr>
              <w:pStyle w:val="Compact"/>
              <w:jc w:val="left"/>
            </w:pPr>
            <w:r>
              <w:t xml:space="preserve">Début de nouvelles règles sur les minéraux et composants de batterie</w:t>
            </w:r>
          </w:p>
        </w:tc>
      </w:tr>
      <w:tr>
        <w:tc>
          <w:tcPr/>
          <w:p>
            <w:pPr>
              <w:pStyle w:val="Compact"/>
              <w:jc w:val="left"/>
            </w:pPr>
            <w:r>
              <w:t xml:space="preserve">2024</w:t>
            </w:r>
          </w:p>
        </w:tc>
        <w:tc>
          <w:tcPr/>
          <w:p>
            <w:pPr>
              <w:pStyle w:val="Compact"/>
              <w:jc w:val="right"/>
            </w:pPr>
            <w:r>
              <w:t xml:space="preserve">76,63</w:t>
            </w:r>
          </w:p>
        </w:tc>
        <w:tc>
          <w:tcPr/>
          <w:p>
            <w:pPr>
              <w:pStyle w:val="Compact"/>
              <w:jc w:val="right"/>
            </w:pPr>
            <w:r>
              <w:t xml:space="preserve">—</w:t>
            </w:r>
          </w:p>
        </w:tc>
        <w:tc>
          <w:tcPr/>
          <w:p>
            <w:pPr>
              <w:pStyle w:val="Compact"/>
              <w:jc w:val="left"/>
            </w:pPr>
            <w:r>
              <w:t xml:space="preserve">Tarif sur batteries de VE chinoises relevé à 25%</w:t>
            </w:r>
          </w:p>
        </w:tc>
      </w:tr>
      <w:tr>
        <w:tc>
          <w:tcPr/>
          <w:p>
            <w:pPr>
              <w:pStyle w:val="Compact"/>
              <w:jc w:val="left"/>
            </w:pPr>
            <w:r>
              <w:t xml:space="preserve">2025</w:t>
            </w:r>
          </w:p>
        </w:tc>
        <w:tc>
          <w:tcPr/>
          <w:p>
            <w:pPr>
              <w:pStyle w:val="Compact"/>
              <w:jc w:val="right"/>
            </w:pPr>
            <w:r>
              <w:t xml:space="preserve">65,39</w:t>
            </w:r>
          </w:p>
        </w:tc>
        <w:tc>
          <w:tcPr/>
          <w:p>
            <w:pPr>
              <w:pStyle w:val="Compact"/>
              <w:jc w:val="right"/>
            </w:pPr>
            <w:r>
              <w:t xml:space="preserve">—</w:t>
            </w:r>
          </w:p>
        </w:tc>
        <w:tc>
          <w:tcPr/>
          <w:p>
            <w:pPr>
              <w:pStyle w:val="Compact"/>
              <w:jc w:val="left"/>
            </w:pPr>
            <w:r>
              <w:t xml:space="preserve">Tarifs auto/pièces ; nouveau crédit véhicule propre prend fin le 30 sept.</w:t>
            </w:r>
          </w:p>
        </w:tc>
      </w:tr>
    </w:tbl>
    <w:p>
      <w:pPr>
        <w:pStyle w:val="BodyText"/>
      </w:pPr>
      <w:r>
        <w:t xml:space="preserve">*La valeur de 2008 est une valeur de la série de prix au comptant annuels du WTI de l’EIA ; les coûts des batteries sont des estimations du DOE en dollars constants et ne sont pas directement comparables d’une publication annuelle à l’autre.</w:t>
      </w:r>
    </w:p>
    <w:bookmarkEnd w:id="10"/>
    <w:bookmarkStart w:id="11" w:name="X7a727eacaee9d268c161bed73305afef92efb13"/>
    <w:p>
      <w:pPr>
        <w:pStyle w:val="Heading1"/>
      </w:pPr>
      <w:r>
        <w:t xml:space="preserve">La demande devenait plus attrayante - et moins prévisible</w:t>
      </w:r>
    </w:p>
    <w:p>
      <w:pPr>
        <w:pStyle w:val="FirstParagraph"/>
      </w:pPr>
      <w:r>
        <w:t xml:space="preserve">Les attitudes des consommateurs compliquaient le tableau. AAA a rapporté en 2024 que 18 pour cent des adultes américains étaient susceptibles d’acheter un véhicule entièrement électrique, contre 23 pour cent un an plus tôt, tandis que 31 pour cent ont déclaré être susceptibles d’acheter un véhicule hybride. En 2025, la probabilité déclarée d’acheter un véhicule entièrement électrique a de nouveau chuté à 16 pour cent. Les concessionnaires d’Aurora ont interprété ces chiffres comme la preuve que les hybrides devenaient une technologie de transition pratique. L’organisation commerciale a toutefois averti que l’intérêt exprimé dans les enquêtes ne se traduisait pas nécessairement par des commandes signées aux prix pratiqués par Aurora.</w:t>
      </w:r>
    </w:p>
    <w:p>
      <w:pPr>
        <w:pStyle w:val="BodyText"/>
      </w:pPr>
      <w:r>
        <w:t xml:space="preserve">Les incitations fédérales ajoutaient une autre discontinuité. Le crédit révisé pour véhicules propres exigeait un assemblage final nord-américain et, à partir de 2023, des tests de plus en plus restrictifs sur l’approvisionnement en minéraux critiques et en composants de batterie. Les véhicules hybrides rechargeables d’au moins 7 kWh pouvaient être admissibles s’ils respectaient les règles, mais le Crosswind hybride conventionnel d’Aurora ne l’était pas. Aurora avait donc accéléré le développement d’une version rechargeable. L’économie de ce programme a changé lorsque les directives fédérales ont indiqué que le nouveau crédit pour véhicules propres n’était pas disponible pour les véhicules acquis après le 30 septembre 2025. Les concessionnaires disposaient encore d’incitations d’État sur certains marchés, mais la disponibilité et les montants différaient.</w:t>
      </w:r>
    </w:p>
    <w:bookmarkEnd w:id="11"/>
    <w:bookmarkStart w:id="12" w:name="le-problème-de-planification-doctobre"/>
    <w:p>
      <w:pPr>
        <w:pStyle w:val="Heading1"/>
      </w:pPr>
      <w:r>
        <w:t xml:space="preserve">Le problème de planification d’octobre</w:t>
      </w:r>
    </w:p>
    <w:p>
      <w:pPr>
        <w:pStyle w:val="FirstParagraph"/>
      </w:pPr>
      <w:r>
        <w:t xml:space="preserve">L’équipe de planification d’Aurora a préparé trois scénarios de demande pour les 16 prochaines semaines. Les scénarios n’étaient pas des probabilités ; chacun représentait un récit cohérent que la direction générale jugeait plausible.</w:t>
      </w:r>
    </w:p>
    <w:tbl>
      <w:tblPr>
        <w:tblStyle w:val="Table"/>
        <w:tblW w:type="pct" w:w="4937"/>
        <w:tblLayout w:type="fixed"/>
        <w:tblLook w:firstRow="1" w:lastRow="0" w:firstColumn="0" w:lastColumn="0" w:noHBand="0" w:noVBand="0" w:val="0020"/>
      </w:tblPr>
      <w:tblGrid>
        <w:gridCol w:w="902"/>
        <w:gridCol w:w="2456"/>
        <w:gridCol w:w="952"/>
        <w:gridCol w:w="852"/>
        <w:gridCol w:w="2656"/>
      </w:tblGrid>
      <w:tr>
        <w:trPr>
          <w:tblHeader w:val="on"/>
        </w:trPr>
        <w:tc>
          <w:tcPr/>
          <w:p>
            <w:pPr>
              <w:pStyle w:val="Compact"/>
              <w:jc w:val="left"/>
            </w:pPr>
            <w:r>
              <w:t xml:space="preserve">Scénario</w:t>
            </w:r>
          </w:p>
        </w:tc>
        <w:tc>
          <w:tcPr/>
          <w:p>
            <w:pPr>
              <w:pStyle w:val="Compact"/>
              <w:jc w:val="left"/>
            </w:pPr>
            <w:r>
              <w:t xml:space="preserve">Déclencheur</w:t>
            </w:r>
          </w:p>
        </w:tc>
        <w:tc>
          <w:tcPr/>
          <w:p>
            <w:pPr>
              <w:pStyle w:val="Compact"/>
              <w:jc w:val="right"/>
            </w:pPr>
            <w:r>
              <w:t xml:space="preserve">Demande Crosswi</w:t>
            </w:r>
          </w:p>
        </w:tc>
        <w:tc>
          <w:tcPr/>
          <w:p>
            <w:pPr>
              <w:pStyle w:val="Compact"/>
            </w:pPr>
            <w:r>
              <w:t xml:space="preserve">nd Demande rech</w:t>
            </w:r>
          </w:p>
        </w:tc>
        <w:tc>
          <w:tcPr/>
          <w:p>
            <w:pPr>
              <w:pStyle w:val="Compact"/>
              <w:jc w:val="left"/>
            </w:pPr>
            <w:r>
              <w:t xml:space="preserve">argeable Conséquence opérationnelle</w:t>
            </w:r>
          </w:p>
        </w:tc>
      </w:tr>
      <w:tr>
        <w:tc>
          <w:tcPr/>
          <w:p>
            <w:pPr>
              <w:pStyle w:val="Compact"/>
              <w:jc w:val="left"/>
            </w:pPr>
            <w:r>
              <w:t xml:space="preserve">Choc pétrolier</w:t>
            </w:r>
          </w:p>
        </w:tc>
        <w:tc>
          <w:tcPr/>
          <w:p>
            <w:pPr>
              <w:pStyle w:val="Compact"/>
              <w:jc w:val="left"/>
            </w:pPr>
            <w:r>
              <w:t xml:space="preserve">Perturbation de l’offre pétrolière ; forte ha</w:t>
            </w:r>
          </w:p>
        </w:tc>
        <w:tc>
          <w:tcPr/>
          <w:p>
            <w:pPr>
              <w:pStyle w:val="Compact"/>
              <w:jc w:val="right"/>
            </w:pPr>
            <w:r>
              <w:t xml:space="preserve">usse de l’essence</w:t>
            </w:r>
          </w:p>
        </w:tc>
        <w:tc>
          <w:tcPr/>
          <w:p>
            <w:pPr>
              <w:pStyle w:val="Compact"/>
            </w:pPr>
            <w:r>
              <w:t xml:space="preserve">+22%</w:t>
            </w:r>
          </w:p>
        </w:tc>
        <w:tc>
          <w:tcPr/>
          <w:p>
            <w:pPr>
              <w:pStyle w:val="Compact"/>
              <w:jc w:val="left"/>
            </w:pPr>
            <w:r>
              <w:t xml:space="preserve">+35% Accélérer les pièces asiatiques ; différer les modèles à faible marge</w:t>
            </w:r>
          </w:p>
        </w:tc>
      </w:tr>
      <w:tr>
        <w:tc>
          <w:tcPr/>
          <w:p>
            <w:pPr>
              <w:pStyle w:val="Compact"/>
              <w:jc w:val="left"/>
            </w:pPr>
            <w:r>
              <w:t xml:space="preserve">Gueule de bois pol</w:t>
            </w:r>
          </w:p>
        </w:tc>
        <w:tc>
          <w:tcPr/>
          <w:p>
            <w:pPr>
              <w:pStyle w:val="Compact"/>
              <w:jc w:val="left"/>
            </w:pPr>
            <w:r>
              <w:t xml:space="preserve">itique Le retrait du crédit déprime la demande</w:t>
            </w:r>
          </w:p>
        </w:tc>
        <w:tc>
          <w:tcPr/>
          <w:p>
            <w:pPr>
              <w:pStyle w:val="Compact"/>
              <w:jc w:val="right"/>
            </w:pPr>
            <w:r>
              <w:t xml:space="preserve">électrifiée -8%</w:t>
            </w:r>
          </w:p>
        </w:tc>
        <w:tc>
          <w:tcPr/>
          <w:p>
            <w:pPr>
              <w:pStyle w:val="Compact"/>
            </w:pPr>
            <w:r>
              <w:t xml:space="preserve">-28</w:t>
            </w:r>
          </w:p>
        </w:tc>
        <w:tc>
          <w:tcPr/>
          <w:p>
            <w:pPr>
              <w:pStyle w:val="Compact"/>
              <w:jc w:val="left"/>
            </w:pPr>
            <w:r>
              <w:t xml:space="preserve">% Composants rechargeables excédentaires ; annulations des concessionnaires</w:t>
            </w:r>
          </w:p>
        </w:tc>
      </w:tr>
      <w:tr>
        <w:tc>
          <w:tcPr/>
          <w:p>
            <w:pPr>
              <w:pStyle w:val="Compact"/>
              <w:jc w:val="left"/>
            </w:pPr>
            <w:r>
              <w:t xml:space="preserve">Pivot hybride</w:t>
            </w:r>
          </w:p>
        </w:tc>
        <w:tc>
          <w:tcPr/>
          <w:p>
            <w:pPr>
              <w:pStyle w:val="Compact"/>
              <w:jc w:val="left"/>
            </w:pPr>
            <w:r>
              <w:t xml:space="preserve">Les acheteurs évitent les VE complets mais reche</w:t>
            </w:r>
          </w:p>
        </w:tc>
        <w:tc>
          <w:tcPr/>
          <w:p>
            <w:pPr>
              <w:pStyle w:val="Compact"/>
              <w:jc w:val="right"/>
            </w:pPr>
            <w:r>
              <w:t xml:space="preserve">rchent l’économie d</w:t>
            </w:r>
          </w:p>
        </w:tc>
        <w:tc>
          <w:tcPr/>
          <w:p>
            <w:pPr>
              <w:pStyle w:val="Compact"/>
            </w:pPr>
            <w:r>
              <w:t xml:space="preserve">e carburant</w:t>
            </w:r>
          </w:p>
        </w:tc>
        <w:tc>
          <w:tcPr/>
          <w:p>
            <w:pPr>
              <w:pStyle w:val="Compact"/>
              <w:jc w:val="left"/>
            </w:pPr>
            <w:r>
              <w:t xml:space="preserve">+15% +5% La demande de moteurs, onduleurs et batteries augmente simultanément</w:t>
            </w:r>
          </w:p>
        </w:tc>
      </w:tr>
    </w:tbl>
    <w:p>
      <w:pPr>
        <w:pStyle w:val="BodyText"/>
      </w:pPr>
      <w:r>
        <w:t xml:space="preserve">Le plan de production actuel prévoyait 15 900 véhicules sur l’horizon de 16 semaines. La disponibilité confirmée des composants ne permettait de soutenir que 13 750 unités sans intervention. Les achats ont proposé 18,6 millions de dollars de commandes accélérées et de fret prioritaire. La fabrication a proposé de reséquencer la production autour des pièces disponibles, en acceptant une production hebdomadaire plus faible mais en évitant la logistique d’urgence. Les ventes voulaient qu’Aurora priorise les commandes des concessionnaires dans les régions à prix de l’essence élevés et annonce immédiatement des dates de livraison. Le service financier a soutenu qu’Aurora ne devrait pas engager de composants rares avant de mieux comprendre les annulations consécutives au changement de crédit d’impôt.</w:t>
      </w:r>
    </w:p>
    <w:tbl>
      <w:tblPr>
        <w:tblStyle w:val="Table"/>
        <w:tblW w:type="pct" w:w="4943"/>
        <w:tblLayout w:type="fixed"/>
        <w:tblLook w:firstRow="1" w:lastRow="0" w:firstColumn="0" w:lastColumn="0" w:noHBand="0" w:noVBand="0" w:val="0020"/>
      </w:tblPr>
      <w:tblGrid>
        <w:gridCol w:w="1855"/>
        <w:gridCol w:w="2036"/>
        <w:gridCol w:w="1855"/>
        <w:gridCol w:w="2081"/>
      </w:tblGrid>
      <w:tr>
        <w:trPr>
          <w:tblHeader w:val="on"/>
        </w:trPr>
        <w:tc>
          <w:tcPr/>
          <w:p>
            <w:pPr>
              <w:pStyle w:val="Compact"/>
            </w:pPr>
            <w:r>
              <w:t xml:space="preserve">Réponse proposée T</w:t>
            </w:r>
          </w:p>
        </w:tc>
        <w:tc>
          <w:tcPr/>
          <w:p>
            <w:pPr>
              <w:pStyle w:val="Compact"/>
              <w:jc w:val="left"/>
            </w:pPr>
            <w:r>
              <w:t xml:space="preserve">résorerie/coût immédiat</w:t>
            </w:r>
          </w:p>
        </w:tc>
        <w:tc>
          <w:tcPr/>
          <w:p>
            <w:pPr>
              <w:pStyle w:val="Compact"/>
              <w:jc w:val="center"/>
            </w:pPr>
            <w:r>
              <w:t xml:space="preserve">Avantage potentiel</w:t>
            </w:r>
          </w:p>
        </w:tc>
        <w:tc>
          <w:tcPr/>
          <w:p>
            <w:pPr>
              <w:pStyle w:val="Compact"/>
              <w:jc w:val="center"/>
            </w:pPr>
            <w:r>
              <w:t xml:space="preserve">Préoccupation principale</w:t>
            </w:r>
          </w:p>
        </w:tc>
      </w:tr>
      <w:tr>
        <w:tc>
          <w:tcPr/>
          <w:p>
            <w:pPr>
              <w:pStyle w:val="Compact"/>
            </w:pPr>
            <w:r>
              <w:t xml:space="preserve">Acheter et accélérer les composants impor</w:t>
            </w:r>
          </w:p>
        </w:tc>
        <w:tc>
          <w:tcPr/>
          <w:p>
            <w:pPr>
              <w:pStyle w:val="Compact"/>
              <w:jc w:val="left"/>
            </w:pPr>
            <w:r>
              <w:t xml:space="preserve">tés Engagement de 18,6 M$ ; fret priorita</w:t>
            </w:r>
          </w:p>
        </w:tc>
        <w:tc>
          <w:tcPr/>
          <w:p>
            <w:pPr>
              <w:pStyle w:val="Compact"/>
              <w:jc w:val="center"/>
            </w:pPr>
            <w:r>
              <w:t xml:space="preserve">ire de 3,4 M$ Protège la production et</w:t>
            </w:r>
          </w:p>
        </w:tc>
        <w:tc>
          <w:tcPr/>
          <w:p>
            <w:pPr>
              <w:pStyle w:val="Compact"/>
              <w:jc w:val="center"/>
            </w:pPr>
            <w:r>
              <w:t xml:space="preserve">le service aux concessionnaires Les tarifs ou la demande peuvent changer avant l’arrivée</w:t>
            </w:r>
          </w:p>
        </w:tc>
      </w:tr>
      <w:tr>
        <w:tc>
          <w:tcPr/>
          <w:p>
            <w:pPr>
              <w:pStyle w:val="Compact"/>
            </w:pPr>
            <w:r>
              <w:t xml:space="preserve">Construire des véhicules incomplets</w:t>
            </w:r>
          </w:p>
        </w:tc>
        <w:tc>
          <w:tcPr/>
          <w:p>
            <w:pPr>
              <w:pStyle w:val="Compact"/>
              <w:jc w:val="left"/>
            </w:pPr>
            <w:r>
              <w:t xml:space="preserve">Fonds de roulement temporaire de 6,</w:t>
            </w:r>
          </w:p>
        </w:tc>
        <w:tc>
          <w:tcPr/>
          <w:p>
            <w:pPr>
              <w:pStyle w:val="Compact"/>
              <w:jc w:val="center"/>
            </w:pPr>
            <w:r>
              <w:t xml:space="preserve">2 M$ Maintient l’utilisation de la ma</w:t>
            </w:r>
          </w:p>
        </w:tc>
        <w:tc>
          <w:tcPr/>
          <w:p>
            <w:pPr>
              <w:pStyle w:val="Compact"/>
              <w:jc w:val="center"/>
            </w:pPr>
            <w:r>
              <w:t xml:space="preserve">in-d’œuvre et de l’atelier de carrosserie Risque de reprise, de stockage et de qualité</w:t>
            </w:r>
          </w:p>
        </w:tc>
      </w:tr>
      <w:tr>
        <w:tc>
          <w:tcPr/>
          <w:p>
            <w:pPr>
              <w:pStyle w:val="Compact"/>
            </w:pPr>
            <w:r>
              <w:t xml:space="preserve">Réallouer les composants par marge/région</w:t>
            </w:r>
          </w:p>
        </w:tc>
        <w:tc>
          <w:tcPr/>
          <w:p>
            <w:pPr>
              <w:pStyle w:val="Compact"/>
              <w:jc w:val="left"/>
            </w:pPr>
            <w:r>
              <w:t xml:space="preserve">Faible coût direct</w:t>
            </w:r>
          </w:p>
        </w:tc>
        <w:tc>
          <w:tcPr/>
          <w:p>
            <w:pPr>
              <w:pStyle w:val="Compact"/>
              <w:jc w:val="center"/>
            </w:pPr>
            <w:r>
              <w:t xml:space="preserve">Fait correspondre l’offre rare à la</w:t>
            </w:r>
          </w:p>
        </w:tc>
        <w:tc>
          <w:tcPr/>
          <w:p>
            <w:pPr>
              <w:pStyle w:val="Compact"/>
              <w:jc w:val="center"/>
            </w:pPr>
            <w:r>
              <w:t xml:space="preserve">valeur actuelle Équité envers les concessionnaires et erreur de prévision</w:t>
            </w:r>
          </w:p>
        </w:tc>
      </w:tr>
      <w:tr>
        <w:tc>
          <w:tcPr/>
          <w:p>
            <w:pPr>
              <w:pStyle w:val="Compact"/>
            </w:pPr>
            <w:r>
              <w:t xml:space="preserve">Réduire le plan de production</w:t>
            </w:r>
          </w:p>
        </w:tc>
        <w:tc>
          <w:tcPr/>
          <w:p>
            <w:pPr>
              <w:pStyle w:val="Compact"/>
              <w:jc w:val="left"/>
            </w:pPr>
            <w:r>
              <w:t xml:space="preserve">Marge de contribution non réalisée</w:t>
            </w:r>
          </w:p>
        </w:tc>
        <w:tc>
          <w:tcPr/>
          <w:p>
            <w:pPr>
              <w:pStyle w:val="Compact"/>
              <w:jc w:val="center"/>
            </w:pPr>
            <w:r>
              <w:t xml:space="preserve">Limite le stock et l’exposition</w:t>
            </w:r>
          </w:p>
        </w:tc>
        <w:tc>
          <w:tcPr/>
          <w:p>
            <w:pPr>
              <w:pStyle w:val="Compact"/>
              <w:jc w:val="center"/>
            </w:pPr>
            <w:r>
              <w:t xml:space="preserve">tarifaire Longues attentes des clients ; perturbation des fournisseurs</w:t>
            </w:r>
          </w:p>
        </w:tc>
      </w:tr>
      <w:tr>
        <w:tc>
          <w:tcPr/>
          <w:p>
            <w:pPr>
              <w:pStyle w:val="Compact"/>
            </w:pPr>
            <w:r>
              <w:t xml:space="preserve">Diversifier les sources et redessiner</w:t>
            </w:r>
          </w:p>
        </w:tc>
        <w:tc>
          <w:tcPr/>
          <w:p>
            <w:pPr>
              <w:pStyle w:val="Compact"/>
              <w:jc w:val="left"/>
            </w:pPr>
            <w:r>
              <w:t xml:space="preserve">Jusqu’à 42 M$ sur 18 mois</w:t>
            </w:r>
          </w:p>
        </w:tc>
        <w:tc>
          <w:tcPr/>
          <w:p>
            <w:pPr>
              <w:pStyle w:val="Compact"/>
              <w:jc w:val="center"/>
            </w:pPr>
            <w:r>
              <w:t xml:space="preserve">Résilience à long terme et con</w:t>
            </w:r>
          </w:p>
        </w:tc>
        <w:tc>
          <w:tcPr/>
          <w:p>
            <w:pPr>
              <w:pStyle w:val="Compact"/>
              <w:jc w:val="center"/>
            </w:pPr>
            <w:r>
              <w:t xml:space="preserve">tenu local Trop lent pour le carnet de commandes actuel</w:t>
            </w:r>
          </w:p>
        </w:tc>
      </w:tr>
    </w:tbl>
    <w:bookmarkEnd w:id="12"/>
    <w:bookmarkStart w:id="13" w:name="Xcb4c7b7efd8a19be113d9f8999d4ae0fd88955c"/>
    <w:p>
      <w:pPr>
        <w:pStyle w:val="Heading1"/>
      </w:pPr>
      <w:r>
        <w:t xml:space="preserve">Un problème de coordination, pas quatre prévisions distinctes</w:t>
      </w:r>
    </w:p>
    <w:p>
      <w:pPr>
        <w:pStyle w:val="FirstParagraph"/>
      </w:pPr>
      <w:r>
        <w:t xml:space="preserve">Chen pensait que les services d’Aurora optimisaient différentes versions du problème. Les achats mesuraient la disponibilité des pièces et la variance des prix d’achat. La fabrication mesurait l’utilisation de la ligne et les véhicules terminés. La logistique mesurait le fret prioritaire et la performance de livraison. Les ventes mesuraient les commandes et les taux de remplissage des concessionnaires. Le service financier mesurait la trésorerie, la marge et les stocks. Aucun ne détenait la décision combinée, de l’engagement des composants jusqu’à la livraison au client.</w:t>
      </w:r>
    </w:p>
    <w:p>
      <w:pPr>
        <w:pStyle w:val="BodyText"/>
      </w:pPr>
      <w:r>
        <w:t xml:space="preserve">Plusieurs cadres ont proposé une réunion hebdomadaire de « tour de contrôle ». D’autres ont fait valoir qu’une réunion ne résoudrait pas le problème sous-jacent : Aurora avait besoin d’un modèle de décision représentant conjointement les délais d’approvisionnement amont, les tarifs douaniers, les contraintes de production, les annulations incertaines, la demande régionale et la capacité aval. Les informations nécessaires à un tel modèle étaient incomplètes. Les délais des fournisseurs étaient indiqués sous forme de chiffres uniques même lorsque leurs distributions étaient fortement asymétriques. Les commandes des concessionnaires pouvaient être annulées sans pénalité. Les classifications tarifaires étaient parfois contestées après l’entrée en douane. Les prévisions de prix de l’essence ne fournissaient aucun avertissement fiable des chocs géopolitiques.</w:t>
      </w:r>
    </w:p>
    <w:bookmarkEnd w:id="13"/>
    <w:bookmarkStart w:id="14" w:name="la-réunion"/>
    <w:p>
      <w:pPr>
        <w:pStyle w:val="Heading1"/>
      </w:pPr>
      <w:r>
        <w:t xml:space="preserve">La réunion</w:t>
      </w:r>
    </w:p>
    <w:p>
      <w:pPr>
        <w:pStyle w:val="FirstParagraph"/>
      </w:pPr>
      <w:r>
        <w:t xml:space="preserve">À 16h00, Chen a écrit cinq chiffres au tableau : 3 800 commandes clients ; 2,6 semaines de modules de contrôle ; 18,6 millions de dollars d’engagements proposés ; 16 semaines de demande incertaine ; et une promesse de livraison de huit semaines. Le directeur général voulait une recommandation d’ici vendredi. Il n’a pas demandé de prévision. Il a demandé ce qu’Aurora devrait faire maintenant, quelles informations elle devrait recueillir ensuite, et quels engagements devraient rester réversibles.</w:t>
      </w:r>
    </w:p>
    <w:p>
      <w:pPr>
        <w:pStyle w:val="BodyText"/>
      </w:pPr>
      <w:r>
        <w:t xml:space="preserve">Chen ne voyait aucune séparation nette entre l’offre et la demande. Commander plus de cellules de batterie pourrait protéger les livraisons en cas de flambée des prix du carburant, mais pourrait aussi créer des stocks immobilisés si les tarifs augmentaient ou si la demande de véhicules rechargeables faiblissait. Réduire la production pourrait préserver la trésorerie, mais pourrait aussi faire perdre le marché juste au moment où les acheteurs se tournaient vers les hybrides. Allouer les véhicules rares aux régions à plus forte marge pourrait améliorer le profit à court terme tout en nuisant aux relations avec les concessionnaires ailleurs. Redessiner la chaîne d’approvisionnement pourrait réduire l’exposition future, mais ne remplirait pas les commandes déjà présentes dans le système.</w:t>
      </w:r>
    </w:p>
    <w:p>
      <w:pPr>
        <w:pStyle w:val="BodyText"/>
      </w:pPr>
      <w:r>
        <w:t xml:space="preserve">L’équipe de direction devrait choisir une posture opérationnelle avant même de savoir à quelle version du marché elle faisait face.</w:t>
      </w:r>
    </w:p>
    <w:bookmarkEnd w:id="14"/>
    <w:bookmarkStart w:id="15" w:name="questions-de-discussion"/>
    <w:p>
      <w:pPr>
        <w:pStyle w:val="Heading1"/>
      </w:pPr>
      <w:r>
        <w:t xml:space="preserve">Questions de discussion</w:t>
      </w:r>
    </w:p>
    <w:p>
      <w:pPr>
        <w:numPr>
          <w:ilvl w:val="0"/>
          <w:numId w:val="1001"/>
        </w:numPr>
      </w:pPr>
      <w:r>
        <w:t xml:space="preserve">Quels sont les principaux indicateurs de performance dans ce cas ? Lesquels entrent en conflit les uns avec les autres ?</w:t>
      </w:r>
    </w:p>
    <w:p>
      <w:pPr>
        <w:numPr>
          <w:ilvl w:val="0"/>
          <w:numId w:val="1001"/>
        </w:numPr>
      </w:pPr>
      <w:r>
        <w:t xml:space="preserve">Quelles décisions Aurora doit-elle prendre maintenant, et lesquelles peuvent être retardées jusqu’à l’arrivée de plus d’informations ?</w:t>
      </w:r>
    </w:p>
    <w:p>
      <w:pPr>
        <w:numPr>
          <w:ilvl w:val="0"/>
          <w:numId w:val="1001"/>
        </w:numPr>
      </w:pPr>
      <w:r>
        <w:t xml:space="preserve">Comment Aurora devrait-elle relier les achats amont, le séquencement de la production, le positionnement des stocks, l’allocation aux concessionnaires et les promesses de livraison aux clients ?</w:t>
      </w:r>
    </w:p>
    <w:p>
      <w:pPr>
        <w:numPr>
          <w:ilvl w:val="0"/>
          <w:numId w:val="1001"/>
        </w:numPr>
      </w:pPr>
      <w:r>
        <w:t xml:space="preserve">Quelles incertitudes sont exogènes, et lesquelles Aurora peut-elle influencer par des contrats, la conception de produits, la collecte d’informations ou les politiques clients ?</w:t>
      </w:r>
    </w:p>
    <w:p>
      <w:pPr>
        <w:numPr>
          <w:ilvl w:val="0"/>
          <w:numId w:val="1001"/>
        </w:numPr>
      </w:pPr>
      <w:r>
        <w:t xml:space="preserve">Quelles données seraient les plus précieuses avant vendredi ? Quelles informations seraient utiles mais arriveraient trop tard ?</w:t>
      </w:r>
    </w:p>
    <w:p>
      <w:pPr>
        <w:numPr>
          <w:ilvl w:val="0"/>
          <w:numId w:val="1001"/>
        </w:numPr>
      </w:pPr>
      <w:r>
        <w:t xml:space="preserve">Comment Aurora devrait-elle évaluer les cinq réponses proposées lorsqu’aucune ne domine dans tous les scénarios ?</w:t>
      </w:r>
    </w:p>
    <w:p>
      <w:pPr>
        <w:numPr>
          <w:ilvl w:val="0"/>
          <w:numId w:val="1001"/>
        </w:numPr>
      </w:pPr>
      <w:r>
        <w:t xml:space="preserve">Quels changements organisationnels pourraient être nécessaires même si Aurora développe un modèle de planification sophistiqué ?</w:t>
      </w:r>
    </w:p>
    <w:bookmarkEnd w:id="15"/>
    <w:bookmarkStart w:id="21"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fixer le périmètre du problème.</w:t>
      </w:r>
    </w:p>
    <w:p>
      <w:pPr>
        <w:numPr>
          <w:ilvl w:val="0"/>
          <w:numId w:val="1002"/>
        </w:numPr>
      </w:pPr>
      <w:r>
        <w:t xml:space="preserve">Utilisez l’</w:t>
      </w:r>
      <w:hyperlink r:id="rId16">
        <w:r>
          <w:rPr>
            <w:rStyle w:val="Hyperlink"/>
          </w:rPr>
          <w:t xml:space="preserve">outil de pyramide des indicateurs</w:t>
        </w:r>
      </w:hyperlink>
      <w:r>
        <w:t xml:space="preserve"> </w:t>
      </w:r>
      <w:r>
        <w:t xml:space="preserve">pour identifier et hiérarchiser les différents indicateurs de performance. Cliquez sur l’ovale contenant l’indicateur pour indiquer s’il s’agit d’un indicateur à maximiser (vert), à minimiser (rouge), d’une cible qui est un plancher (vert clair) ou un plafond (rouge clair), ou enfin d’une cible (violet).</w:t>
      </w:r>
    </w:p>
    <w:p>
      <w:pPr>
        <w:numPr>
          <w:ilvl w:val="0"/>
          <w:numId w:val="1002"/>
        </w:numPr>
      </w:pPr>
      <w:r>
        <w:t xml:space="preserve">Utilisez l’</w:t>
      </w:r>
      <w:hyperlink r:id="rId17">
        <w:r>
          <w:rPr>
            <w:rStyle w:val="Hyperlink"/>
          </w:rPr>
          <w:t xml:space="preserve">outil de priorisation des décisions</w:t>
        </w:r>
      </w:hyperlink>
      <w:r>
        <w:t xml:space="preserve"> </w:t>
      </w:r>
      <w:r>
        <w:t xml:space="preserve">pour d’abord dresser la liste des différents types de décisions (utilisez les</w:t>
      </w:r>
      <w:r>
        <w:t xml:space="preserve"> </w:t>
      </w:r>
      <w:hyperlink r:id="rId18">
        <w:r>
          <w:rPr>
            <w:rStyle w:val="Hyperlink"/>
          </w:rPr>
          <w:t xml:space="preserve">types de décisions</w:t>
        </w:r>
      </w:hyperlink>
      <w:r>
        <w:t xml:space="preserve"> </w:t>
      </w:r>
      <w:r>
        <w:t xml:space="preserve">comme guide). Celles-ci alimenteront ensuite les lignes de la matrice à droite, où les colonnes sont les indicateurs de performance triés de gauche à droite selon la priorité dans la pyramide ci-dessus. Cliquez sur chaque cellule pour indiquer si l’impact de la décision sur chaque indicateur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l’impact le plus important sur les indicateurs les plus importants se trouvent vers le haut. Les cellules dans le coin supérieur gauche devraient avoir la plus grande concentration de cellules rouges et orange. À ce stade, identifiez les décisions qui devraient recevoir le plus d’attention dans votre étude. Si vous n’avez aucune décision ayant un impact moyen ou élevé sur les indicateurs les plus importants, révisez votre liste de décisions.</w:t>
      </w:r>
    </w:p>
    <w:p>
      <w:pPr>
        <w:numPr>
          <w:ilvl w:val="0"/>
          <w:numId w:val="1002"/>
        </w:numPr>
      </w:pPr>
      <w:r>
        <w:t xml:space="preserve">Répétez le processus pour dresser la liste et hiérarchiser les incertitudes à l’aide de l’</w:t>
      </w:r>
      <w:hyperlink r:id="rId19">
        <w:r>
          <w:rPr>
            <w:rStyle w:val="Hyperlink"/>
          </w:rPr>
          <w:t xml:space="preserve">outil de priorisation des incertitudes</w:t>
        </w:r>
      </w:hyperlink>
      <w:r>
        <w:t xml:space="preserve">. Utilisez les</w:t>
      </w:r>
      <w:r>
        <w:t xml:space="preserve"> </w:t>
      </w:r>
      <w:hyperlink r:id="rId20">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capturées en utilisant la performance moyenne dans le temps ?</w:t>
      </w:r>
    </w:p>
    <w:p>
      <w:pPr>
        <w:numPr>
          <w:ilvl w:val="1"/>
          <w:numId w:val="1003"/>
        </w:numPr>
      </w:pPr>
      <w:r>
        <w:t xml:space="preserve">Quelles sources d’incertitude représentent des formes de risque qui ne sont pas correctement capturées par des moyennes ?</w:t>
      </w:r>
    </w:p>
    <w:p>
      <w:pPr>
        <w:numPr>
          <w:ilvl w:val="0"/>
          <w:numId w:val="1002"/>
        </w:numPr>
      </w:pPr>
      <w:r>
        <w:t xml:space="preserve">Choisissez la seule décision qui semble avoir l’impact le plus élevé sur l’indicateur le plus important.</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 indicateur de performance sur lequel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collaborer pour mettre en œuvre la décision.</w:t>
      </w:r>
    </w:p>
    <w:bookmarkEnd w:id="21"/>
    <w:bookmarkStart w:id="22" w:name="Xa1082406f5974d2a820315b4987d631097a46df"/>
    <w:p>
      <w:pPr>
        <w:pStyle w:val="Heading1"/>
      </w:pPr>
      <w:r>
        <w:t xml:space="preserve">Notes de source pour le contexte historique</w:t>
      </w:r>
    </w:p>
    <w:p>
      <w:pPr>
        <w:pStyle w:val="FirstParagraph"/>
      </w:pPr>
      <w:r>
        <w:t xml:space="preserve">U.S. Energy Information Administration, « Cushing, OK WTI Spot Price FOB », série annuelle (consulté en juillet 2026).</w:t>
      </w:r>
    </w:p>
    <w:p>
      <w:pPr>
        <w:pStyle w:val="BodyText"/>
      </w:pPr>
      <w:r>
        <w:t xml:space="preserve">U.S. Department of Energy, Vehicle Technologies Office, « Electric Vehicle Battery Pack Costs for a Light-Duty Vehicle in 2023 Are 90% Lower than in 2008 », 5 août 2024.</w:t>
      </w:r>
    </w:p>
    <w:p>
      <w:pPr>
        <w:pStyle w:val="BodyText"/>
      </w:pPr>
      <w:r>
        <w:t xml:space="preserve">Office of the U.S. Trade Representative, modifications tarifaires de la Section 301, mai et septembre 2024.</w:t>
      </w:r>
    </w:p>
    <w:p>
      <w:pPr>
        <w:pStyle w:val="BodyText"/>
      </w:pPr>
      <w:r>
        <w:t xml:space="preserve">Maison Blanche, Proclamation 10908 et amendements concernant les importations d’automobiles et de pièces automobiles, mars-avril 2025 ; déclarations sur le cadre commercial États-Unis-UE, juillet-août 2025.</w:t>
      </w:r>
    </w:p>
    <w:p>
      <w:pPr>
        <w:pStyle w:val="BodyText"/>
      </w:pPr>
      <w:r>
        <w:t xml:space="preserve">Internal Revenue Service, « Credits for New Clean Vehicles Purchased in 2023 or After » et instructions du formulaire 8936 de 2025.</w:t>
      </w:r>
    </w:p>
    <w:p>
      <w:pPr>
        <w:pStyle w:val="BodyText"/>
      </w:pPr>
      <w:r>
        <w:t xml:space="preserve">AAA, enquêtes annuelles sur les consommateurs de véhicules électriques, 2024 et 2025.</w:t>
      </w:r>
    </w:p>
    <w:p>
      <w:pPr>
        <w:pStyle w:val="BodyText"/>
      </w:pPr>
      <w:r>
        <w:rPr>
          <w:b/>
          <w:bCs/>
        </w:rPr>
        <w:t xml:space="preserve">Note de cas :</w:t>
      </w:r>
      <w:r>
        <w:t xml:space="preserve"> </w:t>
      </w:r>
      <w:r>
        <w:t xml:space="preserve">Aurora Motors, ses employés, produits, fournisseurs, concessionnaires, commandes, coûts, prévisions et données opérationnelles sont fictifs. Les chiffres historiques sont inclus uniquement pour établir un environnement de décision réaliste. Le cas ne prescrit intentionnellement aucune solution.</w:t>
      </w:r>
    </w:p>
    <w:bookmarkEnd w:id="22"/>
    <w:bookmarkStart w:id="25" w:name="notes-chatgpt"/>
    <w:p>
      <w:pPr>
        <w:pStyle w:val="Heading1"/>
      </w:pPr>
      <w:r>
        <w:t xml:space="preserve">Notes ChatGPT</w:t>
      </w:r>
    </w:p>
    <w:bookmarkStart w:id="23" w:name="invite"/>
    <w:p>
      <w:pPr>
        <w:pStyle w:val="Heading2"/>
      </w:pPr>
      <w:r>
        <w:t xml:space="preserve">Invite</w:t>
      </w:r>
    </w:p>
    <w:p>
      <w:pPr>
        <w:pStyle w:val="FirstParagraph"/>
      </w:pPr>
      <w:r>
        <w:t xml:space="preserve">générer une étude de cas autour du thème d’une entreprise manufacturière qui tente de coordonner les flux entrants avec le processus de fabrication et les livraisons aux clients. Le produit est des véhicules électriques hybrides soumis à des tarifs douaniers sur les pièces en provenance d’Asie et d’Europe, ainsi qu’à des changements de politiques concernant les réductions d’impôt parfois disponibles auprès du gouvernement fédéral, mais qui peuvent être retirées. Un autre facteur est l’évolution des prix de l’essence, également soumis à des problèmes internationaux, tels que des pénuries sporadiques résultant de guerres avec des nations productrices. Essayez d’inclure des données historiques sur les prix du pétrole, le coût des batteries et les tarifs douaniers, ainsi que sur l’évolution des attitudes des clients.</w:t>
      </w:r>
    </w:p>
    <w:bookmarkEnd w:id="23"/>
    <w:bookmarkStart w:id="24" w:name="résumé"/>
    <w:p>
      <w:pPr>
        <w:pStyle w:val="Heading2"/>
      </w:pPr>
      <w:r>
        <w:t xml:space="preserve">Résumé</w:t>
      </w:r>
    </w:p>
    <w:p>
      <w:pPr>
        <w:pStyle w:val="FirstParagraph"/>
      </w:pPr>
      <w:r>
        <w:t xml:space="preserve">L’étude de cas examine comment un fabricant fictif de véhicules hybrides devrait coordonner les composants importés, le séquencement de la production, les stocks, l’allocation aux concessionnaires et les promesses de livraison aux clients dans un contexte de :</w:t>
      </w:r>
    </w:p>
    <w:p>
      <w:pPr>
        <w:numPr>
          <w:ilvl w:val="0"/>
          <w:numId w:val="1005"/>
        </w:numPr>
      </w:pPr>
      <w:r>
        <w:t xml:space="preserve">Tarifs douaniers sur les batteries asiatiques et les composants électroniques, ainsi que sur les pièces automobiles européennes</w:t>
      </w:r>
    </w:p>
    <w:p>
      <w:pPr>
        <w:numPr>
          <w:ilvl w:val="0"/>
          <w:numId w:val="1005"/>
        </w:numPr>
      </w:pPr>
      <w:r>
        <w:t xml:space="preserve">Évolution des incitations fiscales fédérales pour les véhicules propres</w:t>
      </w:r>
    </w:p>
    <w:p>
      <w:pPr>
        <w:numPr>
          <w:ilvl w:val="0"/>
          <w:numId w:val="1005"/>
        </w:numPr>
      </w:pPr>
      <w:r>
        <w:t xml:space="preserve">Volatilité des prix du pétrole et de l’essence causée par des perturbations géopolitiques</w:t>
      </w:r>
    </w:p>
    <w:p>
      <w:pPr>
        <w:numPr>
          <w:ilvl w:val="0"/>
          <w:numId w:val="1005"/>
        </w:numPr>
      </w:pPr>
      <w:r>
        <w:t xml:space="preserve">Baisse des coûts des batteries</w:t>
      </w:r>
    </w:p>
    <w:p>
      <w:pPr>
        <w:numPr>
          <w:ilvl w:val="0"/>
          <w:numId w:val="1005"/>
        </w:numPr>
      </w:pPr>
      <w:r>
        <w:t xml:space="preserve">Évolution de l’intérêt des consommateurs entre véhicules à essence, hybrides, hybrides rechargeables et entièrement électriques</w:t>
      </w:r>
    </w:p>
    <w:p>
      <w:pPr>
        <w:numPr>
          <w:ilvl w:val="0"/>
          <w:numId w:val="1005"/>
        </w:numPr>
      </w:pPr>
      <w:r>
        <w:t xml:space="preserve">Longs délais d’approvisionnement amont et annulations incertaines des clients</w:t>
      </w:r>
    </w:p>
    <w:p>
      <w:pPr>
        <w:pStyle w:val="FirstParagraph"/>
      </w:pPr>
      <w:r>
        <w:t xml:space="preserve">Elle comprend des données historiques sur les prix du pétrole et le coût des batteries, l’historique des tarifs douaniers et des incitations, des scénarios de demande alternatifs, des options de réponse opérationnelle, des annexes quantitatives et des questions de discussion. Aucune solution privilégiée n’est identifiée. Le contexte historique est basé sur des sources de l’EIA, du Department of Energy, de l’USTR, de l’IRS, de la Maison Blanche et d’AAA.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2026-09-11T15:34:15Z</dcterms:created>
  <dcterms:modified xsi:type="dcterms:W3CDTF">2026-09-11T15:34:15Z</dcterms:modified>
</cp:coreProperties>
</file>

<file path=docProps/custom.xml><?xml version="1.0" encoding="utf-8"?>
<Properties xmlns="http://schemas.openxmlformats.org/officeDocument/2006/custom-properties" xmlns:vt="http://schemas.openxmlformats.org/officeDocument/2006/docPropsVTypes"/>
</file>