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Bellwether Department of Health</w:t>
      </w:r>
    </w:p>
    <w:p>
      <w:pPr>
        <w:pStyle w:val="BodyText"/>
      </w:pPr>
      <w:r>
        <w:rPr>
          <w:b/>
          <w:bCs/>
        </w:rPr>
        <w:t xml:space="preserve">La décision des 36 000 kits</w:t>
      </w:r>
    </w:p>
    <w:p>
      <w:pPr>
        <w:pStyle w:val="BodyText"/>
      </w:pPr>
      <w:r>
        <w:rPr>
          <w:i/>
          <w:iCs/>
        </w:rPr>
        <w:t xml:space="preserve">Une étude de cas de santé publique sur le placement d’un approvisionnement limité en produits de réversion des surdoses là où il est le plus susceptible d’être disponible, reconnu et utilisé</w:t>
      </w:r>
    </w:p>
    <w:tbl>
      <w:tblPr>
        <w:tblStyle w:val="Table"/>
        <w:tblW w:type="auto" w:w="0"/>
        <w:tblLook w:firstRow="0" w:lastRow="0" w:firstColumn="0" w:lastColumn="0" w:noHBand="0" w:noVBand="0" w:val="0000"/>
      </w:tblPr>
      <w:tblGrid>
        <w:gridCol w:w="7920"/>
      </w:tblGrid>
      <w:tr>
        <w:tc>
          <w:tcPr/>
          <w:p>
            <w:pPr>
              <w:pStyle w:val="Compact"/>
            </w:pPr>
            <w:r>
              <w:t xml:space="preserve">En septembre 2026, le bureau de prévention des surdoses de Bellwether reçoit moins de kits de naloxone que ce que ses partenaires avaient demandé. Les décès par surdose diminuent à l’échelle de l’État, mais plusieurs comtés ruraux et deux quartiers urbains se détériorent. L’agence doit répartir la livraison, décider qui former, et déterminer s’il faut réserver des kits pour des points chauds émergents qui n’apparaissent peut-être pas encore dans les données officielles.</w:t>
            </w:r>
          </w:p>
        </w:tc>
      </w:tr>
    </w:tbl>
    <w:p>
      <w:r>
        <w:pict>
          <v:rect style="width:0;height:1.5pt" o:hralign="center" o:hrstd="t" o:hr="t"/>
        </w:pict>
      </w:r>
    </w:p>
    <w:p>
      <w:pPr>
        <w:pStyle w:val="FirstParagraph"/>
      </w:pPr>
      <w:r>
        <w:t xml:space="preserve">Ce cas est fictif et destiné à une discussion pédagogique. Les noms, événements et chiffres internes ont été créés pour ce cas. Les statistiques publiques sont résumées dans la note de source.</w:t>
      </w:r>
    </w:p>
    <w:bookmarkStart w:id="9" w:name="la-livraison-du-vendredi"/>
    <w:p>
      <w:pPr>
        <w:pStyle w:val="Heading1"/>
      </w:pPr>
      <w:r>
        <w:t xml:space="preserve">La livraison du vendredi</w:t>
      </w:r>
    </w:p>
    <w:p>
      <w:pPr>
        <w:pStyle w:val="FirstParagraph"/>
      </w:pPr>
      <w:r>
        <w:t xml:space="preserve">À 8h10 vendredi matin, la Dre Maya Ortiz, directrice de la prévention des surdoses pour le Bellwether Department of Health, a appris que la livraison automnale de naloxone de l’État contiendrait 36 000 kits de spray nasal à deux doses. Les agences de comté, les hôpitaux, les services d’urgence, les programmes de réduction des risques, les prisons, les prestataires de traitement, les pharmacies, les garde-manger alimentaires et les organisations de logement avaient collectivement demandé 61 400 kits.</w:t>
      </w:r>
    </w:p>
    <w:p>
      <w:pPr>
        <w:pStyle w:val="BodyText"/>
      </w:pPr>
      <w:r>
        <w:t xml:space="preserve">La pénurie n’était pas causée par une défaillance nationale de production. La subvention fédérale de Bellwether était arrivée plus tard que prévu, un contrat d’achat de l’État avait expiré pendant un nouvel appel d’offres, et la législature n’avait autorisé qu’un financement relais de trois mois. Le département pouvait commander des kits supplémentaires plus tard, mais personne ne pouvait dire quand ils arriveraient ni quelle portion de la facture serait remboursable dans la prochaine période de subvention.</w:t>
      </w:r>
    </w:p>
    <w:p>
      <w:pPr>
        <w:pStyle w:val="BodyText"/>
      </w:pPr>
      <w:r>
        <w:t xml:space="preserve">Ortiz devait approuver un plan d’allocation avant midi lundi. L’entrepôt avait besoin de temps pour étiqueter les cartons, préparer le matériel de formation et planifier les livraisons. Plusieurs partenaires de comté rationnaient déjà les kits. D’autres signalaient des stocks inutilisés mais ne pouvaient pas dire si les kits étaient stockés en entrepôt, transportés par des travailleurs de proximité, remis à des personnes susceptibles d’être témoins d’une surdose, ou jetés après expiration ou dommage.</w:t>
      </w:r>
    </w:p>
    <w:bookmarkEnd w:id="9"/>
    <w:bookmarkStart w:id="11" w:name="X331268df64c7ba3f32ff221618429bf59732a08"/>
    <w:p>
      <w:pPr>
        <w:pStyle w:val="Heading1"/>
      </w:pPr>
      <w:r>
        <w:t xml:space="preserve">Une crise qui s’améliorait de manière inégale</w:t>
      </w:r>
    </w:p>
    <w:p>
      <w:pPr>
        <w:pStyle w:val="FirstParagraph"/>
      </w:pPr>
      <w:r>
        <w:t xml:space="preserve">À l’échelle nationale, la mortalité par surdose avait commencé à décliner après des années de croissance dévastatrice. Les données fédérales finales ont enregistré 79 384 décès par surdose de drogue aux États-Unis en 2024, soit une baisse de 26,2 pour cent du taux de mortalité ajusté selon l’âge par rapport à 2023. Les données préliminaires disponibles en juillet 2026 prévoyaient 68 641 décès pour les douze mois se terminant en février 2026, soit une nouvelle baisse de 12,1 pour cent par rapport à la période précédente. L’amélioration était substantielle, mais le total restait élevé et l’approvisionnement illégal en drogues continuait d’évoluer.</w:t>
      </w:r>
    </w:p>
    <w:p>
      <w:pPr>
        <w:pStyle w:val="BodyText"/>
      </w:pPr>
      <w:r>
        <w:t xml:space="preserve">L’accès à la naloxone s’était également élargi. Plus de 1,5 million d’ordonnances ont été délivrées par les pharmacies de détail américaines en 2024. Pourtant, le taux national de dispensation en pharmacie est passé de 0,6 ordonnance pour 100 personnes en 2023 à 0,4 en 2024, et les taux variaient largement selon les juridictions. Les données pharmaceutiques n’incluaient pas tous les kits distribués par les départements de santé, les premiers intervenants, les organisations communautaires, ou les amis et proches.</w:t>
      </w:r>
    </w:p>
    <w:p>
      <w:pPr>
        <w:pStyle w:val="BodyText"/>
      </w:pPr>
      <w:r>
        <w:t xml:space="preserve">Le nombre total de décès dans l’État de Bellwether avait chuté de 18 pour cent au cours de l’année précédente. La baisse était concentrée dans la région de la capitale et trois comtés suburbains. Dans le corridor manufacturier du nord, les décès étaient presque inchangés. Dans deux régions rurales, ils avaient augmenté, tandis que les services d’urgence signalaient davantage de patients nécessitant une observation prolongée après une exposition suspectée au fentanyl mélangé à des contaminants sédatifs.</w:t>
      </w:r>
    </w:p>
    <w:bookmarkStart w:id="10" w:name="X6a8d51b89345ddb29fdb802faf06f5804ec768f"/>
    <w:p>
      <w:pPr>
        <w:pStyle w:val="Heading2"/>
      </w:pPr>
      <w:r>
        <w:t xml:space="preserve">Exhibit 1. Indicateurs de surdose de Bellwether</w:t>
      </w:r>
    </w:p>
    <w:tbl>
      <w:tblPr>
        <w:tblStyle w:val="Table"/>
        <w:tblW w:type="pct" w:w="4885"/>
        <w:tblLayout w:type="fixed"/>
        <w:tblLook w:firstRow="1" w:lastRow="0" w:firstColumn="0" w:lastColumn="0" w:noHBand="0" w:noVBand="0" w:val="0020"/>
      </w:tblPr>
      <w:tblGrid>
        <w:gridCol w:w="3368"/>
        <w:gridCol w:w="1092"/>
        <w:gridCol w:w="1092"/>
        <w:gridCol w:w="2184"/>
      </w:tblGrid>
      <w:tr>
        <w:trPr>
          <w:tblHeader w:val="on"/>
        </w:trPr>
        <w:tc>
          <w:tcPr/>
          <w:p>
            <w:pPr>
              <w:pStyle w:val="Compact"/>
              <w:jc w:val="left"/>
            </w:pPr>
            <w:r>
              <w:t xml:space="preserve">Indicateur</w:t>
            </w:r>
          </w:p>
        </w:tc>
        <w:tc>
          <w:tcPr/>
          <w:p>
            <w:pPr>
              <w:pStyle w:val="Compact"/>
              <w:jc w:val="center"/>
            </w:pPr>
            <w:r>
              <w:t xml:space="preserve">2024</w:t>
            </w:r>
          </w:p>
        </w:tc>
        <w:tc>
          <w:tcPr/>
          <w:p>
            <w:pPr>
              <w:pStyle w:val="Compact"/>
              <w:jc w:val="center"/>
            </w:pPr>
            <w:r>
              <w:t xml:space="preserve">2025</w:t>
            </w:r>
          </w:p>
        </w:tc>
        <w:tc>
          <w:tcPr/>
          <w:p>
            <w:pPr>
              <w:pStyle w:val="Compact"/>
              <w:jc w:val="center"/>
            </w:pPr>
            <w:r>
              <w:t xml:space="preserve">12 derniers mois</w:t>
            </w:r>
          </w:p>
        </w:tc>
      </w:tr>
      <w:tr>
        <w:tc>
          <w:tcPr/>
          <w:p>
            <w:pPr>
              <w:pStyle w:val="Compact"/>
              <w:jc w:val="left"/>
            </w:pPr>
            <w:r>
              <w:t xml:space="preserve">Surdoses mortelles suspectées</w:t>
            </w:r>
          </w:p>
        </w:tc>
        <w:tc>
          <w:tcPr/>
          <w:p>
            <w:pPr>
              <w:pStyle w:val="Compact"/>
              <w:jc w:val="center"/>
            </w:pPr>
            <w:r>
              <w:t xml:space="preserve">1 184</w:t>
            </w:r>
          </w:p>
        </w:tc>
        <w:tc>
          <w:tcPr/>
          <w:p>
            <w:pPr>
              <w:pStyle w:val="Compact"/>
              <w:jc w:val="center"/>
            </w:pPr>
            <w:r>
              <w:t xml:space="preserve">971</w:t>
            </w:r>
          </w:p>
        </w:tc>
        <w:tc>
          <w:tcPr/>
          <w:p>
            <w:pPr>
              <w:pStyle w:val="Compact"/>
              <w:jc w:val="center"/>
            </w:pPr>
            <w:r>
              <w:t xml:space="preserve">906</w:t>
            </w:r>
          </w:p>
        </w:tc>
      </w:tr>
      <w:tr>
        <w:tc>
          <w:tcPr/>
          <w:p>
            <w:pPr>
              <w:pStyle w:val="Compact"/>
              <w:jc w:val="left"/>
            </w:pPr>
            <w:r>
              <w:t xml:space="preserve">Interventions EMS pour surdose</w:t>
            </w:r>
          </w:p>
        </w:tc>
        <w:tc>
          <w:tcPr/>
          <w:p>
            <w:pPr>
              <w:pStyle w:val="Compact"/>
              <w:jc w:val="center"/>
            </w:pPr>
            <w:r>
              <w:t xml:space="preserve">9 840</w:t>
            </w:r>
          </w:p>
        </w:tc>
        <w:tc>
          <w:tcPr/>
          <w:p>
            <w:pPr>
              <w:pStyle w:val="Compact"/>
              <w:jc w:val="center"/>
            </w:pPr>
            <w:r>
              <w:t xml:space="preserve">10 260</w:t>
            </w:r>
          </w:p>
        </w:tc>
        <w:tc>
          <w:tcPr/>
          <w:p>
            <w:pPr>
              <w:pStyle w:val="Compact"/>
              <w:jc w:val="center"/>
            </w:pPr>
            <w:r>
              <w:t xml:space="preserve">10 710</w:t>
            </w:r>
          </w:p>
        </w:tc>
      </w:tr>
      <w:tr>
        <w:tc>
          <w:tcPr/>
          <w:p>
            <w:pPr>
              <w:pStyle w:val="Compact"/>
              <w:jc w:val="left"/>
            </w:pPr>
            <w:r>
              <w:t xml:space="preserve">Administrations de naloxone par EMS</w:t>
            </w:r>
          </w:p>
        </w:tc>
        <w:tc>
          <w:tcPr/>
          <w:p>
            <w:pPr>
              <w:pStyle w:val="Compact"/>
              <w:jc w:val="center"/>
            </w:pPr>
            <w:r>
              <w:t xml:space="preserve">6 420</w:t>
            </w:r>
          </w:p>
        </w:tc>
        <w:tc>
          <w:tcPr/>
          <w:p>
            <w:pPr>
              <w:pStyle w:val="Compact"/>
              <w:jc w:val="center"/>
            </w:pPr>
            <w:r>
              <w:t xml:space="preserve">6 980</w:t>
            </w:r>
          </w:p>
        </w:tc>
        <w:tc>
          <w:tcPr/>
          <w:p>
            <w:pPr>
              <w:pStyle w:val="Compact"/>
              <w:jc w:val="center"/>
            </w:pPr>
            <w:r>
              <w:t xml:space="preserve">7 310</w:t>
            </w:r>
          </w:p>
        </w:tc>
      </w:tr>
      <w:tr>
        <w:tc>
          <w:tcPr/>
          <w:p>
            <w:pPr>
              <w:pStyle w:val="Compact"/>
              <w:jc w:val="left"/>
            </w:pPr>
            <w:r>
              <w:t xml:space="preserve">Transports hospitaliers après surdose</w:t>
            </w:r>
          </w:p>
        </w:tc>
        <w:tc>
          <w:tcPr/>
          <w:p>
            <w:pPr>
              <w:pStyle w:val="Compact"/>
              <w:jc w:val="center"/>
            </w:pPr>
            <w:r>
              <w:t xml:space="preserve">4 780</w:t>
            </w:r>
          </w:p>
        </w:tc>
        <w:tc>
          <w:tcPr/>
          <w:p>
            <w:pPr>
              <w:pStyle w:val="Compact"/>
              <w:jc w:val="center"/>
            </w:pPr>
            <w:r>
              <w:t xml:space="preserve">4 960</w:t>
            </w:r>
          </w:p>
        </w:tc>
        <w:tc>
          <w:tcPr/>
          <w:p>
            <w:pPr>
              <w:pStyle w:val="Compact"/>
              <w:jc w:val="center"/>
            </w:pPr>
            <w:r>
              <w:t xml:space="preserve">5 240</w:t>
            </w:r>
          </w:p>
        </w:tc>
      </w:tr>
      <w:tr>
        <w:tc>
          <w:tcPr/>
          <w:p>
            <w:pPr>
              <w:pStyle w:val="Compact"/>
              <w:jc w:val="left"/>
            </w:pPr>
            <w:r>
              <w:t xml:space="preserve">Réversions signalées par la communaut</w:t>
            </w:r>
          </w:p>
        </w:tc>
        <w:tc>
          <w:tcPr/>
          <w:p>
            <w:pPr>
              <w:pStyle w:val="Compact"/>
              <w:jc w:val="center"/>
            </w:pPr>
            <w:r>
              <w:t xml:space="preserve">é 2 940</w:t>
            </w:r>
          </w:p>
        </w:tc>
        <w:tc>
          <w:tcPr/>
          <w:p>
            <w:pPr>
              <w:pStyle w:val="Compact"/>
              <w:jc w:val="center"/>
            </w:pPr>
            <w:r>
              <w:t xml:space="preserve">3 880</w:t>
            </w:r>
          </w:p>
        </w:tc>
        <w:tc>
          <w:tcPr/>
          <w:p>
            <w:pPr>
              <w:pStyle w:val="Compact"/>
              <w:jc w:val="center"/>
            </w:pPr>
            <w:r>
              <w:t xml:space="preserve">4 210</w:t>
            </w:r>
          </w:p>
        </w:tc>
      </w:tr>
      <w:tr>
        <w:tc>
          <w:tcPr/>
          <w:p>
            <w:pPr>
              <w:pStyle w:val="Compact"/>
              <w:jc w:val="left"/>
            </w:pPr>
            <w:r>
              <w:t xml:space="preserve">Kits distribués achetés par l’État</w:t>
            </w:r>
          </w:p>
        </w:tc>
        <w:tc>
          <w:tcPr/>
          <w:p>
            <w:pPr>
              <w:pStyle w:val="Compact"/>
              <w:jc w:val="center"/>
            </w:pPr>
            <w:r>
              <w:t xml:space="preserve">118 000</w:t>
            </w:r>
          </w:p>
        </w:tc>
        <w:tc>
          <w:tcPr/>
          <w:p>
            <w:pPr>
              <w:pStyle w:val="Compact"/>
              <w:jc w:val="center"/>
            </w:pPr>
            <w:r>
              <w:t xml:space="preserve">142 000</w:t>
            </w:r>
          </w:p>
        </w:tc>
        <w:tc>
          <w:tcPr/>
          <w:p>
            <w:pPr>
              <w:pStyle w:val="Compact"/>
              <w:jc w:val="center"/>
            </w:pPr>
            <w:r>
              <w:t xml:space="preserve">136 500</w:t>
            </w:r>
          </w:p>
        </w:tc>
      </w:tr>
      <w:tr>
        <w:tc>
          <w:tcPr/>
          <w:p>
            <w:pPr>
              <w:pStyle w:val="Compact"/>
              <w:jc w:val="left"/>
            </w:pPr>
            <w:r>
              <w:t xml:space="preserve">Comtés signalant des pénuries locales</w:t>
            </w:r>
          </w:p>
        </w:tc>
        <w:tc>
          <w:tcPr/>
          <w:p>
            <w:pPr>
              <w:pStyle w:val="Compact"/>
              <w:jc w:val="center"/>
            </w:pPr>
            <w:r>
              <w:t xml:space="preserve">4</w:t>
            </w:r>
          </w:p>
        </w:tc>
        <w:tc>
          <w:tcPr/>
          <w:p>
            <w:pPr>
              <w:pStyle w:val="Compact"/>
              <w:jc w:val="center"/>
            </w:pPr>
            <w:r>
              <w:t xml:space="preserve">7</w:t>
            </w:r>
          </w:p>
        </w:tc>
        <w:tc>
          <w:tcPr/>
          <w:p>
            <w:pPr>
              <w:pStyle w:val="Compact"/>
              <w:jc w:val="center"/>
            </w:pPr>
            <w:r>
              <w:t xml:space="preserve">11</w:t>
            </w:r>
          </w:p>
        </w:tc>
      </w:tr>
    </w:tbl>
    <w:p>
      <w:pPr>
        <w:pStyle w:val="BodyText"/>
      </w:pPr>
      <w:r>
        <w:t xml:space="preserve">Ortiz a mis en garde son personnel contre le fait de tirer une conclusion simple de la baisse du nombre de décès. Une plus grande quantité de naloxone pourrait prévenir des décès tout en laissant le nombre de surdoses inchangé. Les interventions EMS et les transports hospitaliers augmentaient toujours. Les réversions signalées par la communauté étaient volontaires et presque certainement incomplètes. Un comté avec peu de réversions signalées pourrait avoir peu de besoins, un mauvais reporting, une faible sensibilisation, une confiance communautaire faible, ou trop peu de kits en circulation.</w:t>
      </w:r>
    </w:p>
    <w:bookmarkEnd w:id="10"/>
    <w:bookmarkEnd w:id="11"/>
    <w:bookmarkStart w:id="13" w:name="où-les-kits-pourraient-aller"/>
    <w:p>
      <w:pPr>
        <w:pStyle w:val="Heading1"/>
      </w:pPr>
      <w:r>
        <w:t xml:space="preserve">Où les kits pourraient aller</w:t>
      </w:r>
    </w:p>
    <w:p>
      <w:pPr>
        <w:pStyle w:val="FirstParagraph"/>
      </w:pPr>
      <w:r>
        <w:t xml:space="preserve">Bellwether avait distribué de la naloxone par six canaux principaux. Chacun atteignait une population différente et produisait des informations différentes. Les premiers intervenants pouvaient placer des kits lors d’une surdose rapidement, mais arrivaient généralement seulement après qu’un appel au 911 ait été passé. Les organisations de réduction des risques avaient un contact direct avec les personnes qui consommaient des drogues et leurs réseaux sociaux, mais plusieurs fonctionnaient avec de petits effectifs et des registres informels. Les pharmacies offraient une large couverture géographique mais nécessitaient souvent qu’un client demande le produit ou interagisse avec un pharmacien.</w:t>
      </w:r>
    </w:p>
    <w:p>
      <w:pPr>
        <w:pStyle w:val="BodyText"/>
      </w:pPr>
      <w:r>
        <w:t xml:space="preserve">Les hôpitaux et les prestataires de traitement pouvaient remettre de la naloxone aux patients à leur sortie, y compris aux personnes présentant un risque élevé après une période d’abstinence. Les prisons pouvaient distribuer des kits à la libération, lorsque la tolérance pouvait être réduite, mais la participation variait selon les shérifs de comté. Les garde-manger alimentaires, les refuges, les bibliothèques, les organisations confessionnelles et les fournisseurs de logement atteignaient des personnes qui ne visiteraient peut-être jamais un programme de traitement, bien que certaines organisations craignaient que le fait d’offrir visiblement de la naloxone ne crée une controverse avec les donateurs, les conseils d’administration, ou les voisins.</w:t>
      </w:r>
    </w:p>
    <w:bookmarkStart w:id="12" w:name="X458e4301518b14c3613f8e187ab74f2a516c13f"/>
    <w:p>
      <w:pPr>
        <w:pStyle w:val="Heading2"/>
      </w:pPr>
      <w:r>
        <w:t xml:space="preserve">Exhibit 2. Demandes pour la livraison de 36 000 kits</w:t>
      </w:r>
    </w:p>
    <w:tbl>
      <w:tblPr>
        <w:tblStyle w:val="Table"/>
        <w:tblW w:type="pct" w:w="4920"/>
        <w:tblLayout w:type="fixed"/>
        <w:tblLook w:firstRow="1" w:lastRow="0" w:firstColumn="0" w:lastColumn="0" w:noHBand="0" w:noVBand="0" w:val="0020"/>
      </w:tblPr>
      <w:tblGrid>
        <w:gridCol w:w="3231"/>
        <w:gridCol w:w="1077"/>
        <w:gridCol w:w="2154"/>
        <w:gridCol w:w="1330"/>
      </w:tblGrid>
      <w:tr>
        <w:trPr>
          <w:tblHeader w:val="on"/>
        </w:trPr>
        <w:tc>
          <w:tcPr/>
          <w:p>
            <w:pPr>
              <w:pStyle w:val="Compact"/>
              <w:jc w:val="left"/>
            </w:pPr>
            <w:r>
              <w:t xml:space="preserve">Canal de distribution</w:t>
            </w:r>
          </w:p>
        </w:tc>
        <w:tc>
          <w:tcPr/>
          <w:p>
            <w:pPr>
              <w:pStyle w:val="Compact"/>
              <w:jc w:val="left"/>
            </w:pPr>
            <w:r>
              <w:t xml:space="preserve">Kits demandés</w:t>
            </w:r>
          </w:p>
        </w:tc>
        <w:tc>
          <w:tcPr/>
          <w:p>
            <w:pPr>
              <w:pStyle w:val="Compact"/>
            </w:pPr>
            <w:r>
              <w:t xml:space="preserve">Kits distribués sur les 12 dernier</w:t>
            </w:r>
          </w:p>
        </w:tc>
        <w:tc>
          <w:tcPr/>
          <w:p>
            <w:pPr>
              <w:pStyle w:val="Compact"/>
            </w:pPr>
            <w:r>
              <w:t xml:space="preserve">s mois Réversions signalées</w:t>
            </w:r>
          </w:p>
        </w:tc>
      </w:tr>
      <w:tr>
        <w:tc>
          <w:tcPr/>
          <w:p>
            <w:pPr>
              <w:pStyle w:val="Compact"/>
              <w:jc w:val="left"/>
            </w:pPr>
            <w:r>
              <w:t xml:space="preserve">Programmes de réduction des risques et d’échange de</w:t>
            </w:r>
          </w:p>
        </w:tc>
        <w:tc>
          <w:tcPr/>
          <w:p>
            <w:pPr>
              <w:pStyle w:val="Compact"/>
              <w:jc w:val="left"/>
            </w:pPr>
            <w:r>
              <w:t xml:space="preserve">seringues</w:t>
            </w:r>
          </w:p>
        </w:tc>
        <w:tc>
          <w:tcPr/>
          <w:p>
            <w:pPr>
              <w:pStyle w:val="Compact"/>
            </w:pPr>
            <w:r>
              <w:t xml:space="preserve">19 600 45 200</w:t>
            </w:r>
          </w:p>
        </w:tc>
        <w:tc>
          <w:tcPr/>
          <w:p>
            <w:pPr>
              <w:pStyle w:val="Compact"/>
            </w:pPr>
            <w:r>
              <w:t xml:space="preserve">2 540</w:t>
            </w:r>
          </w:p>
        </w:tc>
      </w:tr>
      <w:tr>
        <w:tc>
          <w:tcPr/>
          <w:p>
            <w:pPr>
              <w:pStyle w:val="Compact"/>
              <w:jc w:val="left"/>
            </w:pPr>
            <w:r>
              <w:t xml:space="preserve">EMS, pompiers et forces de l’ordre</w:t>
            </w:r>
          </w:p>
        </w:tc>
        <w:tc>
          <w:tcPr/>
          <w:p>
            <w:pPr>
              <w:pStyle w:val="Compact"/>
              <w:jc w:val="left"/>
            </w:pPr>
            <w:r>
              <w:t xml:space="preserve">11 400</w:t>
            </w:r>
          </w:p>
        </w:tc>
        <w:tc>
          <w:tcPr/>
          <w:p>
            <w:pPr>
              <w:pStyle w:val="Compact"/>
            </w:pPr>
            <w:r>
              <w:t xml:space="preserve">28 600</w:t>
            </w:r>
          </w:p>
        </w:tc>
        <w:tc>
          <w:tcPr/>
          <w:p>
            <w:pPr>
              <w:pStyle w:val="Compact"/>
            </w:pPr>
            <w:r>
              <w:t xml:space="preserve">1 020</w:t>
            </w:r>
          </w:p>
        </w:tc>
      </w:tr>
      <w:tr>
        <w:tc>
          <w:tcPr/>
          <w:p>
            <w:pPr>
              <w:pStyle w:val="Compact"/>
              <w:jc w:val="left"/>
            </w:pPr>
            <w:r>
              <w:t xml:space="preserve">Prestataires de traitement et hôpitaux</w:t>
            </w:r>
          </w:p>
        </w:tc>
        <w:tc>
          <w:tcPr/>
          <w:p>
            <w:pPr>
              <w:pStyle w:val="Compact"/>
              <w:jc w:val="left"/>
            </w:pPr>
            <w:r>
              <w:t xml:space="preserve">9 800</w:t>
            </w:r>
          </w:p>
        </w:tc>
        <w:tc>
          <w:tcPr/>
          <w:p>
            <w:pPr>
              <w:pStyle w:val="Compact"/>
            </w:pPr>
            <w:r>
              <w:t xml:space="preserve">21 500</w:t>
            </w:r>
          </w:p>
        </w:tc>
        <w:tc>
          <w:tcPr/>
          <w:p>
            <w:pPr>
              <w:pStyle w:val="Compact"/>
            </w:pPr>
            <w:r>
              <w:t xml:space="preserve">310</w:t>
            </w:r>
          </w:p>
        </w:tc>
      </w:tr>
      <w:tr>
        <w:tc>
          <w:tcPr/>
          <w:p>
            <w:pPr>
              <w:pStyle w:val="Compact"/>
              <w:jc w:val="left"/>
            </w:pPr>
            <w:r>
              <w:t xml:space="preserve">Pharmacies</w:t>
            </w:r>
          </w:p>
        </w:tc>
        <w:tc>
          <w:tcPr/>
          <w:p>
            <w:pPr>
              <w:pStyle w:val="Compact"/>
              <w:jc w:val="left"/>
            </w:pPr>
            <w:r>
              <w:t xml:space="preserve">7 200</w:t>
            </w:r>
          </w:p>
        </w:tc>
        <w:tc>
          <w:tcPr/>
          <w:p>
            <w:pPr>
              <w:pStyle w:val="Compact"/>
            </w:pPr>
            <w:r>
              <w:t xml:space="preserve">16 100</w:t>
            </w:r>
          </w:p>
        </w:tc>
        <w:tc>
          <w:tcPr/>
          <w:p>
            <w:pPr>
              <w:pStyle w:val="Compact"/>
            </w:pPr>
            <w:r>
              <w:t xml:space="preserve">90</w:t>
            </w:r>
          </w:p>
        </w:tc>
      </w:tr>
      <w:tr>
        <w:tc>
          <w:tcPr/>
          <w:p>
            <w:pPr>
              <w:pStyle w:val="Compact"/>
              <w:jc w:val="left"/>
            </w:pPr>
            <w:r>
              <w:t xml:space="preserve">Prisons et programmes de réinsertion</w:t>
            </w:r>
          </w:p>
        </w:tc>
        <w:tc>
          <w:tcPr/>
          <w:p>
            <w:pPr>
              <w:pStyle w:val="Compact"/>
              <w:jc w:val="left"/>
            </w:pPr>
            <w:r>
              <w:t xml:space="preserve">5 600</w:t>
            </w:r>
          </w:p>
        </w:tc>
        <w:tc>
          <w:tcPr/>
          <w:p>
            <w:pPr>
              <w:pStyle w:val="Compact"/>
            </w:pPr>
            <w:r>
              <w:t xml:space="preserve">10 400</w:t>
            </w:r>
          </w:p>
        </w:tc>
        <w:tc>
          <w:tcPr/>
          <w:p>
            <w:pPr>
              <w:pStyle w:val="Compact"/>
            </w:pPr>
            <w:r>
              <w:t xml:space="preserve">120</w:t>
            </w:r>
          </w:p>
        </w:tc>
      </w:tr>
      <w:tr>
        <w:tc>
          <w:tcPr/>
          <w:p>
            <w:pPr>
              <w:pStyle w:val="Compact"/>
              <w:jc w:val="left"/>
            </w:pPr>
            <w:r>
              <w:t xml:space="preserve">Logement, alimentation, foi et autres groupes commu</w:t>
            </w:r>
          </w:p>
        </w:tc>
        <w:tc>
          <w:tcPr/>
          <w:p>
            <w:pPr>
              <w:pStyle w:val="Compact"/>
              <w:jc w:val="left"/>
            </w:pPr>
            <w:r>
              <w:t xml:space="preserve">nautaires 7 800</w:t>
            </w:r>
          </w:p>
        </w:tc>
        <w:tc>
          <w:tcPr/>
          <w:p>
            <w:pPr>
              <w:pStyle w:val="Compact"/>
            </w:pPr>
            <w:r>
              <w:t xml:space="preserve">14 700</w:t>
            </w:r>
          </w:p>
        </w:tc>
        <w:tc>
          <w:tcPr/>
          <w:p>
            <w:pPr>
              <w:pStyle w:val="Compact"/>
            </w:pPr>
            <w:r>
              <w:t xml:space="preserve">130</w:t>
            </w:r>
          </w:p>
        </w:tc>
      </w:tr>
    </w:tbl>
    <w:p>
      <w:pPr>
        <w:pStyle w:val="BodyText"/>
      </w:pPr>
      <w:r>
        <w:t xml:space="preserve">Le nombre de réversions signalées ne pouvait pas être interprété comme un taux d’efficacité. Un kit pourrait être distribué à quelqu’un qui n’a jamais rencontré de surdose, avoir été utilisé avec succès sans être signalé, perdu, transféré à une autre personne, ou conservé jusqu’à expiration. Certaines organisations distribuaient de manière agressive aux personnes susceptibles d’être témoins d’une surdose ; d’autres maintenaient des armoires pour les urgences. L’État ne savait pas combien de kits étaient immédiatement accessibles au moment où ils étaient nécessaires.</w:t>
      </w:r>
    </w:p>
    <w:bookmarkEnd w:id="12"/>
    <w:bookmarkEnd w:id="13"/>
    <w:bookmarkStart w:id="15" w:name="géographie-et-accès"/>
    <w:p>
      <w:pPr>
        <w:pStyle w:val="Heading1"/>
      </w:pPr>
      <w:r>
        <w:t xml:space="preserve">Géographie et accès</w:t>
      </w:r>
    </w:p>
    <w:p>
      <w:pPr>
        <w:pStyle w:val="FirstParagraph"/>
      </w:pPr>
      <w:r>
        <w:t xml:space="preserve">Les quarante-deux comtés de l’État différaient fortement. Les districts urbains avaient une activité de surdose concentrée, des équipes de proximité établies, des transports publics et de multiples pharmacies. Les comtés ruraux couvraient de vastes zones avec un transit limité et de longs délais d’intervention des EMS. Plusieurs communautés tribales géraient leurs propres programmes de santé et de sécurité publique et souhaitaient des allocations directes plutôt que de recevoir des kits par le biais des gouvernements de comté. Les travailleurs saisonniers et les personnes vivant dans des campements temporaires se déplaçaient entre les régions, affaiblissant les comparaisons basées sur la résidence.</w:t>
      </w:r>
    </w:p>
    <w:bookmarkStart w:id="14" w:name="X0b7c1ca53b71e5545ac9976d49006b96fb2b238"/>
    <w:p>
      <w:pPr>
        <w:pStyle w:val="Heading2"/>
      </w:pPr>
      <w:r>
        <w:t xml:space="preserve">Exhibit 3. Conditions régionales sélectionnées</w:t>
      </w:r>
    </w:p>
    <w:tbl>
      <w:tblPr>
        <w:tblStyle w:val="Table"/>
        <w:tblW w:type="pct" w:w="4915"/>
        <w:tblLayout w:type="fixed"/>
        <w:tblLook w:firstRow="1" w:lastRow="0" w:firstColumn="0" w:lastColumn="0" w:noHBand="0" w:noVBand="0" w:val="0020"/>
      </w:tblPr>
      <w:tblGrid>
        <w:gridCol w:w="1946"/>
        <w:gridCol w:w="872"/>
        <w:gridCol w:w="2013"/>
        <w:gridCol w:w="1476"/>
        <w:gridCol w:w="1476"/>
      </w:tblGrid>
      <w:tr>
        <w:trPr>
          <w:tblHeader w:val="on"/>
        </w:trPr>
        <w:tc>
          <w:tcPr/>
          <w:p>
            <w:pPr>
              <w:pStyle w:val="Compact"/>
              <w:jc w:val="left"/>
            </w:pPr>
            <w:r>
              <w:t xml:space="preserve">Région</w:t>
            </w:r>
          </w:p>
        </w:tc>
        <w:tc>
          <w:tcPr/>
          <w:p>
            <w:pPr>
              <w:pStyle w:val="Compact"/>
              <w:jc w:val="left"/>
            </w:pPr>
            <w:r>
              <w:t xml:space="preserve">Population</w:t>
            </w:r>
          </w:p>
        </w:tc>
        <w:tc>
          <w:tcPr/>
          <w:p>
            <w:pPr>
              <w:pStyle w:val="Compact"/>
            </w:pPr>
            <w:r>
              <w:t xml:space="preserve">Surdoses mortelles pour 100 00</w:t>
            </w:r>
          </w:p>
        </w:tc>
        <w:tc>
          <w:tcPr/>
          <w:p>
            <w:pPr>
              <w:pStyle w:val="Compact"/>
            </w:pPr>
            <w:r>
              <w:t xml:space="preserve">0 Temps de réponse E</w:t>
            </w:r>
          </w:p>
        </w:tc>
        <w:tc>
          <w:tcPr/>
          <w:p>
            <w:pPr>
              <w:pStyle w:val="Compact"/>
            </w:pPr>
            <w:r>
              <w:t xml:space="preserve">MS médian Inventaire des partenaires</w:t>
            </w:r>
          </w:p>
        </w:tc>
      </w:tr>
      <w:tr>
        <w:tc>
          <w:tcPr/>
          <w:p>
            <w:pPr>
              <w:pStyle w:val="Compact"/>
              <w:jc w:val="left"/>
            </w:pPr>
            <w:r>
              <w:t xml:space="preserve">Cœur de la capitale</w:t>
            </w:r>
          </w:p>
        </w:tc>
        <w:tc>
          <w:tcPr/>
          <w:p>
            <w:pPr>
              <w:pStyle w:val="Compact"/>
              <w:jc w:val="left"/>
            </w:pPr>
            <w:r>
              <w:t xml:space="preserve">740 000</w:t>
            </w:r>
          </w:p>
        </w:tc>
        <w:tc>
          <w:tcPr/>
          <w:p>
            <w:pPr>
              <w:pStyle w:val="Compact"/>
            </w:pPr>
            <w:r>
              <w:t xml:space="preserve">31</w:t>
            </w:r>
          </w:p>
        </w:tc>
        <w:tc>
          <w:tcPr/>
          <w:p>
            <w:pPr>
              <w:pStyle w:val="Compact"/>
            </w:pPr>
            <w:r>
              <w:t xml:space="preserve">7 minutes</w:t>
            </w:r>
          </w:p>
        </w:tc>
        <w:tc>
          <w:tcPr/>
          <w:p>
            <w:pPr>
              <w:pStyle w:val="Compact"/>
            </w:pPr>
            <w:r>
              <w:t xml:space="preserve">18 jours</w:t>
            </w:r>
          </w:p>
        </w:tc>
      </w:tr>
      <w:tr>
        <w:tc>
          <w:tcPr/>
          <w:p>
            <w:pPr>
              <w:pStyle w:val="Compact"/>
              <w:jc w:val="left"/>
            </w:pPr>
            <w:r>
              <w:t xml:space="preserve">Corridor urbain de l’est</w:t>
            </w:r>
          </w:p>
        </w:tc>
        <w:tc>
          <w:tcPr/>
          <w:p>
            <w:pPr>
              <w:pStyle w:val="Compact"/>
              <w:jc w:val="left"/>
            </w:pPr>
            <w:r>
              <w:t xml:space="preserve">510 000</w:t>
            </w:r>
          </w:p>
        </w:tc>
        <w:tc>
          <w:tcPr/>
          <w:p>
            <w:pPr>
              <w:pStyle w:val="Compact"/>
            </w:pPr>
            <w:r>
              <w:t xml:space="preserve">44</w:t>
            </w:r>
          </w:p>
        </w:tc>
        <w:tc>
          <w:tcPr/>
          <w:p>
            <w:pPr>
              <w:pStyle w:val="Compact"/>
            </w:pPr>
            <w:r>
              <w:t xml:space="preserve">9 minutes</w:t>
            </w:r>
          </w:p>
        </w:tc>
        <w:tc>
          <w:tcPr/>
          <w:p>
            <w:pPr>
              <w:pStyle w:val="Compact"/>
            </w:pPr>
            <w:r>
              <w:t xml:space="preserve">6 jours</w:t>
            </w:r>
          </w:p>
        </w:tc>
      </w:tr>
      <w:tr>
        <w:tc>
          <w:tcPr/>
          <w:p>
            <w:pPr>
              <w:pStyle w:val="Compact"/>
              <w:jc w:val="left"/>
            </w:pPr>
            <w:r>
              <w:t xml:space="preserve">Ceinture industrielle du nord</w:t>
            </w:r>
          </w:p>
        </w:tc>
        <w:tc>
          <w:tcPr/>
          <w:p>
            <w:pPr>
              <w:pStyle w:val="Compact"/>
              <w:jc w:val="left"/>
            </w:pPr>
            <w:r>
              <w:t xml:space="preserve">430 000</w:t>
            </w:r>
          </w:p>
        </w:tc>
        <w:tc>
          <w:tcPr/>
          <w:p>
            <w:pPr>
              <w:pStyle w:val="Compact"/>
            </w:pPr>
            <w:r>
              <w:t xml:space="preserve">39</w:t>
            </w:r>
          </w:p>
        </w:tc>
        <w:tc>
          <w:tcPr/>
          <w:p>
            <w:pPr>
              <w:pStyle w:val="Compact"/>
            </w:pPr>
            <w:r>
              <w:t xml:space="preserve">12 minutes</w:t>
            </w:r>
          </w:p>
        </w:tc>
        <w:tc>
          <w:tcPr/>
          <w:p>
            <w:pPr>
              <w:pStyle w:val="Compact"/>
            </w:pPr>
            <w:r>
              <w:t xml:space="preserve">9 jours</w:t>
            </w:r>
          </w:p>
        </w:tc>
      </w:tr>
      <w:tr>
        <w:tc>
          <w:tcPr/>
          <w:p>
            <w:pPr>
              <w:pStyle w:val="Compact"/>
              <w:jc w:val="left"/>
            </w:pPr>
            <w:r>
              <w:t xml:space="preserve">Comtés ruraux de l’ouest</w:t>
            </w:r>
          </w:p>
        </w:tc>
        <w:tc>
          <w:tcPr/>
          <w:p>
            <w:pPr>
              <w:pStyle w:val="Compact"/>
              <w:jc w:val="left"/>
            </w:pPr>
            <w:r>
              <w:t xml:space="preserve">265 000</w:t>
            </w:r>
          </w:p>
        </w:tc>
        <w:tc>
          <w:tcPr/>
          <w:p>
            <w:pPr>
              <w:pStyle w:val="Compact"/>
            </w:pPr>
            <w:r>
              <w:t xml:space="preserve">36</w:t>
            </w:r>
          </w:p>
        </w:tc>
        <w:tc>
          <w:tcPr/>
          <w:p>
            <w:pPr>
              <w:pStyle w:val="Compact"/>
            </w:pPr>
            <w:r>
              <w:t xml:space="preserve">24 minutes</w:t>
            </w:r>
          </w:p>
        </w:tc>
        <w:tc>
          <w:tcPr/>
          <w:p>
            <w:pPr>
              <w:pStyle w:val="Compact"/>
            </w:pPr>
            <w:r>
              <w:t xml:space="preserve">3 jours</w:t>
            </w:r>
          </w:p>
        </w:tc>
      </w:tr>
      <w:tr>
        <w:tc>
          <w:tcPr/>
          <w:p>
            <w:pPr>
              <w:pStyle w:val="Compact"/>
              <w:jc w:val="left"/>
            </w:pPr>
            <w:r>
              <w:t xml:space="preserve">Région montagneuse et tribale</w:t>
            </w:r>
          </w:p>
        </w:tc>
        <w:tc>
          <w:tcPr/>
          <w:p>
            <w:pPr>
              <w:pStyle w:val="Compact"/>
              <w:jc w:val="left"/>
            </w:pPr>
            <w:r>
              <w:t xml:space="preserve">148 000</w:t>
            </w:r>
          </w:p>
        </w:tc>
        <w:tc>
          <w:tcPr/>
          <w:p>
            <w:pPr>
              <w:pStyle w:val="Compact"/>
            </w:pPr>
            <w:r>
              <w:t xml:space="preserve">47</w:t>
            </w:r>
          </w:p>
        </w:tc>
        <w:tc>
          <w:tcPr/>
          <w:p>
            <w:pPr>
              <w:pStyle w:val="Compact"/>
            </w:pPr>
            <w:r>
              <w:t xml:space="preserve">31 minutes</w:t>
            </w:r>
          </w:p>
        </w:tc>
        <w:tc>
          <w:tcPr/>
          <w:p>
            <w:pPr>
              <w:pStyle w:val="Compact"/>
            </w:pPr>
            <w:r>
              <w:t xml:space="preserve">5 jours</w:t>
            </w:r>
          </w:p>
        </w:tc>
      </w:tr>
      <w:tr>
        <w:tc>
          <w:tcPr/>
          <w:p>
            <w:pPr>
              <w:pStyle w:val="Compact"/>
              <w:jc w:val="left"/>
            </w:pPr>
            <w:r>
              <w:t xml:space="preserve">Banlieues du sud</w:t>
            </w:r>
          </w:p>
        </w:tc>
        <w:tc>
          <w:tcPr/>
          <w:p>
            <w:pPr>
              <w:pStyle w:val="Compact"/>
              <w:jc w:val="left"/>
            </w:pPr>
            <w:r>
              <w:t xml:space="preserve">620 000</w:t>
            </w:r>
          </w:p>
        </w:tc>
        <w:tc>
          <w:tcPr/>
          <w:p>
            <w:pPr>
              <w:pStyle w:val="Compact"/>
            </w:pPr>
            <w:r>
              <w:t xml:space="preserve">18</w:t>
            </w:r>
          </w:p>
        </w:tc>
        <w:tc>
          <w:tcPr/>
          <w:p>
            <w:pPr>
              <w:pStyle w:val="Compact"/>
            </w:pPr>
            <w:r>
              <w:t xml:space="preserve">10 minutes</w:t>
            </w:r>
          </w:p>
        </w:tc>
        <w:tc>
          <w:tcPr/>
          <w:p>
            <w:pPr>
              <w:pStyle w:val="Compact"/>
            </w:pPr>
            <w:r>
              <w:t xml:space="preserve">34 jours</w:t>
            </w:r>
          </w:p>
        </w:tc>
      </w:tr>
    </w:tbl>
    <w:p>
      <w:pPr>
        <w:pStyle w:val="BodyText"/>
      </w:pPr>
      <w:r>
        <w:t xml:space="preserve">L’équipe d’épidémiologie a proposé d’allouer les kits en fonction des décès récents par surdose, des interventions EMS non mortelles et de la population. Le personnel de santé rurale a objecté que les comptages officiels avaient du retard et que les longs temps de déplacement rendaient la possession communautaire particulièrement importante. La coalition de réduction des risques de la capitale a fait valoir que les programmes à haut volume ne devraient pas être pénalisés pour avoir déjà distribué leur inventaire. Un comté suburbain a offert de retourner 2 000 kits, mais seulement si l’État garantissait un remplacement sous soixante jours.</w:t>
      </w:r>
    </w:p>
    <w:bookmarkEnd w:id="14"/>
    <w:bookmarkEnd w:id="15"/>
    <w:bookmarkStart w:id="16" w:name="formation-sensibilisation-et-confiance"/>
    <w:p>
      <w:pPr>
        <w:pStyle w:val="Heading1"/>
      </w:pPr>
      <w:r>
        <w:t xml:space="preserve">Formation, sensibilisation et confiance</w:t>
      </w:r>
    </w:p>
    <w:p>
      <w:pPr>
        <w:pStyle w:val="FirstParagraph"/>
      </w:pPr>
      <w:r>
        <w:t xml:space="preserve">La possession n’assurait pas l’utilisation. Certains destinataires craignaient que l’administration de naloxone ne mette en colère la personne réanimée. D’autres craignaient l’implication de la police ou ne reconnaissaient pas une respiration lente comme une surdose. De nouveaux contaminants pouvaient produire des symptômes que la naloxone ne renverserait pas complètement, même lorsque des opioïdes étaient également présents. Les responsables de la santé ont souligné que des doses supplémentaires et des soins médicaux d’urgence pourraient encore être nécessaires.</w:t>
      </w:r>
    </w:p>
    <w:p>
      <w:pPr>
        <w:pStyle w:val="BodyText"/>
      </w:pPr>
      <w:r>
        <w:t xml:space="preserve">La formation standard de Bellwether durait quarante-cinq minutes. Les partenaires de proximité ont indiqué qu’ils pourraient distribuer davantage de kits en utilisant une démonstration de dix minutes et une carte avec un code QR. Le directeur médical préférait une formation plus longue couvrant la respiration de secours, le dosage répété et l’appel au 911. L’unité de communication a proposé une campagne publicitaire à l’échelle de l’État, tandis que les partenaires de comté souhaitaient des fonds pour des éducateurs pairs locaux en qui les personnes consommant des drogues avaient confiance.</w:t>
      </w:r>
    </w:p>
    <w:bookmarkEnd w:id="16"/>
    <w:bookmarkStart w:id="18" w:name="la-contrainte-de-financement"/>
    <w:p>
      <w:pPr>
        <w:pStyle w:val="Heading1"/>
      </w:pPr>
      <w:r>
        <w:t xml:space="preserve">La contrainte de financement</w:t>
      </w:r>
    </w:p>
    <w:p>
      <w:pPr>
        <w:pStyle w:val="FirstParagraph"/>
      </w:pPr>
      <w:r>
        <w:t xml:space="preserve">Le programme fédéral State Opioid Response demeurait la principale source extérieure soutenant le travail de Bellwether sur les surdoses. Les subventions nationales de continuation annoncées en septembre 2025 comprenaient 1,48 milliard $ pour la réponse aux opioïdes des États et près de 63 millions $ pour la réponse aux opioïdes tribale. La subvention de Bellwether soutenait la naloxone, le traitement, la prévention, la réduction des risques et les services de rétablissement, mais les dépenses devaient correspondre au plan approuvé et aux catégories de rapport.</w:t>
      </w:r>
    </w:p>
    <w:p>
      <w:pPr>
        <w:pStyle w:val="BodyText"/>
      </w:pPr>
      <w:r>
        <w:t xml:space="preserve">La législature de l’État finançait le personnel de l’entrepôt, les achats et des portions du système de données. Les fonds issus des règlements sur les opioïdes soutenaient plusieurs programmes de comté, mais les usages autorisés et les calendriers d’approbation différaient. Une fondation hospitalière a offert 1 million $ pour la distribution en pharmacie et l’éducation publique, mais pas pour les programmes d’échange de seringues. Un autre donateur soutiendrait la sensibilisation mobile rurale seulement si l’État documentait le nombre de personnes formées et de kits remis directement aux résidents.</w:t>
      </w:r>
    </w:p>
    <w:bookmarkStart w:id="17" w:name="X6e8696b6bbed86448a9f8bd3a7dc0ef3bb6a949"/>
    <w:p>
      <w:pPr>
        <w:pStyle w:val="Heading2"/>
      </w:pPr>
      <w:r>
        <w:t xml:space="preserve">Exhibit 4. Financement de la prévention des surdoses en cours d’examen</w:t>
      </w:r>
    </w:p>
    <w:tbl>
      <w:tblPr>
        <w:tblStyle w:val="Table"/>
        <w:tblW w:type="pct" w:w="4928"/>
        <w:tblLayout w:type="fixed"/>
        <w:tblLook w:firstRow="1" w:lastRow="0" w:firstColumn="0" w:lastColumn="0" w:noHBand="0" w:noVBand="0" w:val="0020"/>
      </w:tblPr>
      <w:tblGrid>
        <w:gridCol w:w="2108"/>
        <w:gridCol w:w="1025"/>
        <w:gridCol w:w="4672"/>
      </w:tblGrid>
      <w:tr>
        <w:trPr>
          <w:tblHeader w:val="on"/>
        </w:trPr>
        <w:tc>
          <w:tcPr/>
          <w:p>
            <w:pPr>
              <w:pStyle w:val="Compact"/>
              <w:jc w:val="left"/>
            </w:pPr>
            <w:r>
              <w:t xml:space="preserve">Source</w:t>
            </w:r>
          </w:p>
        </w:tc>
        <w:tc>
          <w:tcPr/>
          <w:p>
            <w:pPr>
              <w:pStyle w:val="Compact"/>
              <w:jc w:val="left"/>
            </w:pPr>
            <w:r>
              <w:t xml:space="preserve">Montant attendu</w:t>
            </w:r>
          </w:p>
        </w:tc>
        <w:tc>
          <w:tcPr/>
          <w:p>
            <w:pPr>
              <w:pStyle w:val="Compact"/>
              <w:jc w:val="left"/>
            </w:pPr>
            <w:r>
              <w:t xml:space="preserve">Calendrier / restriction</w:t>
            </w:r>
          </w:p>
        </w:tc>
      </w:tr>
      <w:tr>
        <w:tc>
          <w:tcPr/>
          <w:p>
            <w:pPr>
              <w:pStyle w:val="Compact"/>
              <w:jc w:val="left"/>
            </w:pPr>
            <w:r>
              <w:t xml:space="preserve">Subvention fédérale de réponse aux op</w:t>
            </w:r>
          </w:p>
        </w:tc>
        <w:tc>
          <w:tcPr/>
          <w:p>
            <w:pPr>
              <w:pStyle w:val="Compact"/>
              <w:jc w:val="left"/>
            </w:pPr>
            <w:r>
              <w:t xml:space="preserve">ioïdes 28,4</w:t>
            </w:r>
          </w:p>
        </w:tc>
        <w:tc>
          <w:tcPr/>
          <w:p>
            <w:pPr>
              <w:pStyle w:val="Compact"/>
              <w:jc w:val="left"/>
            </w:pPr>
            <w:r>
              <w:t xml:space="preserve">millions $ Subvention annuelle ; plan approuvé de prévention, traitement, réduction des risques et rétablissement</w:t>
            </w:r>
          </w:p>
        </w:tc>
      </w:tr>
      <w:tr>
        <w:tc>
          <w:tcPr/>
          <w:p>
            <w:pPr>
              <w:pStyle w:val="Compact"/>
              <w:jc w:val="left"/>
            </w:pPr>
            <w:r>
              <w:t xml:space="preserve">Fonds général de l’État</w:t>
            </w:r>
          </w:p>
        </w:tc>
        <w:tc>
          <w:tcPr/>
          <w:p>
            <w:pPr>
              <w:pStyle w:val="Compact"/>
              <w:jc w:val="left"/>
            </w:pPr>
            <w:r>
              <w:t xml:space="preserve">9,6 millions $</w:t>
            </w:r>
          </w:p>
        </w:tc>
        <w:tc>
          <w:tcPr/>
          <w:p>
            <w:pPr>
              <w:pStyle w:val="Compact"/>
              <w:jc w:val="left"/>
            </w:pPr>
            <w:r>
              <w:t xml:space="preserve">Financement relais de trois mois adopté ; le reste soumis aux négociations budgétaires</w:t>
            </w:r>
          </w:p>
        </w:tc>
      </w:tr>
      <w:tr>
        <w:tc>
          <w:tcPr/>
          <w:p>
            <w:pPr>
              <w:pStyle w:val="Compact"/>
              <w:jc w:val="left"/>
            </w:pPr>
            <w:r>
              <w:t xml:space="preserve">Allocations issues des règlements sur</w:t>
            </w:r>
          </w:p>
        </w:tc>
        <w:tc>
          <w:tcPr/>
          <w:p>
            <w:pPr>
              <w:pStyle w:val="Compact"/>
              <w:jc w:val="left"/>
            </w:pPr>
            <w:r>
              <w:t xml:space="preserve">les opioïdes</w:t>
            </w:r>
          </w:p>
        </w:tc>
        <w:tc>
          <w:tcPr/>
          <w:p>
            <w:pPr>
              <w:pStyle w:val="Compact"/>
              <w:jc w:val="left"/>
            </w:pPr>
            <w:r>
              <w:t xml:space="preserve">7,8 millions $ Approbations de comté et d’État ; pluriannuel mais calendriers de versement inégaux</w:t>
            </w:r>
          </w:p>
        </w:tc>
      </w:tr>
      <w:tr>
        <w:tc>
          <w:tcPr/>
          <w:p>
            <w:pPr>
              <w:pStyle w:val="Compact"/>
              <w:jc w:val="left"/>
            </w:pPr>
            <w:r>
              <w:t xml:space="preserve">Fondation hospitalière</w:t>
            </w:r>
          </w:p>
        </w:tc>
        <w:tc>
          <w:tcPr/>
          <w:p>
            <w:pPr>
              <w:pStyle w:val="Compact"/>
              <w:jc w:val="left"/>
            </w:pPr>
            <w:r>
              <w:t xml:space="preserve">1,0 million $</w:t>
            </w:r>
          </w:p>
        </w:tc>
        <w:tc>
          <w:tcPr/>
          <w:p>
            <w:pPr>
              <w:pStyle w:val="Compact"/>
              <w:jc w:val="left"/>
            </w:pPr>
            <w:r>
              <w:t xml:space="preserve">Accès en pharmacie et éducation publique uniquement</w:t>
            </w:r>
          </w:p>
        </w:tc>
      </w:tr>
      <w:tr>
        <w:tc>
          <w:tcPr/>
          <w:p>
            <w:pPr>
              <w:pStyle w:val="Compact"/>
              <w:jc w:val="left"/>
            </w:pPr>
            <w:r>
              <w:t xml:space="preserve">Collectif de donateurs ruraux</w:t>
            </w:r>
          </w:p>
        </w:tc>
        <w:tc>
          <w:tcPr/>
          <w:p>
            <w:pPr>
              <w:pStyle w:val="Compact"/>
              <w:jc w:val="left"/>
            </w:pPr>
            <w:r>
              <w:t xml:space="preserve">0,7 million $</w:t>
            </w:r>
          </w:p>
        </w:tc>
        <w:tc>
          <w:tcPr/>
          <w:p>
            <w:pPr>
              <w:pStyle w:val="Compact"/>
              <w:jc w:val="left"/>
            </w:pPr>
            <w:r>
              <w:t xml:space="preserve">Sensibilisation mobile ; nécessite un rapport d’activité au niveau individuel</w:t>
            </w:r>
          </w:p>
        </w:tc>
      </w:tr>
      <w:tr>
        <w:tc>
          <w:tcPr/>
          <w:p>
            <w:pPr>
              <w:pStyle w:val="Compact"/>
              <w:jc w:val="left"/>
            </w:pPr>
            <w:r>
              <w:t xml:space="preserve">Remboursement Medicaid et assureurs</w:t>
            </w:r>
          </w:p>
        </w:tc>
        <w:tc>
          <w:tcPr/>
          <w:p>
            <w:pPr>
              <w:pStyle w:val="Compact"/>
              <w:jc w:val="left"/>
            </w:pPr>
            <w:r>
              <w:t xml:space="preserve">2,3 millions $</w:t>
            </w:r>
          </w:p>
        </w:tc>
        <w:tc>
          <w:tcPr/>
          <w:p>
            <w:pPr>
              <w:pStyle w:val="Compact"/>
              <w:jc w:val="left"/>
            </w:pPr>
            <w:r>
              <w:t xml:space="preserve">Principalement services de traitement ; soutien limité à la distribution communautaire</w:t>
            </w:r>
          </w:p>
        </w:tc>
      </w:tr>
    </w:tbl>
    <w:p>
      <w:pPr>
        <w:pStyle w:val="BodyText"/>
      </w:pPr>
      <w:r>
        <w:t xml:space="preserve">Le personnel financier a estimé que les 36 000 kits, le matériel de formation, le fret et la manutention coûteraient 1,34 million $. L’agence pouvait dépenser 410 000 $ supplémentaires en formation et communication avant la fin du trimestre. Financer davantage d’éducateurs pairs réduirait le montant disponible pour la publicité et la collecte de données. Réserver des kits pour des urgences futures protégerait contre une hausse soudaine mais laisserait les demandes actuelles insatisfaites.</w:t>
      </w:r>
    </w:p>
    <w:bookmarkEnd w:id="17"/>
    <w:bookmarkEnd w:id="18"/>
    <w:bookmarkStart w:id="20" w:name="quatre-propositions"/>
    <w:p>
      <w:pPr>
        <w:pStyle w:val="Heading1"/>
      </w:pPr>
      <w:r>
        <w:t xml:space="preserve">Quatre propositions</w:t>
      </w:r>
    </w:p>
    <w:p>
      <w:pPr>
        <w:pStyle w:val="FirstParagraph"/>
      </w:pPr>
      <w:r>
        <w:t xml:space="preserve">Vendredi après-midi, l’équipe d’Ortiz avait élaboré quatre propositions, dont aucune ne répondait à toutes les préoccupations.</w:t>
      </w:r>
    </w:p>
    <w:p>
      <w:pPr>
        <w:pStyle w:val="BodyText"/>
      </w:pPr>
      <w:r>
        <w:t xml:space="preserve">Proposition A : Suivre le fardeau actuel. Allouer la plupart des kits aux comtés et organisations ayant les plus grands nombres récents de surdoses et les taux de distribution les plus rapides. Cette approche mettrait rapidement les kits en circulation mais pourrait renforcer les avantages géographiques et organisationnels existants.</w:t>
      </w:r>
    </w:p>
    <w:p>
      <w:pPr>
        <w:pStyle w:val="BodyText"/>
      </w:pPr>
      <w:r>
        <w:t xml:space="preserve">Proposition B : Protéger les lacunes d’accès. Donner la priorité aux comtés ruraux, aux programmes tribaux, aux prisons, aux refuges et aux autres lieux où l’intervention des EMS était lente ou où les personnes avaient peu d’alternatives. Ce plan pourrait améliorer l’équité et la disponibilité, mais certains destinataires avaient une capacité limitée à former, distribuer et rendre compte de l’utilisation.</w:t>
      </w:r>
    </w:p>
    <w:p>
      <w:pPr>
        <w:pStyle w:val="BodyText"/>
      </w:pPr>
      <w:r>
        <w:t xml:space="preserve">Proposition C : Constituer une réserve réactive. Distribuer 27 000 kits immédiatement et en conserver 9 000 pour les pénuries de comté, les points chauds émergents, les grands événements publics et les changements dans l’approvisionnement en drogues. Les partenaires ont fait valoir que les kits dans un entrepôt ne pouvaient pas renverser une surdose ; Ortiz craignait que distribuer la totalité ne laisse l’État incapable de répondre à de nouvelles informations.</w:t>
      </w:r>
    </w:p>
    <w:p>
      <w:pPr>
        <w:pStyle w:val="BodyText"/>
      </w:pPr>
      <w:r>
        <w:t xml:space="preserve">Proposition D : Lier les kits à l’apprentissage. Exiger des partenaires sélectionnés qu’ils enregistrent le lieu de distribution, le type de destinataire, la méthode de formation, la demande de réapprovisionnement et l’utilisation signalée. L’État comparerait les approches et orienterait les livraisons ultérieures vers celles qui apparaissent les plus efficaces. Les petites organisations ont averti qu’un reporting supplémentaire pourrait ralentir la distribution, décourager les destinataires anonymes et favoriser les programmes disposant de meilleurs systèmes administratifs plutôt qu’un meilleur accès.</w:t>
      </w:r>
    </w:p>
    <w:bookmarkStart w:id="19" w:name="X7c3c06241ff8a988c410f0ec6866c65b33e6968"/>
    <w:p>
      <w:pPr>
        <w:pStyle w:val="Heading2"/>
      </w:pPr>
      <w:r>
        <w:t xml:space="preserve">Exhibit 5. Conséquences de planification des allocations alternatives</w:t>
      </w:r>
    </w:p>
    <w:tbl>
      <w:tblPr>
        <w:tblStyle w:val="Table"/>
        <w:tblW w:type="pct" w:w="4923"/>
        <w:tblLayout w:type="fixed"/>
        <w:tblLook w:firstRow="1" w:lastRow="0" w:firstColumn="0" w:lastColumn="0" w:noHBand="0" w:noVBand="0" w:val="0020"/>
      </w:tblPr>
      <w:tblGrid>
        <w:gridCol w:w="1523"/>
        <w:gridCol w:w="1401"/>
        <w:gridCol w:w="609"/>
        <w:gridCol w:w="1644"/>
        <w:gridCol w:w="2619"/>
      </w:tblGrid>
      <w:tr>
        <w:trPr>
          <w:tblHeader w:val="on"/>
        </w:trPr>
        <w:tc>
          <w:tcPr/>
          <w:p>
            <w:pPr>
              <w:pStyle w:val="Compact"/>
              <w:jc w:val="left"/>
            </w:pPr>
            <w:r>
              <w:t xml:space="preserve">Plan</w:t>
            </w:r>
          </w:p>
        </w:tc>
        <w:tc>
          <w:tcPr/>
          <w:p>
            <w:pPr>
              <w:pStyle w:val="Compact"/>
            </w:pPr>
            <w:r>
              <w:t xml:space="preserve">Kits distribués mainten</w:t>
            </w:r>
          </w:p>
        </w:tc>
        <w:tc>
          <w:tcPr/>
          <w:p>
            <w:pPr>
              <w:pStyle w:val="Compact"/>
            </w:pPr>
            <w:r>
              <w:t xml:space="preserve">ant Rése</w:t>
            </w:r>
          </w:p>
        </w:tc>
        <w:tc>
          <w:tcPr/>
          <w:p>
            <w:pPr>
              <w:pStyle w:val="Compact"/>
            </w:pPr>
            <w:r>
              <w:t xml:space="preserve">rve Dépenses de formation</w:t>
            </w:r>
          </w:p>
        </w:tc>
        <w:tc>
          <w:tcPr/>
          <w:p>
            <w:pPr>
              <w:pStyle w:val="Compact"/>
              <w:jc w:val="center"/>
            </w:pPr>
            <w:r>
              <w:t xml:space="preserve">/ données Exposition principale</w:t>
            </w:r>
          </w:p>
        </w:tc>
      </w:tr>
      <w:tr>
        <w:tc>
          <w:tcPr/>
          <w:p>
            <w:pPr>
              <w:pStyle w:val="Compact"/>
              <w:jc w:val="left"/>
            </w:pPr>
            <w:r>
              <w:t xml:space="preserve">A. Fardeau actuel</w:t>
            </w:r>
          </w:p>
        </w:tc>
        <w:tc>
          <w:tcPr/>
          <w:p>
            <w:pPr>
              <w:pStyle w:val="Compact"/>
            </w:pPr>
            <w:r>
              <w:t xml:space="preserve">34 000</w:t>
            </w:r>
          </w:p>
        </w:tc>
        <w:tc>
          <w:tcPr/>
          <w:p>
            <w:pPr>
              <w:pStyle w:val="Compact"/>
            </w:pPr>
            <w:r>
              <w:t xml:space="preserve">2 000</w:t>
            </w:r>
          </w:p>
        </w:tc>
        <w:tc>
          <w:tcPr/>
          <w:p>
            <w:pPr>
              <w:pStyle w:val="Compact"/>
            </w:pPr>
            <w:r>
              <w:t xml:space="preserve">260 000 $</w:t>
            </w:r>
          </w:p>
        </w:tc>
        <w:tc>
          <w:tcPr/>
          <w:p>
            <w:pPr>
              <w:pStyle w:val="Compact"/>
              <w:jc w:val="center"/>
            </w:pPr>
            <w:r>
              <w:t xml:space="preserve">Besoins ruraux et émergents manqués</w:t>
            </w:r>
          </w:p>
        </w:tc>
      </w:tr>
      <w:tr>
        <w:tc>
          <w:tcPr/>
          <w:p>
            <w:pPr>
              <w:pStyle w:val="Compact"/>
              <w:jc w:val="left"/>
            </w:pPr>
            <w:r>
              <w:t xml:space="preserve">B. Lacunes d’accès</w:t>
            </w:r>
          </w:p>
        </w:tc>
        <w:tc>
          <w:tcPr/>
          <w:p>
            <w:pPr>
              <w:pStyle w:val="Compact"/>
            </w:pPr>
            <w:r>
              <w:t xml:space="preserve">33 000</w:t>
            </w:r>
          </w:p>
        </w:tc>
        <w:tc>
          <w:tcPr/>
          <w:p>
            <w:pPr>
              <w:pStyle w:val="Compact"/>
            </w:pPr>
            <w:r>
              <w:t xml:space="preserve">3 000</w:t>
            </w:r>
          </w:p>
        </w:tc>
        <w:tc>
          <w:tcPr/>
          <w:p>
            <w:pPr>
              <w:pStyle w:val="Compact"/>
            </w:pPr>
            <w:r>
              <w:t xml:space="preserve">330 000 $</w:t>
            </w:r>
          </w:p>
        </w:tc>
        <w:tc>
          <w:tcPr/>
          <w:p>
            <w:pPr>
              <w:pStyle w:val="Compact"/>
              <w:jc w:val="center"/>
            </w:pPr>
            <w:r>
              <w:t xml:space="preserve">Distribution plus lente et reporting plus faible</w:t>
            </w:r>
          </w:p>
        </w:tc>
      </w:tr>
      <w:tr>
        <w:tc>
          <w:tcPr/>
          <w:p>
            <w:pPr>
              <w:pStyle w:val="Compact"/>
              <w:jc w:val="left"/>
            </w:pPr>
            <w:r>
              <w:t xml:space="preserve">C. Réserve réactive</w:t>
            </w:r>
          </w:p>
        </w:tc>
        <w:tc>
          <w:tcPr/>
          <w:p>
            <w:pPr>
              <w:pStyle w:val="Compact"/>
            </w:pPr>
            <w:r>
              <w:t xml:space="preserve">27 000</w:t>
            </w:r>
          </w:p>
        </w:tc>
        <w:tc>
          <w:tcPr/>
          <w:p>
            <w:pPr>
              <w:pStyle w:val="Compact"/>
            </w:pPr>
            <w:r>
              <w:t xml:space="preserve">9 000</w:t>
            </w:r>
          </w:p>
        </w:tc>
        <w:tc>
          <w:tcPr/>
          <w:p>
            <w:pPr>
              <w:pStyle w:val="Compact"/>
            </w:pPr>
            <w:r>
              <w:t xml:space="preserve">240 000 $</w:t>
            </w:r>
          </w:p>
        </w:tc>
        <w:tc>
          <w:tcPr/>
          <w:p>
            <w:pPr>
              <w:pStyle w:val="Compact"/>
              <w:jc w:val="center"/>
            </w:pPr>
            <w:r>
              <w:t xml:space="preserve">Inventaire retenu pendant que les partenaires rationnent</w:t>
            </w:r>
          </w:p>
        </w:tc>
      </w:tr>
      <w:tr>
        <w:tc>
          <w:tcPr/>
          <w:p>
            <w:pPr>
              <w:pStyle w:val="Compact"/>
              <w:jc w:val="left"/>
            </w:pPr>
            <w:r>
              <w:t xml:space="preserve">D. Allocation d’apprentis</w:t>
            </w:r>
          </w:p>
        </w:tc>
        <w:tc>
          <w:tcPr/>
          <w:p>
            <w:pPr>
              <w:pStyle w:val="Compact"/>
            </w:pPr>
            <w:r>
              <w:t xml:space="preserve">sage 31 000</w:t>
            </w:r>
          </w:p>
        </w:tc>
        <w:tc>
          <w:tcPr/>
          <w:p>
            <w:pPr>
              <w:pStyle w:val="Compact"/>
            </w:pPr>
            <w:r>
              <w:t xml:space="preserve">5 00</w:t>
            </w:r>
          </w:p>
        </w:tc>
        <w:tc>
          <w:tcPr/>
          <w:p>
            <w:pPr>
              <w:pStyle w:val="Compact"/>
            </w:pPr>
            <w:r>
              <w:t xml:space="preserve">0 410 000 $</w:t>
            </w:r>
          </w:p>
        </w:tc>
        <w:tc>
          <w:tcPr/>
          <w:p>
            <w:pPr>
              <w:pStyle w:val="Compact"/>
              <w:jc w:val="center"/>
            </w:pPr>
            <w:r>
              <w:t xml:space="preserve">Fardeau administratif et biais de sélection</w:t>
            </w:r>
          </w:p>
        </w:tc>
      </w:tr>
    </w:tbl>
    <w:p>
      <w:pPr>
        <w:pStyle w:val="BodyText"/>
      </w:pPr>
      <w:r>
        <w:t xml:space="preserve">Le tableau n’estimait pas les vies sauvées. L’équipe manquait d’une conversion défendable des kits distribués vers les kits transportés, surdoses observées, doses administrées, survie, transports évités, ou coûts hospitaliers réduits. Même la survie après administration ne pouvait pas être entièrement attribuée au kit car l’intervention des EMS, la respiration de secours, les substances impliquées, le dosage, le moment et la santé de la personne comptaient tous.</w:t>
      </w:r>
    </w:p>
    <w:bookmarkEnd w:id="19"/>
    <w:bookmarkEnd w:id="20"/>
    <w:bookmarkStart w:id="21" w:name="lundi-matin"/>
    <w:p>
      <w:pPr>
        <w:pStyle w:val="Heading1"/>
      </w:pPr>
      <w:r>
        <w:t xml:space="preserve">Lundi matin</w:t>
      </w:r>
    </w:p>
    <w:p>
      <w:pPr>
        <w:pStyle w:val="FirstParagraph"/>
      </w:pPr>
      <w:r>
        <w:t xml:space="preserve">Au cours du week-end, le corridor urbain de l’est a signalé neuf surdoses suspectées en quarante-huit heures, dont deux décès. La confirmation toxicologique prendrait des semaines. Un comté de l’ouest a annoncé que sa seule infirmière de réduction des risques démissionnait. Les banlieues du sud ont offert de prêter de l’inventaire mais ont demandé un remboursement pour le temps du personnel et l’expédition. Un directeur de la santé tribale a demandé à Ortiz de contourner la formule d’allocation de comté et d’envoyer des kits directement à trois emplacements communautaires avant un festival à venir.</w:t>
      </w:r>
    </w:p>
    <w:p>
      <w:pPr>
        <w:pStyle w:val="BodyText"/>
      </w:pPr>
      <w:r>
        <w:t xml:space="preserve">Ortiz devait maintenant déterminer non seulement où iraient les 36 000 kits, mais aussi quelles conditions justifieraient de changer le plan. Elle pouvait utiliser les décès signalés, les appels EMS, les niveaux de stock des partenaires, les nouveaux contaminants, les grappes inhabituellement importantes, ou des preuves que les kits n’atteignaient pas les personnes susceptibles d’être témoins d’une surdose. Chaque signal comportait des délais et des lacunes. Chaque réallocation risquait de paraître politique aux yeux d’une organisation qui perdait de l’approvisionnement.</w:t>
      </w:r>
    </w:p>
    <w:p>
      <w:pPr>
        <w:pStyle w:val="BodyText"/>
      </w:pPr>
      <w:r>
        <w:t xml:space="preserve">À 10h30 lundi, le commissaire à la santé demanderait une recommandation. Ortiz devait expliquer comment l’allocation protégerait la vie, contiendrait les coûts publics, atteindrait les communautés mal desservies, et resterait faisable pour des organisations avec un personnel limité. Elle devait aussi dire combien d’informations le département devrait exiger des partenaires alors que l’anonymat et la confiance faisaient partie du service fourni.</w:t>
      </w:r>
    </w:p>
    <w:p>
      <w:pPr>
        <w:pStyle w:val="BodyText"/>
      </w:pPr>
      <w:r>
        <w:t xml:space="preserve">La livraison était suffisamment importante pour compter et trop petite pour satisfaire chaque demande. L’État pouvait compter les cartons quittant l’entrepôt. Il ne pouvait pas facilement compter si la naloxone serait présente au bon endroit, si quelqu’un reconnaîtrait la surdose, s’il l’administrerait, ou si la prochaine livraison arriverait avant que les stocks locaux ne s’épuisent.</w:t>
      </w:r>
    </w:p>
    <w:bookmarkEnd w:id="21"/>
    <w:bookmarkStart w:id="22" w:name="questions-de-discussion"/>
    <w:p>
      <w:pPr>
        <w:pStyle w:val="Heading1"/>
      </w:pPr>
      <w:r>
        <w:t xml:space="preserve">Questions de discussion</w:t>
      </w:r>
    </w:p>
    <w:p>
      <w:pPr>
        <w:numPr>
          <w:ilvl w:val="0"/>
          <w:numId w:val="1001"/>
        </w:numPr>
      </w:pPr>
      <w:r>
        <w:t xml:space="preserve">Quel est le problème central auquel Ortiz et le Bellwether Department of Health sont confrontés ?</w:t>
      </w:r>
    </w:p>
    <w:p>
      <w:pPr>
        <w:numPr>
          <w:ilvl w:val="0"/>
          <w:numId w:val="1001"/>
        </w:numPr>
      </w:pPr>
      <w:r>
        <w:t xml:space="preserve">Quelles informations dans les exhibits devraient peser le plus dans l’allocation des 36 000 kits ?</w:t>
      </w:r>
    </w:p>
    <w:p>
      <w:pPr>
        <w:numPr>
          <w:ilvl w:val="0"/>
          <w:numId w:val="1001"/>
        </w:numPr>
      </w:pPr>
      <w:r>
        <w:t xml:space="preserve">Comment l’État devrait-il équilibrer les programmes urbains à haut volume par rapport aux communautés rurales et tribales avec des temps de réponse d’urgence plus longs ?</w:t>
      </w:r>
    </w:p>
    <w:p>
      <w:pPr>
        <w:numPr>
          <w:ilvl w:val="0"/>
          <w:numId w:val="1001"/>
        </w:numPr>
      </w:pPr>
      <w:r>
        <w:t xml:space="preserve">Bellwether devrait-il conserver une réserve centrale ? Qu’est-ce qui devrait déclencher sa libération ?</w:t>
      </w:r>
    </w:p>
    <w:p>
      <w:pPr>
        <w:numPr>
          <w:ilvl w:val="0"/>
          <w:numId w:val="1001"/>
        </w:numPr>
      </w:pPr>
      <w:r>
        <w:t xml:space="preserve">Comment les kits devraient-ils être répartis entre les organisations de réduction des risques, les premiers intervenants, les prestataires de traitement, les pharmacies, les prisons et les autres organisations communautaires ?</w:t>
      </w:r>
    </w:p>
    <w:p>
      <w:pPr>
        <w:numPr>
          <w:ilvl w:val="0"/>
          <w:numId w:val="1001"/>
        </w:numPr>
      </w:pPr>
      <w:r>
        <w:t xml:space="preserve">Combien de formation devrait accompagner la distribution, et qui devrait la recevoir ?</w:t>
      </w:r>
    </w:p>
    <w:p>
      <w:pPr>
        <w:numPr>
          <w:ilvl w:val="0"/>
          <w:numId w:val="1001"/>
        </w:numPr>
      </w:pPr>
      <w:r>
        <w:t xml:space="preserve">Quelles informations les partenaires devraient-ils être tenus de signaler ? Quand les exigences de reporting pourraient-elles réduire l’accès ou la confiance ?</w:t>
      </w:r>
    </w:p>
    <w:p>
      <w:pPr>
        <w:numPr>
          <w:ilvl w:val="0"/>
          <w:numId w:val="1001"/>
        </w:numPr>
      </w:pPr>
      <w:r>
        <w:t xml:space="preserve">Comment l’évolution de l’approvisionnement illégal en drogues devrait-elle affecter le plan d’allocation et de communication de l’État ?</w:t>
      </w:r>
    </w:p>
    <w:p>
      <w:pPr>
        <w:numPr>
          <w:ilvl w:val="0"/>
          <w:numId w:val="1001"/>
        </w:numPr>
      </w:pPr>
      <w:r>
        <w:t xml:space="preserve">Comment les restrictions attachées au financement fédéral, d’État, aux règlements et aux dons devraient-elles façonner le plan opérationnel ?</w:t>
      </w:r>
    </w:p>
    <w:p>
      <w:pPr>
        <w:numPr>
          <w:ilvl w:val="0"/>
          <w:numId w:val="1001"/>
        </w:numPr>
      </w:pPr>
      <w:r>
        <w:t xml:space="preserve">Quelles preuves après trois ou six mois indiqueraient que l’allocation devrait être poursuivie, élargie, ou redessinée ?</w:t>
      </w:r>
    </w:p>
    <w:bookmarkEnd w:id="22"/>
    <w:bookmarkStart w:id="28"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le</w:t>
      </w:r>
      <w:r>
        <w:t xml:space="preserve"> </w:t>
      </w:r>
      <w:hyperlink r:id="rId23">
        <w:r>
          <w:rPr>
            <w:rStyle w:val="Hyperlink"/>
          </w:rPr>
          <w:t xml:space="preserve">metrics pyramid tool</w:t>
        </w:r>
      </w:hyperlink>
      <w:r>
        <w:t xml:space="preserve"> </w:t>
      </w:r>
      <w:r>
        <w:t xml:space="preserve">pour identifier et prioriser les différentes mesures de performance. Cliquez sur l’ovale contenant la mesure pour identifier s’il s’agit d’une mesure à maximiser (vert), à minimiser (rouge), d’une cible qui est un plancher (vert clair) ou un plafond (rouge clair), ou enfin d’une cible (violet).</w:t>
      </w:r>
    </w:p>
    <w:p>
      <w:pPr>
        <w:numPr>
          <w:ilvl w:val="0"/>
          <w:numId w:val="1002"/>
        </w:numPr>
      </w:pPr>
      <w:r>
        <w:t xml:space="preserve">Utilisez le</w:t>
      </w:r>
      <w:r>
        <w:t xml:space="preserve"> </w:t>
      </w:r>
      <w:hyperlink r:id="rId24">
        <w:r>
          <w:rPr>
            <w:rStyle w:val="Hyperlink"/>
          </w:rPr>
          <w:t xml:space="preserve">decision prioritization tool</w:t>
        </w:r>
      </w:hyperlink>
      <w:r>
        <w:t xml:space="preserve"> </w:t>
      </w:r>
      <w:r>
        <w:t xml:space="preserve">pour d’abord lister les différents types de décisions (utilisez les</w:t>
      </w:r>
      <w:r>
        <w:t xml:space="preserve"> </w:t>
      </w:r>
      <w:hyperlink r:id="rId25">
        <w:r>
          <w:rPr>
            <w:rStyle w:val="Hyperlink"/>
          </w:rPr>
          <w:t xml:space="preserve">types of decisions</w:t>
        </w:r>
      </w:hyperlink>
      <w:r>
        <w:t xml:space="preserve"> </w:t>
      </w:r>
      <w:r>
        <w:t xml:space="preserve">comme guide). Celles-ci peupleront ensuite les lignes de la matrice à droite, où les colonnes sont les mesures de performance triées de gauche à droite selon la priorité dans la pyramide ci-dessus. Cliquez sur chaque cellule pour indiquer si l’impact de la décision sur chaque mesure est élevé (rouge), moyen (orange), faible (jaune) ou nul (blanc).</w:t>
      </w:r>
    </w:p>
    <w:p>
      <w:pPr>
        <w:numPr>
          <w:ilvl w:val="0"/>
          <w:numId w:val="1002"/>
        </w:numPr>
      </w:pPr>
      <w:r>
        <w:t xml:space="preserve">Vous pouvez saisir la poignée (trois barres) la plus à gauche sur chaque ligne pour la déplacer vers le haut ou le bas. Triez les lignes de sorte que les décisions ayant le plus grand impact sur les mesures les plus importantes soient vers le haut. Les cellules dans le coin supérieur gauche devraient avoir la plus grande concentration de cellules rouges et orange. À ce stade, identifiez les décisions qui devraient recevoir le plus d’attention dans votre étude. Si vous n’avez aucune décision avec un impact moyen ou élevé sur les mesures les plus importantes, revoyez votre liste de décisions.</w:t>
      </w:r>
    </w:p>
    <w:p>
      <w:pPr>
        <w:numPr>
          <w:ilvl w:val="0"/>
          <w:numId w:val="1002"/>
        </w:numPr>
      </w:pPr>
      <w:r>
        <w:t xml:space="preserve">Répétez le processus pour lister et prioriser les incertitudes en utilisant le</w:t>
      </w:r>
      <w:r>
        <w:t xml:space="preserve"> </w:t>
      </w:r>
      <w:hyperlink r:id="rId26">
        <w:r>
          <w:rPr>
            <w:rStyle w:val="Hyperlink"/>
          </w:rPr>
          <w:t xml:space="preserve">uncertainty prioritization tool</w:t>
        </w:r>
      </w:hyperlink>
      <w:r>
        <w:t xml:space="preserve">. Utilisez les</w:t>
      </w:r>
      <w:r>
        <w:t xml:space="preserve"> </w:t>
      </w:r>
      <w:hyperlink r:id="rId27">
        <w:r>
          <w:rPr>
            <w:rStyle w:val="Hyperlink"/>
          </w:rPr>
          <w:t xml:space="preserve">categories of uncertainty</w:t>
        </w:r>
      </w:hyperlink>
      <w:r>
        <w:t xml:space="preserve"> </w:t>
      </w:r>
      <w:r>
        <w:t xml:space="preserve">pour vous aider à identifier ces éléments.</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capturées en utilisant la performance moyenne dans le temps ?</w:t>
      </w:r>
    </w:p>
    <w:p>
      <w:pPr>
        <w:numPr>
          <w:ilvl w:val="1"/>
          <w:numId w:val="1003"/>
        </w:numPr>
      </w:pPr>
      <w:r>
        <w:t xml:space="preserve">Quelles sources d’incertitude représentent des formes de risque qui ne sont pas correctement capturées en utilisant des moyennes ?</w:t>
      </w:r>
    </w:p>
    <w:p>
      <w:pPr>
        <w:numPr>
          <w:ilvl w:val="0"/>
          <w:numId w:val="1002"/>
        </w:numPr>
      </w:pPr>
      <w:r>
        <w:t xml:space="preserve">Choisissez la seule décision qui semble avoir l’impact le plus élevé sur la mesure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mesure de performance où la décision aurait un impact élevé ou moyen.</w:t>
      </w:r>
    </w:p>
    <w:p>
      <w:pPr>
        <w:numPr>
          <w:ilvl w:val="0"/>
          <w:numId w:val="1002"/>
        </w:numPr>
      </w:pPr>
      <w:r>
        <w:t xml:space="preserve">En utilisant la même décision que celle identifiée en (7), identifiez les personnes, départements, groupes ou organisations avec lesquels vous devriez travailler pour mettre en œuvre la décision.</w:t>
      </w:r>
    </w:p>
    <w:bookmarkEnd w:id="28"/>
    <w:bookmarkStart w:id="29" w:name="note-de-source"/>
    <w:p>
      <w:pPr>
        <w:pStyle w:val="Heading1"/>
      </w:pPr>
      <w:r>
        <w:t xml:space="preserve">Note de source</w:t>
      </w:r>
    </w:p>
    <w:p>
      <w:pPr>
        <w:pStyle w:val="FirstParagraph"/>
      </w:pPr>
      <w:r>
        <w:t xml:space="preserve">Le fondement conceptuel de ce cas est la section</w:t>
      </w:r>
      <w:r>
        <w:t xml:space="preserve"> </w:t>
      </w:r>
      <w:r>
        <w:t xml:space="preserve">“Public health - Managing naloxone kits”</w:t>
      </w:r>
      <w:r>
        <w:t xml:space="preserve"> </w:t>
      </w:r>
      <w:r>
        <w:t xml:space="preserve">de Warren B. Powell,</w:t>
      </w:r>
      <w:r>
        <w:t xml:space="preserve"> </w:t>
      </w:r>
      <w:r>
        <w:rPr>
          <w:i/>
          <w:iCs/>
        </w:rPr>
        <w:t xml:space="preserve">Bridging Decision Problems, Volume I: Framing the Problem</w:t>
      </w:r>
      <w:r>
        <w:t xml:space="preserve">, Chapitre 2. Le cas intègre les résultats de santé publique, les choix d’allocation et de sensibilisation, les questions de financement et les schémas d’utilisation inconnus de la section dans le récit et les exhibits sans les identifier comme des catégories analytiques distinctes.</w:t>
      </w:r>
    </w:p>
    <w:p>
      <w:pPr>
        <w:pStyle w:val="BodyText"/>
      </w:pPr>
      <w:r>
        <w:t xml:space="preserve">Les données publiques utilisées pour motiver le contexte incluent les données finales de mortalité du CDC rapportant 79 384 décès par surdose de drogue aux États-Unis en 2024 et une baisse de 26,2 pour cent du taux de mortalité ajusté selon l’âge par rapport à 2023 ; les estimations préliminaires du CDC de 68 641 décès pour les douze mois se terminant en février 2026, soit 12,1 pour cent de moins que l’année précédente ; les données pharmaceutiques du CDC rapportant plus de 1,5 million d’ordonnances de naloxone délivrées en 2024 et une variation géographique substantielle ; et l’annonce de septembre 2025 de la SAMHSA de 1,48 milliard $ en subventions de continuation de State Opioid Response et près de 63 millions $ pour le Tribal Opioid Response. Les alertes du CDC concernant la médétomidine dans l’approvisionnement illégal en fentanyl ont informé la discussion sur les contaminants changeants. Toutes les données, personnes, organisations, budgets et événements de Bellwether sont fictifs.</w:t>
      </w:r>
    </w:p>
    <w:bookmarkEnd w:id="29"/>
    <w:bookmarkStart w:id="32" w:name="notes-chatgpt"/>
    <w:p>
      <w:pPr>
        <w:pStyle w:val="Heading1"/>
      </w:pPr>
      <w:r>
        <w:t xml:space="preserve">Notes ChatGPT</w:t>
      </w:r>
    </w:p>
    <w:bookmarkStart w:id="30" w:name="invite"/>
    <w:p>
      <w:pPr>
        <w:pStyle w:val="Heading2"/>
      </w:pPr>
      <w:r>
        <w:t xml:space="preserve">Invite</w:t>
      </w:r>
    </w:p>
    <w:p>
      <w:pPr>
        <w:pStyle w:val="FirstParagraph"/>
      </w:pPr>
      <w:r>
        <w:t xml:space="preserve">Rédigez une étude de cas de 4 à 6 pages basée sur le matériel de la section à l’adresse https://warrenpowell.org/bridging-vol1/chapter-2/#public-health--managing-naloxone-kits. Créez un contexte basé sur les mesures, décisions et incertitudes de la section, mais sans y attirer explicitement l’attention. Motivez votre problème de cas avec des données.</w:t>
      </w:r>
    </w:p>
    <w:bookmarkEnd w:id="30"/>
    <w:bookmarkStart w:id="31" w:name="résumé"/>
    <w:p>
      <w:pPr>
        <w:pStyle w:val="Heading2"/>
      </w:pPr>
      <w:r>
        <w:t xml:space="preserve">Résumé</w:t>
      </w:r>
    </w:p>
    <w:p>
      <w:pPr>
        <w:pStyle w:val="FirstParagraph"/>
      </w:pPr>
      <w:r>
        <w:t xml:space="preserve">Le cas aborde l’allocation de naloxone entre les communautés urbaines, rurales et tribales ; la distribution par les premiers intervenants, les organisations de réduction des risques, les hôpitaux, les pharmacies, les prisons et les groupes communautaires ; la formation et la sensibilisation du public ; l’évolution des contaminants dans l’approvisionnement en drogues ; le financement fédéral et d’État incertain ; les fardeaux de reporting ; et s’il faut conserver une réserve d’inventaire d’urgence.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2026-09-11T15:35:45Z</dcterms:created>
  <dcterms:modified xsi:type="dcterms:W3CDTF">2026-09-11T15:35:45Z</dcterms:modified>
</cp:coreProperties>
</file>

<file path=docProps/custom.xml><?xml version="1.0" encoding="utf-8"?>
<Properties xmlns="http://schemas.openxmlformats.org/officeDocument/2006/custom-properties" xmlns:vt="http://schemas.openxmlformats.org/officeDocument/2006/docPropsVTypes"/>
</file>